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525CF437">
      <w:pPr>
        <w:pStyle w:val="2"/>
        <w:spacing w:before="0" w:beforeLines="0" w:after="0" w:afterLines="0" w:line="360" w:lineRule="auto"/>
        <w:rPr>
          <w:rFonts w:ascii="方正仿宋_GBK" w:eastAsia="方正仿宋_GBK"/>
          <w:b/>
        </w:rPr>
      </w:pPr>
      <w:bookmarkStart w:id="0" w:name="_Toc65678151"/>
      <w:r>
        <w:rPr>
          <w:rFonts w:hint="eastAsia" w:ascii="方正仿宋_GBK" w:eastAsia="方正仿宋_GBK"/>
          <w:b/>
        </w:rPr>
        <w:t>采招项目需求方案（服务类）</w:t>
      </w:r>
    </w:p>
    <w:p w14:paraId="53941C14">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按照《政府采购需求管理办法》规定，采购需求中技术要求是指对采购标的的功能和质量要求，包括性能、材料、结构、外观、安全，或者服务内容和标准等；商务要求是指取得采购标的的时间、地点、财务和服务要求，包括交付（实施）的时间（期限）和地点（范围），付款条件（进度和方式），包装和运输，售后服务，保险等。使用部门在填写采购需求时应尽可能包含所有要素。以下模板仅供参考。</w:t>
      </w:r>
    </w:p>
    <w:p w14:paraId="36794EDE">
      <w:pPr>
        <w:snapToGrid w:val="0"/>
        <w:spacing w:line="400" w:lineRule="exact"/>
        <w:ind w:firstLine="480" w:firstLineChars="200"/>
        <w:rPr>
          <w:rFonts w:ascii="方正仿宋_GBK" w:hAnsi="宋体" w:eastAsia="方正仿宋_GBK"/>
          <w:sz w:val="24"/>
          <w:szCs w:val="24"/>
        </w:rPr>
      </w:pPr>
      <w:r>
        <w:rPr>
          <w:rFonts w:hint="eastAsia" w:ascii="方正仿宋_GBK" w:hAnsi="宋体" w:eastAsia="方正仿宋_GBK"/>
          <w:sz w:val="24"/>
          <w:szCs w:val="24"/>
        </w:rPr>
        <w:t>根据实际情况填写，若不涉及的内容，可填“无”</w:t>
      </w:r>
    </w:p>
    <w:bookmarkEnd w:id="0"/>
    <w:p w14:paraId="7C04C6CF">
      <w:pPr>
        <w:pStyle w:val="2"/>
        <w:spacing w:before="0" w:beforeLines="0" w:after="0" w:afterLines="0" w:line="360" w:lineRule="auto"/>
        <w:rPr>
          <w:rFonts w:ascii="方正仿宋_GBK" w:eastAsia="方正仿宋_GBK"/>
          <w:b/>
        </w:rPr>
      </w:pPr>
      <w:bookmarkStart w:id="1" w:name="_Toc63431456"/>
      <w:r>
        <w:rPr>
          <w:rFonts w:hint="eastAsia" w:ascii="方正仿宋_GBK" w:eastAsia="方正仿宋_GBK"/>
          <w:b/>
        </w:rPr>
        <w:t>第一篇 项目服务需求</w:t>
      </w:r>
      <w:bookmarkEnd w:id="1"/>
    </w:p>
    <w:p w14:paraId="1C7FA90E">
      <w:pPr>
        <w:pStyle w:val="3"/>
        <w:spacing w:line="500" w:lineRule="exact"/>
        <w:ind w:firstLine="482" w:firstLineChars="200"/>
        <w:rPr>
          <w:rFonts w:ascii="方正仿宋_GBK" w:eastAsia="方正仿宋_GBK"/>
          <w:b/>
          <w:sz w:val="24"/>
        </w:rPr>
      </w:pPr>
      <w:bookmarkStart w:id="2" w:name="_Toc63431457"/>
      <w:r>
        <w:rPr>
          <w:rFonts w:hint="eastAsia" w:ascii="方正仿宋_GBK" w:eastAsia="方正仿宋_GBK"/>
          <w:b/>
          <w:sz w:val="24"/>
        </w:rPr>
        <w:t>一、项目一览表</w:t>
      </w:r>
      <w:bookmarkEnd w:id="2"/>
    </w:p>
    <w:tbl>
      <w:tblPr>
        <w:tblStyle w:val="9"/>
        <w:tblW w:w="5000"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3240"/>
        <w:gridCol w:w="890"/>
        <w:gridCol w:w="4392"/>
      </w:tblGrid>
      <w:tr w14:paraId="4A1C0A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3660" w:type="dxa"/>
            <w:vAlign w:val="center"/>
          </w:tcPr>
          <w:p w14:paraId="26C705D2">
            <w:pPr>
              <w:pStyle w:val="5"/>
              <w:spacing w:line="240" w:lineRule="auto"/>
              <w:ind w:left="0"/>
              <w:jc w:val="center"/>
              <w:outlineLvl w:val="0"/>
              <w:rPr>
                <w:rFonts w:ascii="方正仿宋_GBK" w:hAnsi="宋体" w:eastAsia="方正仿宋_GBK"/>
                <w:b/>
                <w:sz w:val="21"/>
                <w:szCs w:val="21"/>
              </w:rPr>
            </w:pPr>
            <w:r>
              <w:rPr>
                <w:rFonts w:hint="eastAsia" w:ascii="方正仿宋_GBK" w:hAnsi="宋体" w:eastAsia="方正仿宋_GBK"/>
                <w:b/>
                <w:sz w:val="21"/>
                <w:szCs w:val="21"/>
              </w:rPr>
              <w:t>服务内容</w:t>
            </w:r>
          </w:p>
        </w:tc>
        <w:tc>
          <w:tcPr>
            <w:tcW w:w="1005" w:type="dxa"/>
            <w:vAlign w:val="center"/>
          </w:tcPr>
          <w:p w14:paraId="171F98AF">
            <w:pPr>
              <w:pStyle w:val="5"/>
              <w:spacing w:line="240" w:lineRule="auto"/>
              <w:ind w:left="0"/>
              <w:jc w:val="center"/>
              <w:outlineLvl w:val="0"/>
              <w:rPr>
                <w:rFonts w:ascii="方正仿宋_GBK" w:hAnsi="宋体" w:eastAsia="方正仿宋_GBK"/>
                <w:b/>
                <w:sz w:val="21"/>
                <w:szCs w:val="21"/>
              </w:rPr>
            </w:pPr>
            <w:r>
              <w:rPr>
                <w:rFonts w:hint="eastAsia" w:ascii="方正仿宋_GBK" w:hAnsi="宋体" w:eastAsia="方正仿宋_GBK"/>
                <w:b/>
                <w:sz w:val="21"/>
                <w:szCs w:val="21"/>
              </w:rPr>
              <w:t>服务期</w:t>
            </w:r>
          </w:p>
        </w:tc>
        <w:tc>
          <w:tcPr>
            <w:tcW w:w="4963" w:type="dxa"/>
            <w:vAlign w:val="center"/>
          </w:tcPr>
          <w:p w14:paraId="1D133165">
            <w:pPr>
              <w:pStyle w:val="5"/>
              <w:spacing w:line="240" w:lineRule="auto"/>
              <w:ind w:left="0"/>
              <w:jc w:val="center"/>
              <w:outlineLvl w:val="0"/>
              <w:rPr>
                <w:rFonts w:ascii="方正仿宋_GBK" w:hAnsi="宋体" w:eastAsia="方正仿宋_GBK"/>
                <w:b/>
                <w:sz w:val="21"/>
                <w:szCs w:val="21"/>
              </w:rPr>
            </w:pPr>
            <w:r>
              <w:rPr>
                <w:rFonts w:hint="eastAsia" w:ascii="方正仿宋_GBK" w:hAnsi="宋体" w:eastAsia="方正仿宋_GBK"/>
                <w:b/>
                <w:sz w:val="21"/>
                <w:szCs w:val="21"/>
              </w:rPr>
              <w:t>备注</w:t>
            </w:r>
          </w:p>
        </w:tc>
      </w:tr>
      <w:tr w14:paraId="119522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3" w:hRule="atLeast"/>
          <w:jc w:val="center"/>
        </w:trPr>
        <w:tc>
          <w:tcPr>
            <w:tcW w:w="3660" w:type="dxa"/>
            <w:vAlign w:val="center"/>
          </w:tcPr>
          <w:p w14:paraId="1DD481D7">
            <w:pPr>
              <w:pStyle w:val="4"/>
              <w:spacing w:line="240" w:lineRule="auto"/>
              <w:ind w:firstLine="0"/>
              <w:jc w:val="center"/>
              <w:outlineLvl w:val="0"/>
              <w:rPr>
                <w:rFonts w:ascii="方正仿宋_GBK" w:hAnsi="宋体" w:eastAsia="方正仿宋_GBK"/>
                <w:sz w:val="24"/>
                <w:szCs w:val="24"/>
              </w:rPr>
            </w:pPr>
            <w:r>
              <w:rPr>
                <w:rFonts w:hint="eastAsia" w:ascii="方正仿宋_GBK" w:hAnsi="宋体" w:eastAsia="方正仿宋_GBK"/>
                <w:sz w:val="24"/>
                <w:szCs w:val="24"/>
                <w:lang w:val="en-US" w:eastAsia="zh-CN"/>
              </w:rPr>
              <w:t>全国硕士</w:t>
            </w:r>
            <w:r>
              <w:rPr>
                <w:rFonts w:hint="eastAsia" w:ascii="方正仿宋_GBK" w:hAnsi="宋体" w:eastAsia="方正仿宋_GBK"/>
                <w:sz w:val="24"/>
                <w:szCs w:val="24"/>
              </w:rPr>
              <w:t>研究生</w:t>
            </w:r>
            <w:r>
              <w:rPr>
                <w:rFonts w:hint="eastAsia" w:ascii="方正仿宋_GBK" w:hAnsi="宋体" w:eastAsia="方正仿宋_GBK"/>
                <w:sz w:val="24"/>
                <w:szCs w:val="24"/>
                <w:lang w:val="en-US" w:eastAsia="zh-CN"/>
              </w:rPr>
              <w:t>招生</w:t>
            </w:r>
            <w:r>
              <w:rPr>
                <w:rFonts w:hint="eastAsia" w:ascii="方正仿宋_GBK" w:hAnsi="宋体" w:eastAsia="方正仿宋_GBK"/>
                <w:sz w:val="24"/>
                <w:szCs w:val="24"/>
              </w:rPr>
              <w:t>考试智能安检门租赁服务</w:t>
            </w:r>
          </w:p>
        </w:tc>
        <w:tc>
          <w:tcPr>
            <w:tcW w:w="1005" w:type="dxa"/>
            <w:vAlign w:val="center"/>
          </w:tcPr>
          <w:p w14:paraId="42095061">
            <w:pPr>
              <w:pStyle w:val="5"/>
              <w:spacing w:line="240" w:lineRule="auto"/>
              <w:ind w:left="0"/>
              <w:jc w:val="center"/>
              <w:outlineLvl w:val="0"/>
              <w:rPr>
                <w:rFonts w:hint="default" w:ascii="方正仿宋_GBK" w:hAnsi="宋体" w:eastAsia="方正仿宋_GBK"/>
                <w:sz w:val="24"/>
                <w:szCs w:val="24"/>
                <w:lang w:val="en-US" w:eastAsia="zh-CN"/>
              </w:rPr>
            </w:pPr>
            <w:r>
              <w:rPr>
                <w:rFonts w:hint="eastAsia" w:ascii="方正仿宋_GBK" w:hAnsi="宋体" w:eastAsia="方正仿宋_GBK"/>
                <w:sz w:val="24"/>
                <w:szCs w:val="24"/>
                <w:lang w:val="en-US" w:eastAsia="zh-CN"/>
              </w:rPr>
              <w:t>2年</w:t>
            </w:r>
          </w:p>
        </w:tc>
        <w:tc>
          <w:tcPr>
            <w:tcW w:w="4963" w:type="dxa"/>
            <w:vAlign w:val="center"/>
          </w:tcPr>
          <w:p w14:paraId="32D3346E">
            <w:pPr>
              <w:pStyle w:val="4"/>
              <w:spacing w:line="240" w:lineRule="auto"/>
              <w:ind w:firstLine="0"/>
              <w:jc w:val="both"/>
              <w:outlineLvl w:val="0"/>
              <w:rPr>
                <w:rFonts w:ascii="方正仿宋_GBK" w:hAnsi="宋体" w:eastAsia="方正仿宋_GBK"/>
                <w:sz w:val="24"/>
                <w:szCs w:val="24"/>
              </w:rPr>
            </w:pPr>
            <w:r>
              <w:rPr>
                <w:rFonts w:hint="eastAsia" w:ascii="方正仿宋_GBK" w:hAnsi="宋体" w:eastAsia="方正仿宋_GBK"/>
                <w:sz w:val="24"/>
                <w:szCs w:val="24"/>
              </w:rPr>
              <w:t>本次采购的智能安检门工作模式均为</w:t>
            </w:r>
            <w:r>
              <w:rPr>
                <w:rFonts w:hint="eastAsia" w:ascii="方正仿宋_GBK" w:hAnsi="宋体" w:eastAsia="方正仿宋_GBK"/>
                <w:color w:val="0000FF"/>
                <w:sz w:val="24"/>
                <w:szCs w:val="24"/>
              </w:rPr>
              <w:t>手机检测模式</w:t>
            </w:r>
            <w:r>
              <w:rPr>
                <w:rFonts w:hint="eastAsia" w:ascii="方正仿宋_GBK" w:hAnsi="宋体" w:eastAsia="方正仿宋_GBK"/>
                <w:sz w:val="24"/>
                <w:szCs w:val="24"/>
              </w:rPr>
              <w:t>。</w:t>
            </w:r>
          </w:p>
        </w:tc>
      </w:tr>
    </w:tbl>
    <w:p w14:paraId="2F557876">
      <w:pPr>
        <w:pStyle w:val="3"/>
        <w:spacing w:line="400" w:lineRule="exact"/>
        <w:ind w:firstLine="482" w:firstLineChars="200"/>
        <w:rPr>
          <w:rFonts w:ascii="方正仿宋_GBK" w:eastAsia="方正仿宋_GBK"/>
          <w:b/>
          <w:sz w:val="24"/>
        </w:rPr>
      </w:pPr>
      <w:bookmarkStart w:id="3" w:name="_Toc63431458"/>
      <w:r>
        <w:rPr>
          <w:rFonts w:hint="eastAsia" w:ascii="方正仿宋_GBK" w:eastAsia="方正仿宋_GBK"/>
          <w:b/>
          <w:sz w:val="24"/>
        </w:rPr>
        <w:t>二、项目功能和质量要求（建设目标和功能概述）</w:t>
      </w:r>
    </w:p>
    <w:p w14:paraId="5B925BE3">
      <w:pPr>
        <w:snapToGrid w:val="0"/>
        <w:spacing w:line="400" w:lineRule="exact"/>
        <w:ind w:firstLine="480" w:firstLineChars="200"/>
        <w:rPr>
          <w:rFonts w:hint="eastAsia" w:ascii="方正仿宋_GBK" w:hAnsi="宋体" w:eastAsia="方正仿宋_GBK"/>
          <w:color w:val="000000" w:themeColor="text1"/>
          <w:sz w:val="24"/>
          <w:szCs w:val="24"/>
          <w14:textFill>
            <w14:solidFill>
              <w14:schemeClr w14:val="tx1"/>
            </w14:solidFill>
          </w14:textFill>
        </w:rPr>
      </w:pPr>
      <w:r>
        <w:rPr>
          <w:rFonts w:hint="eastAsia" w:ascii="方正仿宋_GBK" w:hAnsi="宋体" w:eastAsia="方正仿宋_GBK"/>
          <w:color w:val="000000" w:themeColor="text1"/>
          <w:sz w:val="24"/>
          <w:szCs w:val="24"/>
          <w14:textFill>
            <w14:solidFill>
              <w14:schemeClr w14:val="tx1"/>
            </w14:solidFill>
          </w14:textFill>
        </w:rPr>
        <w:t>根据《关于进一步做好研考防范手机等高科技作弊工作的通知》（教考院函﹝2023﹞97号），按照全国硕士研究生招生考试(以下简称研考)整体工作部署，为有效防范手机等高科技作弊，统筹推进研考标准化考点防作弊功能的升级改造，构建“</w:t>
      </w:r>
      <w:r>
        <w:rPr>
          <w:rFonts w:hint="eastAsia" w:ascii="方正仿宋_GBK" w:hAnsi="宋体" w:eastAsia="方正仿宋_GBK"/>
          <w:color w:val="000000" w:themeColor="text1"/>
          <w:sz w:val="24"/>
          <w:szCs w:val="24"/>
          <w:lang w:val="en-US" w:eastAsia="zh-CN"/>
          <w14:textFill>
            <w14:solidFill>
              <w14:schemeClr w14:val="tx1"/>
            </w14:solidFill>
          </w14:textFill>
        </w:rPr>
        <w:t>六</w:t>
      </w:r>
      <w:r>
        <w:rPr>
          <w:rFonts w:hint="eastAsia" w:ascii="方正仿宋_GBK" w:hAnsi="宋体" w:eastAsia="方正仿宋_GBK"/>
          <w:color w:val="000000" w:themeColor="text1"/>
          <w:sz w:val="24"/>
          <w:szCs w:val="24"/>
          <w14:textFill>
            <w14:solidFill>
              <w14:schemeClr w14:val="tx1"/>
            </w14:solidFill>
          </w14:textFill>
        </w:rPr>
        <w:t>位一体”立体防护网，</w:t>
      </w:r>
      <w:r>
        <w:rPr>
          <w:rFonts w:hint="eastAsia" w:ascii="方正仿宋_GBK" w:hAnsi="宋体" w:eastAsia="方正仿宋_GBK"/>
          <w:b/>
          <w:bCs/>
          <w:color w:val="000000" w:themeColor="text1"/>
          <w:sz w:val="24"/>
          <w:szCs w:val="24"/>
          <w14:textFill>
            <w14:solidFill>
              <w14:schemeClr w14:val="tx1"/>
            </w14:solidFill>
          </w14:textFill>
        </w:rPr>
        <w:t>实现“智能安检门”全配备</w:t>
      </w:r>
      <w:r>
        <w:rPr>
          <w:rFonts w:hint="eastAsia" w:ascii="方正仿宋_GBK" w:hAnsi="宋体" w:eastAsia="方正仿宋_GBK"/>
          <w:color w:val="000000" w:themeColor="text1"/>
          <w:sz w:val="24"/>
          <w:szCs w:val="24"/>
          <w14:textFill>
            <w14:solidFill>
              <w14:schemeClr w14:val="tx1"/>
            </w14:solidFill>
          </w14:textFill>
        </w:rPr>
        <w:t>、无线电信号(含5G信号)屏蔽全覆盖、</w:t>
      </w:r>
      <w:r>
        <w:rPr>
          <w:rFonts w:hint="eastAsia" w:ascii="方正仿宋_GBK" w:hAnsi="宋体" w:eastAsia="方正仿宋_GBK"/>
          <w:color w:val="000000" w:themeColor="text1"/>
          <w:sz w:val="24"/>
          <w:szCs w:val="24"/>
          <w:lang w:val="en-US" w:eastAsia="zh-CN"/>
          <w14:textFill>
            <w14:solidFill>
              <w14:schemeClr w14:val="tx1"/>
            </w14:solidFill>
          </w14:textFill>
        </w:rPr>
        <w:t>扩大保密室只能巡检考场智能巡查、</w:t>
      </w:r>
      <w:r>
        <w:rPr>
          <w:rFonts w:hint="eastAsia" w:ascii="方正仿宋_GBK" w:hAnsi="宋体" w:eastAsia="方正仿宋_GBK"/>
          <w:color w:val="000000" w:themeColor="text1"/>
          <w:sz w:val="24"/>
          <w:szCs w:val="24"/>
          <w14:textFill>
            <w14:solidFill>
              <w14:schemeClr w14:val="tx1"/>
            </w14:solidFill>
          </w14:textFill>
        </w:rPr>
        <w:t>手机不得带入考点(考试封闭管理区域)全落实、考务工作人员培训考核全达标，积极落实降低考点内手机信号频率和限制手机网络自动优化，以及考场智能监考、保密室智能巡查等措施，确保手机(含5G)等高科技作弊设备在研考中带不进、用不了、传不出。</w:t>
      </w:r>
    </w:p>
    <w:p w14:paraId="28B79BE8">
      <w:pPr>
        <w:snapToGrid w:val="0"/>
        <w:spacing w:line="400" w:lineRule="exact"/>
        <w:ind w:firstLine="482" w:firstLineChars="200"/>
        <w:rPr>
          <w:rFonts w:hint="eastAsia" w:ascii="方正仿宋_GBK" w:hAnsi="宋体" w:eastAsia="方正仿宋_GBK"/>
          <w:color w:val="000000" w:themeColor="text1"/>
          <w:sz w:val="24"/>
          <w:szCs w:val="24"/>
          <w:lang w:eastAsia="zh-CN"/>
          <w14:textFill>
            <w14:solidFill>
              <w14:schemeClr w14:val="tx1"/>
            </w14:solidFill>
          </w14:textFill>
        </w:rPr>
      </w:pPr>
      <w:r>
        <w:rPr>
          <w:rFonts w:hint="eastAsia" w:ascii="方正仿宋_GBK" w:hAnsi="宋体" w:eastAsia="方正仿宋_GBK"/>
          <w:b/>
          <w:bCs/>
          <w:color w:val="000000" w:themeColor="text1"/>
          <w:sz w:val="24"/>
          <w:szCs w:val="24"/>
          <w14:textFill>
            <w14:solidFill>
              <w14:schemeClr w14:val="tx1"/>
            </w14:solidFill>
          </w14:textFill>
        </w:rPr>
        <w:t>智能安检手机检测门简称“智能安检门”，</w:t>
      </w:r>
      <w:r>
        <w:rPr>
          <w:rFonts w:hint="eastAsia" w:ascii="方正仿宋_GBK" w:hAnsi="宋体" w:eastAsia="方正仿宋_GBK"/>
          <w:color w:val="000000" w:themeColor="text1"/>
          <w:sz w:val="24"/>
          <w:szCs w:val="24"/>
          <w14:textFill>
            <w14:solidFill>
              <w14:schemeClr w14:val="tx1"/>
            </w14:solidFill>
          </w14:textFill>
        </w:rPr>
        <w:t>是集金属检测与联网于一体，配有识别、分析、可视化管理等模块，能通过算法分析金属通过交变的电磁场时产生的感应信号，获取金属材质及形状信息，并能够根据材质及形状信息与数据库中已存储的手机类物品信息数据进行比对，判断物品是否为手机等违规物品的装置。合格的智能安检门，可以精准、快速检出和定位手机，同时在配置的液晶（触摸）屏幕上以文字图像形式提示，方便安检人员检查，信息包括并不限于通过人数、报警人数、报警物品类别、报警物</w:t>
      </w:r>
      <w:bookmarkStart w:id="13" w:name="_GoBack"/>
      <w:bookmarkEnd w:id="13"/>
      <w:r>
        <w:rPr>
          <w:rFonts w:hint="eastAsia" w:ascii="方正仿宋_GBK" w:hAnsi="宋体" w:eastAsia="方正仿宋_GBK"/>
          <w:color w:val="000000" w:themeColor="text1"/>
          <w:sz w:val="24"/>
          <w:szCs w:val="24"/>
          <w14:textFill>
            <w14:solidFill>
              <w14:schemeClr w14:val="tx1"/>
            </w14:solidFill>
          </w14:textFill>
        </w:rPr>
        <w:t>品所在人体虚拟区位、携带疑似手机的人员正面头像等。</w:t>
      </w:r>
    </w:p>
    <w:p w14:paraId="067C1231">
      <w:pPr>
        <w:pStyle w:val="3"/>
        <w:spacing w:line="400" w:lineRule="exact"/>
        <w:ind w:firstLine="482" w:firstLineChars="200"/>
        <w:rPr>
          <w:rFonts w:hint="eastAsia" w:ascii="方正仿宋_GBK" w:eastAsia="方正仿宋_GBK"/>
          <w:b/>
          <w:sz w:val="24"/>
        </w:rPr>
      </w:pPr>
      <w:r>
        <w:rPr>
          <w:rFonts w:hint="eastAsia" w:ascii="方正仿宋_GBK" w:eastAsia="方正仿宋_GBK"/>
          <w:b/>
          <w:sz w:val="24"/>
        </w:rPr>
        <w:t>三、项目服务技术要求</w:t>
      </w:r>
      <w:bookmarkEnd w:id="3"/>
    </w:p>
    <w:p w14:paraId="660EA6EE">
      <w:pPr>
        <w:snapToGrid w:val="0"/>
        <w:spacing w:line="400" w:lineRule="exact"/>
        <w:ind w:firstLine="480" w:firstLineChars="200"/>
        <w:rPr>
          <w:rFonts w:hint="default" w:ascii="方正仿宋_GBK" w:hAnsi="宋体" w:eastAsia="方正仿宋_GBK"/>
          <w:color w:val="000000" w:themeColor="text1"/>
          <w:sz w:val="24"/>
          <w:szCs w:val="24"/>
          <w:lang w:val="en-US" w:eastAsia="zh-CN"/>
          <w14:textFill>
            <w14:solidFill>
              <w14:schemeClr w14:val="tx1"/>
            </w14:solidFill>
          </w14:textFill>
        </w:rPr>
      </w:pPr>
      <w:r>
        <w:rPr>
          <w:rFonts w:hint="eastAsia" w:ascii="方正仿宋_GBK" w:hAnsi="宋体" w:eastAsia="方正仿宋_GBK"/>
          <w:color w:val="000000" w:themeColor="text1"/>
          <w:sz w:val="24"/>
          <w:szCs w:val="24"/>
          <w:lang w:val="en-US" w:eastAsia="zh-CN"/>
          <w14:textFill>
            <w14:solidFill>
              <w14:schemeClr w14:val="tx1"/>
            </w14:solidFill>
          </w14:textFill>
        </w:rPr>
        <w:t>竞标人提供的智能安检门只能是以下品牌和型号之一：</w:t>
      </w:r>
    </w:p>
    <w:p w14:paraId="3AC63E89">
      <w:pPr>
        <w:snapToGrid w:val="0"/>
        <w:spacing w:line="400" w:lineRule="exact"/>
        <w:ind w:firstLine="480" w:firstLineChars="200"/>
        <w:rPr>
          <w:rFonts w:hint="eastAsia" w:ascii="方正仿宋_GBK" w:hAnsi="宋体" w:eastAsia="方正仿宋_GBK"/>
          <w:color w:val="000000" w:themeColor="text1"/>
          <w:sz w:val="24"/>
          <w:szCs w:val="24"/>
          <w14:textFill>
            <w14:solidFill>
              <w14:schemeClr w14:val="tx1"/>
            </w14:solidFill>
          </w14:textFill>
        </w:rPr>
      </w:pPr>
      <w:r>
        <w:rPr>
          <w:rFonts w:hint="eastAsia" w:ascii="方正仿宋_GBK" w:hAnsi="宋体" w:eastAsia="方正仿宋_GBK"/>
          <w:color w:val="000000" w:themeColor="text1"/>
          <w:sz w:val="24"/>
          <w:szCs w:val="24"/>
          <w:lang w:val="en-US" w:eastAsia="zh-CN"/>
          <w14:textFill>
            <w14:solidFill>
              <w14:schemeClr w14:val="tx1"/>
            </w14:solidFill>
          </w14:textFill>
        </w:rPr>
        <w:t>华盾，HD2000；</w:t>
      </w:r>
      <w:r>
        <w:rPr>
          <w:rFonts w:hint="eastAsia" w:ascii="方正仿宋_GBK" w:hAnsi="宋体" w:eastAsia="方正仿宋_GBK"/>
          <w:color w:val="000000" w:themeColor="text1"/>
          <w:sz w:val="24"/>
          <w:szCs w:val="24"/>
          <w14:textFill>
            <w14:solidFill>
              <w14:schemeClr w14:val="tx1"/>
            </w14:solidFill>
          </w14:textFill>
        </w:rPr>
        <w:t>佳发</w:t>
      </w:r>
      <w:r>
        <w:rPr>
          <w:rFonts w:hint="eastAsia" w:ascii="方正仿宋_GBK" w:hAnsi="宋体" w:eastAsia="方正仿宋_GBK"/>
          <w:color w:val="000000" w:themeColor="text1"/>
          <w:sz w:val="24"/>
          <w:szCs w:val="24"/>
          <w:lang w:eastAsia="zh-CN"/>
          <w14:textFill>
            <w14:solidFill>
              <w14:schemeClr w14:val="tx1"/>
            </w14:solidFill>
          </w14:textFill>
        </w:rPr>
        <w:t>，</w:t>
      </w:r>
      <w:r>
        <w:rPr>
          <w:rFonts w:hint="eastAsia" w:ascii="方正仿宋_GBK" w:hAnsi="宋体" w:eastAsia="方正仿宋_GBK"/>
          <w:color w:val="000000" w:themeColor="text1"/>
          <w:sz w:val="24"/>
          <w:szCs w:val="24"/>
          <w14:textFill>
            <w14:solidFill>
              <w14:schemeClr w14:val="tx1"/>
            </w14:solidFill>
          </w14:textFill>
        </w:rPr>
        <w:t>JF-IMD0303</w:t>
      </w:r>
      <w:r>
        <w:rPr>
          <w:rFonts w:hint="eastAsia" w:ascii="方正仿宋_GBK" w:hAnsi="宋体" w:eastAsia="方正仿宋_GBK"/>
          <w:color w:val="000000" w:themeColor="text1"/>
          <w:sz w:val="24"/>
          <w:szCs w:val="24"/>
          <w:lang w:eastAsia="zh-CN"/>
          <w14:textFill>
            <w14:solidFill>
              <w14:schemeClr w14:val="tx1"/>
            </w14:solidFill>
          </w14:textFill>
        </w:rPr>
        <w:t>；海康威视，ISD-SMG910L-PE</w:t>
      </w:r>
      <w:r>
        <w:rPr>
          <w:rFonts w:hint="eastAsia" w:ascii="方正仿宋_GBK" w:hAnsi="宋体" w:eastAsia="方正仿宋_GBK"/>
          <w:color w:val="000000" w:themeColor="text1"/>
          <w:sz w:val="24"/>
          <w:szCs w:val="24"/>
          <w:lang w:val="en-US" w:eastAsia="zh-CN"/>
          <w14:textFill>
            <w14:solidFill>
              <w14:schemeClr w14:val="tx1"/>
            </w14:solidFill>
          </w14:textFill>
        </w:rPr>
        <w:t>或ISD-SMG910L-PDD；</w:t>
      </w:r>
      <w:r>
        <w:rPr>
          <w:rFonts w:hint="eastAsia" w:ascii="方正仿宋_GBK" w:hAnsi="宋体" w:eastAsia="方正仿宋_GBK"/>
          <w:color w:val="000000" w:themeColor="text1"/>
          <w:sz w:val="24"/>
          <w:szCs w:val="24"/>
          <w14:textFill>
            <w14:solidFill>
              <w14:schemeClr w14:val="tx1"/>
            </w14:solidFill>
          </w14:textFill>
        </w:rPr>
        <w:t>泛安，FA901-02；天地伟业，TC-UABCDE</w:t>
      </w:r>
      <w:r>
        <w:rPr>
          <w:rFonts w:hint="eastAsia" w:ascii="方正仿宋_GBK" w:hAnsi="宋体" w:eastAsia="方正仿宋_GBK"/>
          <w:color w:val="000000" w:themeColor="text1"/>
          <w:sz w:val="24"/>
          <w:szCs w:val="24"/>
          <w:lang w:eastAsia="zh-CN"/>
          <w14:textFill>
            <w14:solidFill>
              <w14:schemeClr w14:val="tx1"/>
            </w14:solidFill>
          </w14:textFill>
        </w:rPr>
        <w:t>。</w:t>
      </w:r>
    </w:p>
    <w:p w14:paraId="0F18239D">
      <w:pPr>
        <w:snapToGrid w:val="0"/>
        <w:spacing w:line="400" w:lineRule="exact"/>
        <w:ind w:firstLine="480" w:firstLineChars="200"/>
        <w:rPr>
          <w:rFonts w:hint="eastAsia" w:ascii="方正仿宋_GBK" w:hAnsi="宋体" w:eastAsia="方正仿宋_GBK"/>
          <w:color w:val="000000" w:themeColor="text1"/>
          <w:sz w:val="24"/>
          <w:szCs w:val="24"/>
          <w14:textFill>
            <w14:solidFill>
              <w14:schemeClr w14:val="tx1"/>
            </w14:solidFill>
          </w14:textFill>
        </w:rPr>
      </w:pPr>
      <w:r>
        <w:rPr>
          <w:rFonts w:hint="eastAsia" w:ascii="方正仿宋_GBK" w:hAnsi="宋体" w:eastAsia="方正仿宋_GBK"/>
          <w:color w:val="000000" w:themeColor="text1"/>
          <w:sz w:val="24"/>
          <w:szCs w:val="24"/>
          <w:lang w:val="en-US" w:eastAsia="zh-CN"/>
          <w14:textFill>
            <w14:solidFill>
              <w14:schemeClr w14:val="tx1"/>
            </w14:solidFill>
          </w14:textFill>
        </w:rPr>
        <w:t>智能安检门具备</w:t>
      </w:r>
      <w:r>
        <w:rPr>
          <w:rFonts w:hint="eastAsia" w:ascii="方正仿宋_GBK" w:hAnsi="宋体" w:eastAsia="方正仿宋_GBK"/>
          <w:color w:val="000000" w:themeColor="text1"/>
          <w:sz w:val="24"/>
          <w:szCs w:val="24"/>
          <w14:textFill>
            <w14:solidFill>
              <w14:schemeClr w14:val="tx1"/>
            </w14:solidFill>
          </w14:textFill>
        </w:rPr>
        <w:t>手机探测模式</w:t>
      </w:r>
      <w:r>
        <w:rPr>
          <w:rFonts w:hint="eastAsia" w:ascii="方正仿宋_GBK" w:hAnsi="宋体" w:eastAsia="方正仿宋_GBK"/>
          <w:color w:val="000000" w:themeColor="text1"/>
          <w:sz w:val="24"/>
          <w:szCs w:val="24"/>
          <w:lang w:eastAsia="zh-CN"/>
          <w14:textFill>
            <w14:solidFill>
              <w14:schemeClr w14:val="tx1"/>
            </w14:solidFill>
          </w14:textFill>
        </w:rPr>
        <w:t>，</w:t>
      </w:r>
      <w:r>
        <w:rPr>
          <w:rFonts w:hint="eastAsia" w:ascii="方正仿宋_GBK" w:hAnsi="宋体" w:eastAsia="方正仿宋_GBK"/>
          <w:color w:val="000000" w:themeColor="text1"/>
          <w:sz w:val="24"/>
          <w:szCs w:val="24"/>
          <w14:textFill>
            <w14:solidFill>
              <w14:schemeClr w14:val="tx1"/>
            </w14:solidFill>
          </w14:textFill>
        </w:rPr>
        <w:t>可有效的排除硬币、眼镜、手表、皮带扣、磁铁、钥匙、香烟、打火机等日常随身携带物品的干扰并准确分辨出是否携带任何状态下手机以及笔记本电脑、Ipad、数码相机、摄像机等涉密电子产品，并且以图文的形式分类显示出来。</w:t>
      </w:r>
    </w:p>
    <w:p w14:paraId="386F5086">
      <w:pPr>
        <w:snapToGrid w:val="0"/>
        <w:spacing w:line="400" w:lineRule="exact"/>
        <w:ind w:firstLine="480" w:firstLineChars="200"/>
        <w:rPr>
          <w:rFonts w:hint="eastAsia" w:ascii="方正仿宋_GBK" w:hAnsi="宋体" w:eastAsia="方正仿宋_GBK"/>
          <w:color w:val="000000" w:themeColor="text1"/>
          <w:sz w:val="24"/>
          <w:szCs w:val="24"/>
          <w:lang w:eastAsia="zh-CN"/>
          <w14:textFill>
            <w14:solidFill>
              <w14:schemeClr w14:val="tx1"/>
            </w14:solidFill>
          </w14:textFill>
        </w:rPr>
      </w:pPr>
      <w:r>
        <w:rPr>
          <w:rFonts w:hint="eastAsia" w:ascii="方正仿宋_GBK" w:hAnsi="宋体" w:eastAsia="方正仿宋_GBK"/>
          <w:color w:val="000000" w:themeColor="text1"/>
          <w:sz w:val="24"/>
          <w:szCs w:val="24"/>
          <w14:textFill>
            <w14:solidFill>
              <w14:schemeClr w14:val="tx1"/>
            </w14:solidFill>
          </w14:textFill>
        </w:rPr>
        <w:t>误报率的阀限：≤20%误报率。手机误报是指将非手机的物品，识别为手机或疑似手机的（手表、手镯、手环、长柄伞不计入，背包通过的不计入），从而智能安检门屏幕显示“手机”、“疑似手机”或安检门发出报警声的。误报率=手机误报警报声次数/智能安检门报警声次数×100%</w:t>
      </w:r>
      <w:r>
        <w:rPr>
          <w:rFonts w:hint="eastAsia" w:ascii="方正仿宋_GBK" w:hAnsi="宋体" w:eastAsia="方正仿宋_GBK"/>
          <w:color w:val="000000" w:themeColor="text1"/>
          <w:sz w:val="24"/>
          <w:szCs w:val="24"/>
          <w:lang w:eastAsia="zh-CN"/>
          <w14:textFill>
            <w14:solidFill>
              <w14:schemeClr w14:val="tx1"/>
            </w14:solidFill>
          </w14:textFill>
        </w:rPr>
        <w:t>。</w:t>
      </w:r>
    </w:p>
    <w:p w14:paraId="12CB8A52">
      <w:pPr>
        <w:snapToGrid w:val="0"/>
        <w:spacing w:line="400" w:lineRule="exact"/>
        <w:ind w:firstLine="482" w:firstLineChars="200"/>
        <w:rPr>
          <w:rFonts w:hint="eastAsia" w:ascii="方正仿宋_GBK" w:hAnsi="宋体" w:eastAsia="方正仿宋_GBK"/>
          <w:b/>
          <w:bCs/>
          <w:color w:val="000000" w:themeColor="text1"/>
          <w:sz w:val="24"/>
          <w:szCs w:val="24"/>
          <w14:textFill>
            <w14:solidFill>
              <w14:schemeClr w14:val="tx1"/>
            </w14:solidFill>
          </w14:textFill>
        </w:rPr>
      </w:pPr>
      <w:r>
        <w:rPr>
          <w:rFonts w:hint="eastAsia" w:ascii="方正仿宋_GBK" w:hAnsi="宋体" w:eastAsia="方正仿宋_GBK"/>
          <w:b/>
          <w:bCs/>
          <w:color w:val="000000" w:themeColor="text1"/>
          <w:sz w:val="24"/>
          <w:szCs w:val="24"/>
          <w14:textFill>
            <w14:solidFill>
              <w14:schemeClr w14:val="tx1"/>
            </w14:solidFill>
          </w14:textFill>
        </w:rPr>
        <w:t>四、其他要求（执行标准要求、现场安装及管理要求、安全要求、服务器要求、与其他平台对接、知识产权归属等项目的特殊要求）</w:t>
      </w:r>
    </w:p>
    <w:p w14:paraId="487322ED">
      <w:pPr>
        <w:snapToGrid w:val="0"/>
        <w:spacing w:line="400" w:lineRule="exact"/>
        <w:ind w:firstLine="480" w:firstLineChars="200"/>
        <w:rPr>
          <w:rFonts w:hint="eastAsia" w:ascii="方正仿宋_GBK" w:hAnsi="宋体" w:eastAsia="方正仿宋_GBK"/>
          <w:color w:val="000000" w:themeColor="text1"/>
          <w:sz w:val="24"/>
          <w:szCs w:val="24"/>
          <w14:textFill>
            <w14:solidFill>
              <w14:schemeClr w14:val="tx1"/>
            </w14:solidFill>
          </w14:textFill>
        </w:rPr>
      </w:pPr>
      <w:r>
        <w:rPr>
          <w:rFonts w:hint="eastAsia" w:ascii="方正仿宋_GBK" w:hAnsi="宋体" w:eastAsia="方正仿宋_GBK"/>
          <w:color w:val="000000" w:themeColor="text1"/>
          <w:sz w:val="24"/>
          <w:szCs w:val="24"/>
          <w14:textFill>
            <w14:solidFill>
              <w14:schemeClr w14:val="tx1"/>
            </w14:solidFill>
          </w14:textFill>
        </w:rPr>
        <w:t>（一）安装要求：</w:t>
      </w:r>
    </w:p>
    <w:p w14:paraId="4F3F46B0">
      <w:pPr>
        <w:snapToGrid w:val="0"/>
        <w:spacing w:line="400" w:lineRule="exact"/>
        <w:ind w:firstLine="480" w:firstLineChars="200"/>
        <w:rPr>
          <w:rFonts w:hint="eastAsia" w:ascii="方正仿宋_GBK" w:hAnsi="宋体" w:eastAsia="方正仿宋_GBK"/>
          <w:color w:val="000000" w:themeColor="text1"/>
          <w:sz w:val="24"/>
          <w:szCs w:val="24"/>
          <w14:textFill>
            <w14:solidFill>
              <w14:schemeClr w14:val="tx1"/>
            </w14:solidFill>
          </w14:textFill>
        </w:rPr>
      </w:pPr>
      <w:r>
        <w:rPr>
          <w:rFonts w:hint="eastAsia" w:ascii="方正仿宋_GBK" w:hAnsi="宋体" w:eastAsia="方正仿宋_GBK"/>
          <w:color w:val="000000" w:themeColor="text1"/>
          <w:sz w:val="24"/>
          <w:szCs w:val="24"/>
          <w14:textFill>
            <w14:solidFill>
              <w14:schemeClr w14:val="tx1"/>
            </w14:solidFill>
          </w14:textFill>
        </w:rPr>
        <w:t>1.智能安检手机探测门应安装在研考考务工作要求的人工安检通道位置，并隔出适当距离。</w:t>
      </w:r>
    </w:p>
    <w:p w14:paraId="1F63A939">
      <w:pPr>
        <w:snapToGrid w:val="0"/>
        <w:spacing w:line="400" w:lineRule="exact"/>
        <w:ind w:firstLine="480" w:firstLineChars="200"/>
        <w:rPr>
          <w:rFonts w:hint="eastAsia" w:ascii="方正仿宋_GBK" w:hAnsi="宋体" w:eastAsia="方正仿宋_GBK"/>
          <w:color w:val="000000" w:themeColor="text1"/>
          <w:sz w:val="24"/>
          <w:szCs w:val="24"/>
          <w14:textFill>
            <w14:solidFill>
              <w14:schemeClr w14:val="tx1"/>
            </w14:solidFill>
          </w14:textFill>
        </w:rPr>
      </w:pPr>
      <w:r>
        <w:rPr>
          <w:rFonts w:hint="eastAsia" w:ascii="方正仿宋_GBK" w:hAnsi="宋体" w:eastAsia="方正仿宋_GBK"/>
          <w:color w:val="000000" w:themeColor="text1"/>
          <w:sz w:val="24"/>
          <w:szCs w:val="24"/>
          <w14:textFill>
            <w14:solidFill>
              <w14:schemeClr w14:val="tx1"/>
            </w14:solidFill>
          </w14:textFill>
        </w:rPr>
        <w:t>2.智能安检手机探测门周围3米内无电梯、金属公告、LED广告板、金属门等大型的金属干扰物。</w:t>
      </w:r>
    </w:p>
    <w:p w14:paraId="61AFA308">
      <w:pPr>
        <w:snapToGrid w:val="0"/>
        <w:spacing w:line="400" w:lineRule="exact"/>
        <w:ind w:firstLine="480" w:firstLineChars="200"/>
        <w:rPr>
          <w:rFonts w:hint="eastAsia" w:ascii="方正仿宋_GBK" w:hAnsi="宋体" w:eastAsia="方正仿宋_GBK"/>
          <w:color w:val="000000" w:themeColor="text1"/>
          <w:sz w:val="24"/>
          <w:szCs w:val="24"/>
          <w14:textFill>
            <w14:solidFill>
              <w14:schemeClr w14:val="tx1"/>
            </w14:solidFill>
          </w14:textFill>
        </w:rPr>
      </w:pPr>
      <w:r>
        <w:rPr>
          <w:rFonts w:hint="eastAsia" w:ascii="方正仿宋_GBK" w:hAnsi="宋体" w:eastAsia="方正仿宋_GBK"/>
          <w:color w:val="000000" w:themeColor="text1"/>
          <w:sz w:val="24"/>
          <w:szCs w:val="24"/>
          <w14:textFill>
            <w14:solidFill>
              <w14:schemeClr w14:val="tx1"/>
            </w14:solidFill>
          </w14:textFill>
        </w:rPr>
        <w:t>3.门两侧1米内无金属腿的桌椅、隔离栏、手机屏蔽仪等金属物干扰。</w:t>
      </w:r>
    </w:p>
    <w:p w14:paraId="6F258DFE">
      <w:pPr>
        <w:snapToGrid w:val="0"/>
        <w:spacing w:line="400" w:lineRule="exact"/>
        <w:ind w:firstLine="480" w:firstLineChars="200"/>
        <w:rPr>
          <w:rFonts w:hint="eastAsia" w:ascii="方正仿宋_GBK" w:hAnsi="宋体" w:eastAsia="方正仿宋_GBK"/>
          <w:color w:val="000000" w:themeColor="text1"/>
          <w:sz w:val="24"/>
          <w:szCs w:val="24"/>
          <w14:textFill>
            <w14:solidFill>
              <w14:schemeClr w14:val="tx1"/>
            </w14:solidFill>
          </w14:textFill>
        </w:rPr>
      </w:pPr>
      <w:r>
        <w:rPr>
          <w:rFonts w:hint="eastAsia" w:ascii="方正仿宋_GBK" w:hAnsi="宋体" w:eastAsia="方正仿宋_GBK"/>
          <w:color w:val="000000" w:themeColor="text1"/>
          <w:sz w:val="24"/>
          <w:szCs w:val="24"/>
          <w14:textFill>
            <w14:solidFill>
              <w14:schemeClr w14:val="tx1"/>
            </w14:solidFill>
          </w14:textFill>
        </w:rPr>
        <w:t>4.门安装位置固定安全可靠，大风情况下周围无金属物晃动。</w:t>
      </w:r>
    </w:p>
    <w:p w14:paraId="53AE4FD3">
      <w:pPr>
        <w:snapToGrid w:val="0"/>
        <w:spacing w:line="400" w:lineRule="exact"/>
        <w:ind w:firstLine="482" w:firstLineChars="200"/>
        <w:rPr>
          <w:rFonts w:hint="eastAsia" w:ascii="方正仿宋_GBK" w:hAnsi="宋体" w:eastAsia="方正仿宋_GBK"/>
          <w:b/>
          <w:bCs/>
          <w:color w:val="000000" w:themeColor="text1"/>
          <w:sz w:val="24"/>
          <w:szCs w:val="24"/>
          <w14:textFill>
            <w14:solidFill>
              <w14:schemeClr w14:val="tx1"/>
            </w14:solidFill>
          </w14:textFill>
        </w:rPr>
      </w:pPr>
      <w:r>
        <w:rPr>
          <w:rFonts w:hint="eastAsia" w:ascii="方正仿宋_GBK" w:hAnsi="宋体" w:eastAsia="方正仿宋_GBK"/>
          <w:b/>
          <w:bCs/>
          <w:color w:val="000000" w:themeColor="text1"/>
          <w:sz w:val="24"/>
          <w:szCs w:val="24"/>
          <w14:textFill>
            <w14:solidFill>
              <w14:schemeClr w14:val="tx1"/>
            </w14:solidFill>
          </w14:textFill>
        </w:rPr>
        <w:t>5.带有可遮挡智能安检门的遮雨棚，且不影响设备的使用和检测效果，同时不影响考生进出。</w:t>
      </w:r>
    </w:p>
    <w:p w14:paraId="749A03DB">
      <w:pPr>
        <w:snapToGrid w:val="0"/>
        <w:spacing w:line="400" w:lineRule="exact"/>
        <w:ind w:firstLine="480" w:firstLineChars="200"/>
        <w:rPr>
          <w:rFonts w:hint="eastAsia" w:ascii="方正仿宋_GBK" w:hAnsi="宋体" w:eastAsia="方正仿宋_GBK"/>
          <w:color w:val="000000" w:themeColor="text1"/>
          <w:sz w:val="24"/>
          <w:szCs w:val="24"/>
          <w14:textFill>
            <w14:solidFill>
              <w14:schemeClr w14:val="tx1"/>
            </w14:solidFill>
          </w14:textFill>
        </w:rPr>
      </w:pPr>
      <w:r>
        <w:rPr>
          <w:rFonts w:hint="eastAsia" w:ascii="方正仿宋_GBK" w:hAnsi="宋体" w:eastAsia="方正仿宋_GBK"/>
          <w:color w:val="000000" w:themeColor="text1"/>
          <w:sz w:val="24"/>
          <w:szCs w:val="24"/>
          <w14:textFill>
            <w14:solidFill>
              <w14:schemeClr w14:val="tx1"/>
            </w14:solidFill>
          </w14:textFill>
        </w:rPr>
        <w:t>（二）调试要求：</w:t>
      </w:r>
    </w:p>
    <w:p w14:paraId="5BA551C6">
      <w:pPr>
        <w:snapToGrid w:val="0"/>
        <w:spacing w:line="400" w:lineRule="exact"/>
        <w:ind w:firstLine="480" w:firstLineChars="200"/>
        <w:rPr>
          <w:rFonts w:hint="eastAsia" w:ascii="方正仿宋_GBK" w:hAnsi="宋体" w:eastAsia="方正仿宋_GBK"/>
          <w:color w:val="000000" w:themeColor="text1"/>
          <w:sz w:val="24"/>
          <w:szCs w:val="24"/>
          <w14:textFill>
            <w14:solidFill>
              <w14:schemeClr w14:val="tx1"/>
            </w14:solidFill>
          </w14:textFill>
        </w:rPr>
      </w:pPr>
      <w:r>
        <w:rPr>
          <w:rFonts w:hint="eastAsia" w:ascii="方正仿宋_GBK" w:hAnsi="宋体" w:eastAsia="方正仿宋_GBK"/>
          <w:color w:val="000000" w:themeColor="text1"/>
          <w:sz w:val="24"/>
          <w:szCs w:val="24"/>
          <w14:textFill>
            <w14:solidFill>
              <w14:schemeClr w14:val="tx1"/>
            </w14:solidFill>
          </w14:textFill>
        </w:rPr>
        <w:t>1.设备安装完成，应对智能安检手机探测门进行全面测试。</w:t>
      </w:r>
    </w:p>
    <w:p w14:paraId="36F07E29">
      <w:pPr>
        <w:snapToGrid w:val="0"/>
        <w:spacing w:line="400" w:lineRule="exact"/>
        <w:ind w:firstLine="480" w:firstLineChars="200"/>
        <w:rPr>
          <w:rFonts w:hint="eastAsia" w:ascii="方正仿宋_GBK" w:hAnsi="宋体" w:eastAsia="方正仿宋_GBK"/>
          <w:color w:val="000000" w:themeColor="text1"/>
          <w:sz w:val="24"/>
          <w:szCs w:val="24"/>
          <w14:textFill>
            <w14:solidFill>
              <w14:schemeClr w14:val="tx1"/>
            </w14:solidFill>
          </w14:textFill>
        </w:rPr>
      </w:pPr>
      <w:r>
        <w:rPr>
          <w:rFonts w:hint="eastAsia" w:ascii="方正仿宋_GBK" w:hAnsi="宋体" w:eastAsia="方正仿宋_GBK"/>
          <w:color w:val="000000" w:themeColor="text1"/>
          <w:sz w:val="24"/>
          <w:szCs w:val="24"/>
          <w14:textFill>
            <w14:solidFill>
              <w14:schemeClr w14:val="tx1"/>
            </w14:solidFill>
          </w14:textFill>
        </w:rPr>
        <w:t>误报率测试：至少3人分别携带小串钥匙、皮带扣、眼镜、打火机、五金工具、短柄雨伞、金属圆规等物品通过智能安检手机探测门，至少双向循环3次，不会发出警报声（部分智能程度高的产品会有屏幕显示提示类型但不发出报警声，即不算误报）。</w:t>
      </w:r>
    </w:p>
    <w:p w14:paraId="31C90C8F">
      <w:pPr>
        <w:snapToGrid w:val="0"/>
        <w:spacing w:line="400" w:lineRule="exact"/>
        <w:ind w:firstLine="480" w:firstLineChars="200"/>
        <w:rPr>
          <w:rFonts w:hint="eastAsia" w:ascii="方正仿宋_GBK" w:hAnsi="宋体" w:eastAsia="方正仿宋_GBK"/>
          <w:color w:val="000000" w:themeColor="text1"/>
          <w:sz w:val="24"/>
          <w:szCs w:val="24"/>
          <w14:textFill>
            <w14:solidFill>
              <w14:schemeClr w14:val="tx1"/>
            </w14:solidFill>
          </w14:textFill>
        </w:rPr>
      </w:pPr>
      <w:r>
        <w:rPr>
          <w:rFonts w:hint="eastAsia" w:ascii="方正仿宋_GBK" w:hAnsi="宋体" w:eastAsia="方正仿宋_GBK"/>
          <w:color w:val="000000" w:themeColor="text1"/>
          <w:sz w:val="24"/>
          <w:szCs w:val="24"/>
          <w14:textFill>
            <w14:solidFill>
              <w14:schemeClr w14:val="tx1"/>
            </w14:solidFill>
          </w14:textFill>
        </w:rPr>
        <w:t>漏报率（手机）测试：至少3人携带手机，分别置于头部（高个子的头部）、胸部、脚部、大腿内侧、上衣和裤子口袋、袖口、手持文件袋等部位，每个部位至少双向循环3次，正常发出警报声，报警声应短于1秒。</w:t>
      </w:r>
    </w:p>
    <w:p w14:paraId="70FC1E08">
      <w:pPr>
        <w:snapToGrid w:val="0"/>
        <w:spacing w:line="400" w:lineRule="exact"/>
        <w:ind w:firstLine="480" w:firstLineChars="200"/>
        <w:rPr>
          <w:rFonts w:hint="eastAsia" w:ascii="方正仿宋_GBK" w:hAnsi="宋体" w:eastAsia="方正仿宋_GBK"/>
          <w:color w:val="000000" w:themeColor="text1"/>
          <w:sz w:val="24"/>
          <w:szCs w:val="24"/>
          <w14:textFill>
            <w14:solidFill>
              <w14:schemeClr w14:val="tx1"/>
            </w14:solidFill>
          </w14:textFill>
        </w:rPr>
      </w:pPr>
      <w:r>
        <w:rPr>
          <w:rFonts w:hint="eastAsia" w:ascii="方正仿宋_GBK" w:hAnsi="宋体" w:eastAsia="方正仿宋_GBK"/>
          <w:color w:val="000000" w:themeColor="text1"/>
          <w:sz w:val="24"/>
          <w:szCs w:val="24"/>
          <w14:textFill>
            <w14:solidFill>
              <w14:schemeClr w14:val="tx1"/>
            </w14:solidFill>
          </w14:textFill>
        </w:rPr>
        <w:t>因为需要排除皮带扣，针对离地面70-120位置进行重点测试，即邀请150cm-185cm不同身高的裤兜携带手机和在两腿根部夹带手机反复门居中通行测试，头部测试需要身高180cm以上人员将手机水平放置头顶快速通行。</w:t>
      </w:r>
    </w:p>
    <w:p w14:paraId="7F024CB6">
      <w:pPr>
        <w:snapToGrid w:val="0"/>
        <w:spacing w:line="400" w:lineRule="exact"/>
        <w:ind w:firstLine="480" w:firstLineChars="200"/>
        <w:rPr>
          <w:rFonts w:hint="eastAsia" w:ascii="方正仿宋_GBK" w:hAnsi="宋体" w:eastAsia="方正仿宋_GBK"/>
          <w:color w:val="000000" w:themeColor="text1"/>
          <w:sz w:val="24"/>
          <w:szCs w:val="24"/>
          <w14:textFill>
            <w14:solidFill>
              <w14:schemeClr w14:val="tx1"/>
            </w14:solidFill>
          </w14:textFill>
        </w:rPr>
      </w:pPr>
      <w:r>
        <w:rPr>
          <w:rFonts w:hint="eastAsia" w:ascii="方正仿宋_GBK" w:hAnsi="宋体" w:eastAsia="方正仿宋_GBK"/>
          <w:color w:val="000000" w:themeColor="text1"/>
          <w:sz w:val="24"/>
          <w:szCs w:val="24"/>
          <w14:textFill>
            <w14:solidFill>
              <w14:schemeClr w14:val="tx1"/>
            </w14:solidFill>
          </w14:textFill>
        </w:rPr>
        <w:t>检测脚部（鞋子底部的）需要供应商适当增加灵敏度或采用垫高地面通过。</w:t>
      </w:r>
    </w:p>
    <w:p w14:paraId="232A36D3">
      <w:pPr>
        <w:snapToGrid w:val="0"/>
        <w:spacing w:line="400" w:lineRule="exact"/>
        <w:ind w:firstLine="480" w:firstLineChars="200"/>
        <w:rPr>
          <w:rFonts w:hint="eastAsia" w:ascii="方正仿宋_GBK" w:hAnsi="宋体" w:eastAsia="方正仿宋_GBK"/>
          <w:color w:val="000000" w:themeColor="text1"/>
          <w:sz w:val="24"/>
          <w:szCs w:val="24"/>
          <w:lang w:val="en-US" w:eastAsia="zh-CN"/>
          <w14:textFill>
            <w14:solidFill>
              <w14:schemeClr w14:val="tx1"/>
            </w14:solidFill>
          </w14:textFill>
        </w:rPr>
      </w:pPr>
      <w:r>
        <w:rPr>
          <w:rFonts w:hint="eastAsia" w:ascii="方正仿宋_GBK" w:hAnsi="宋体" w:eastAsia="方正仿宋_GBK"/>
          <w:color w:val="000000" w:themeColor="text1"/>
          <w:sz w:val="24"/>
          <w:szCs w:val="24"/>
          <w:lang w:val="en-US" w:eastAsia="zh-CN"/>
          <w14:textFill>
            <w14:solidFill>
              <w14:schemeClr w14:val="tx1"/>
            </w14:solidFill>
          </w14:textFill>
        </w:rPr>
        <w:t>双向测试：至少3人需要带上手机从智能安检门的前后不同方向进入，避免由前后进出造成安检结果不一。</w:t>
      </w:r>
    </w:p>
    <w:p w14:paraId="654B329B">
      <w:pPr>
        <w:snapToGrid w:val="0"/>
        <w:spacing w:line="400" w:lineRule="exact"/>
        <w:ind w:firstLine="480" w:firstLineChars="200"/>
        <w:rPr>
          <w:rFonts w:hint="eastAsia" w:ascii="方正仿宋_GBK" w:hAnsi="宋体" w:eastAsia="方正仿宋_GBK"/>
          <w:color w:val="000000" w:themeColor="text1"/>
          <w:sz w:val="24"/>
          <w:szCs w:val="24"/>
          <w:lang w:val="en-US" w:eastAsia="zh-CN"/>
          <w14:textFill>
            <w14:solidFill>
              <w14:schemeClr w14:val="tx1"/>
            </w14:solidFill>
          </w14:textFill>
        </w:rPr>
      </w:pPr>
      <w:r>
        <w:rPr>
          <w:rFonts w:hint="eastAsia" w:ascii="方正仿宋_GBK" w:hAnsi="宋体" w:eastAsia="方正仿宋_GBK"/>
          <w:color w:val="000000" w:themeColor="text1"/>
          <w:sz w:val="24"/>
          <w:szCs w:val="24"/>
          <w:lang w:val="en-US" w:eastAsia="zh-CN"/>
          <w14:textFill>
            <w14:solidFill>
              <w14:schemeClr w14:val="tx1"/>
            </w14:solidFill>
          </w14:textFill>
        </w:rPr>
        <w:t>2.设备调试完成后，不能再进行设备位置的调整，如确需调整位置，应在调整完成后按上述步骤重新进行测试。</w:t>
      </w:r>
    </w:p>
    <w:p w14:paraId="026EB4F7">
      <w:pPr>
        <w:snapToGrid w:val="0"/>
        <w:spacing w:line="400" w:lineRule="exact"/>
        <w:ind w:firstLine="480" w:firstLineChars="200"/>
        <w:rPr>
          <w:rFonts w:hint="default" w:ascii="方正仿宋_GBK" w:hAnsi="宋体" w:eastAsia="方正仿宋_GBK"/>
          <w:b w:val="0"/>
          <w:bCs w:val="0"/>
          <w:sz w:val="24"/>
          <w:szCs w:val="24"/>
          <w:lang w:val="en-US" w:eastAsia="zh-CN"/>
        </w:rPr>
      </w:pPr>
      <w:r>
        <w:rPr>
          <w:rFonts w:hint="eastAsia" w:ascii="方正仿宋_GBK" w:hAnsi="宋体" w:eastAsia="方正仿宋_GBK"/>
          <w:color w:val="000000" w:themeColor="text1"/>
          <w:sz w:val="24"/>
          <w:szCs w:val="24"/>
          <w:lang w:val="en-US" w:eastAsia="zh-CN"/>
          <w14:textFill>
            <w14:solidFill>
              <w14:schemeClr w14:val="tx1"/>
            </w14:solidFill>
          </w14:textFill>
        </w:rPr>
        <w:t>3.配备厂家技术人员保障，以备设备出现故障可及时处理，确保设备检测效果符合考试要求。</w:t>
      </w:r>
    </w:p>
    <w:p w14:paraId="5DEF6C45">
      <w:pPr>
        <w:widowControl w:val="0"/>
        <w:numPr>
          <w:ilvl w:val="0"/>
          <w:numId w:val="0"/>
        </w:numPr>
        <w:snapToGrid w:val="0"/>
        <w:spacing w:line="400" w:lineRule="exact"/>
        <w:jc w:val="both"/>
        <w:rPr>
          <w:rFonts w:hint="default" w:ascii="方正仿宋_GBK" w:hAnsi="宋体" w:eastAsia="方正仿宋_GBK"/>
          <w:sz w:val="24"/>
          <w:szCs w:val="24"/>
          <w:lang w:val="en-US" w:eastAsia="zh-CN"/>
        </w:rPr>
      </w:pPr>
    </w:p>
    <w:p w14:paraId="1B6B7202">
      <w:pPr>
        <w:rPr>
          <w:rFonts w:hint="eastAsia" w:ascii="方正仿宋_GBK" w:eastAsia="方正仿宋_GBK"/>
          <w:b/>
        </w:rPr>
      </w:pPr>
      <w:bookmarkStart w:id="4" w:name="_Toc63431459"/>
      <w:r>
        <w:rPr>
          <w:rFonts w:hint="eastAsia" w:ascii="方正仿宋_GBK" w:eastAsia="方正仿宋_GBK"/>
          <w:b/>
        </w:rPr>
        <w:br w:type="page"/>
      </w:r>
    </w:p>
    <w:p w14:paraId="5EEDA86B">
      <w:pPr>
        <w:pStyle w:val="2"/>
        <w:spacing w:before="0" w:beforeLines="0" w:after="0" w:afterLines="0" w:line="360" w:lineRule="auto"/>
        <w:rPr>
          <w:rFonts w:ascii="方正仿宋_GBK" w:eastAsia="方正仿宋_GBK"/>
          <w:b/>
        </w:rPr>
      </w:pPr>
      <w:r>
        <w:rPr>
          <w:rFonts w:hint="eastAsia" w:ascii="方正仿宋_GBK" w:eastAsia="方正仿宋_GBK"/>
          <w:b/>
        </w:rPr>
        <w:t>第二篇  项目商务需求</w:t>
      </w:r>
      <w:bookmarkEnd w:id="4"/>
    </w:p>
    <w:p w14:paraId="224B6EDF">
      <w:pPr>
        <w:pStyle w:val="3"/>
        <w:spacing w:line="400" w:lineRule="exact"/>
        <w:ind w:firstLine="482" w:firstLineChars="200"/>
        <w:rPr>
          <w:rFonts w:ascii="方正仿宋_GBK" w:eastAsia="方正仿宋_GBK"/>
          <w:b/>
          <w:sz w:val="24"/>
          <w:szCs w:val="24"/>
        </w:rPr>
      </w:pPr>
      <w:bookmarkStart w:id="5" w:name="_Toc267320049"/>
      <w:bookmarkStart w:id="6" w:name="_Toc63431460"/>
      <w:r>
        <w:rPr>
          <w:rFonts w:hint="eastAsia" w:ascii="方正仿宋_GBK" w:eastAsia="方正仿宋_GBK"/>
          <w:b/>
          <w:sz w:val="24"/>
          <w:szCs w:val="24"/>
        </w:rPr>
        <w:t>一、服务期、服务地点及考核方式</w:t>
      </w:r>
      <w:bookmarkEnd w:id="5"/>
      <w:bookmarkEnd w:id="6"/>
    </w:p>
    <w:p w14:paraId="480F1C17">
      <w:pPr>
        <w:snapToGrid w:val="0"/>
        <w:spacing w:line="400" w:lineRule="exact"/>
        <w:ind w:firstLine="480" w:firstLineChars="200"/>
        <w:rPr>
          <w:rFonts w:ascii="方正仿宋_GBK" w:hAnsi="宋体" w:eastAsia="方正仿宋_GBK" w:cs="宋体"/>
          <w:kern w:val="0"/>
          <w:sz w:val="24"/>
          <w:szCs w:val="24"/>
        </w:rPr>
      </w:pPr>
      <w:r>
        <w:rPr>
          <w:rFonts w:hint="eastAsia" w:ascii="方正仿宋_GBK" w:hAnsi="宋体" w:eastAsia="方正仿宋_GBK" w:cs="宋体"/>
          <w:kern w:val="0"/>
          <w:sz w:val="24"/>
          <w:szCs w:val="24"/>
        </w:rPr>
        <w:t>（一）服务期</w:t>
      </w:r>
    </w:p>
    <w:p w14:paraId="28CFFD8B">
      <w:pPr>
        <w:snapToGrid w:val="0"/>
        <w:spacing w:line="400" w:lineRule="exact"/>
        <w:ind w:firstLine="480" w:firstLineChars="200"/>
        <w:rPr>
          <w:rFonts w:ascii="方正仿宋_GBK" w:hAnsi="宋体" w:eastAsia="方正仿宋_GBK" w:cs="宋体"/>
          <w:kern w:val="0"/>
          <w:sz w:val="24"/>
          <w:szCs w:val="24"/>
        </w:rPr>
      </w:pPr>
      <w:r>
        <w:rPr>
          <w:rFonts w:hint="eastAsia" w:ascii="方正仿宋_GBK" w:hAnsi="宋体" w:eastAsia="方正仿宋_GBK" w:cs="宋体"/>
          <w:kern w:val="0"/>
          <w:sz w:val="24"/>
          <w:szCs w:val="24"/>
        </w:rPr>
        <w:t>服务期2年，2026和2027年研究生招生考试初试期间。具体时间以当年研招考试</w:t>
      </w:r>
      <w:r>
        <w:rPr>
          <w:rFonts w:hint="eastAsia" w:ascii="方正仿宋_GBK" w:hAnsi="宋体" w:eastAsia="方正仿宋_GBK" w:cs="宋体"/>
          <w:kern w:val="0"/>
          <w:sz w:val="24"/>
          <w:szCs w:val="24"/>
          <w:lang w:val="en-US" w:eastAsia="zh-CN"/>
        </w:rPr>
        <w:t>时间</w:t>
      </w:r>
      <w:r>
        <w:rPr>
          <w:rFonts w:hint="eastAsia" w:ascii="方正仿宋_GBK" w:hAnsi="宋体" w:eastAsia="方正仿宋_GBK" w:cs="宋体"/>
          <w:kern w:val="0"/>
          <w:sz w:val="24"/>
          <w:szCs w:val="24"/>
        </w:rPr>
        <w:t>为准。</w:t>
      </w:r>
    </w:p>
    <w:p w14:paraId="6B5E9009">
      <w:pPr>
        <w:snapToGrid w:val="0"/>
        <w:spacing w:line="400" w:lineRule="exact"/>
        <w:ind w:firstLine="480" w:firstLineChars="200"/>
        <w:rPr>
          <w:rFonts w:ascii="方正仿宋_GBK" w:hAnsi="宋体" w:eastAsia="方正仿宋_GBK" w:cs="宋体"/>
          <w:kern w:val="0"/>
          <w:sz w:val="24"/>
          <w:szCs w:val="24"/>
        </w:rPr>
      </w:pPr>
      <w:r>
        <w:rPr>
          <w:rFonts w:hint="eastAsia" w:ascii="方正仿宋_GBK" w:hAnsi="宋体" w:eastAsia="方正仿宋_GBK" w:cs="宋体"/>
          <w:kern w:val="0"/>
          <w:sz w:val="24"/>
          <w:szCs w:val="24"/>
        </w:rPr>
        <w:t>（二）服务地点</w:t>
      </w:r>
    </w:p>
    <w:p w14:paraId="5ED24EC8">
      <w:pPr>
        <w:snapToGrid w:val="0"/>
        <w:spacing w:line="400" w:lineRule="exact"/>
        <w:ind w:firstLine="480" w:firstLineChars="200"/>
        <w:rPr>
          <w:rFonts w:ascii="方正仿宋_GBK" w:hAnsi="宋体" w:eastAsia="方正仿宋_GBK" w:cs="宋体"/>
          <w:kern w:val="0"/>
          <w:sz w:val="24"/>
          <w:szCs w:val="24"/>
        </w:rPr>
      </w:pPr>
      <w:r>
        <w:rPr>
          <w:rFonts w:hint="eastAsia" w:ascii="方正仿宋_GBK" w:hAnsi="宋体" w:eastAsia="方正仿宋_GBK" w:cs="宋体"/>
          <w:kern w:val="0"/>
          <w:sz w:val="24"/>
          <w:szCs w:val="24"/>
        </w:rPr>
        <w:t>服务地点：</w:t>
      </w:r>
      <w:r>
        <w:rPr>
          <w:rFonts w:hint="eastAsia" w:ascii="方正仿宋_GBK" w:hAnsi="宋体" w:eastAsia="方正仿宋_GBK" w:cs="宋体"/>
          <w:kern w:val="0"/>
          <w:sz w:val="24"/>
          <w:szCs w:val="24"/>
          <w:lang w:val="en-US" w:eastAsia="zh-CN"/>
        </w:rPr>
        <w:t>以当年研究生院确定的实际地点为准</w:t>
      </w:r>
      <w:r>
        <w:rPr>
          <w:rFonts w:hint="eastAsia" w:ascii="方正仿宋_GBK" w:hAnsi="宋体" w:eastAsia="方正仿宋_GBK" w:cs="宋体"/>
          <w:kern w:val="0"/>
          <w:sz w:val="24"/>
          <w:szCs w:val="24"/>
        </w:rPr>
        <w:t>。</w:t>
      </w:r>
    </w:p>
    <w:p w14:paraId="27854C26">
      <w:pPr>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0" w:firstLineChars="200"/>
        <w:textAlignment w:val="auto"/>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lang w:eastAsia="zh-CN"/>
        </w:rPr>
        <w:t>（</w:t>
      </w:r>
      <w:r>
        <w:rPr>
          <w:rFonts w:hint="eastAsia" w:ascii="方正仿宋_GBK" w:hAnsi="宋体" w:eastAsia="方正仿宋_GBK" w:cs="宋体"/>
          <w:kern w:val="0"/>
          <w:sz w:val="24"/>
          <w:szCs w:val="24"/>
          <w:lang w:val="en-US" w:eastAsia="zh-CN"/>
        </w:rPr>
        <w:t>三</w:t>
      </w:r>
      <w:r>
        <w:rPr>
          <w:rFonts w:hint="eastAsia" w:ascii="方正仿宋_GBK" w:hAnsi="宋体" w:eastAsia="方正仿宋_GBK" w:cs="宋体"/>
          <w:kern w:val="0"/>
          <w:sz w:val="24"/>
          <w:szCs w:val="24"/>
          <w:lang w:eastAsia="zh-CN"/>
        </w:rPr>
        <w:t>）</w:t>
      </w:r>
      <w:r>
        <w:rPr>
          <w:rFonts w:hint="eastAsia" w:ascii="方正仿宋_GBK" w:hAnsi="宋体" w:eastAsia="方正仿宋_GBK" w:cs="宋体"/>
          <w:kern w:val="0"/>
          <w:sz w:val="24"/>
          <w:szCs w:val="24"/>
        </w:rPr>
        <w:t>考核方式或验收标准（如有可执行标准，有上级文件要求，有法律法规规定，应当明确。）</w:t>
      </w:r>
    </w:p>
    <w:p w14:paraId="38935751">
      <w:pPr>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0" w:firstLineChars="200"/>
        <w:textAlignment w:val="auto"/>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lang w:val="en-US" w:eastAsia="zh-CN"/>
        </w:rPr>
        <w:t>1.</w:t>
      </w:r>
      <w:r>
        <w:rPr>
          <w:rFonts w:hint="eastAsia" w:ascii="方正仿宋_GBK" w:hAnsi="宋体" w:eastAsia="方正仿宋_GBK" w:cs="宋体"/>
          <w:kern w:val="0"/>
          <w:sz w:val="24"/>
          <w:szCs w:val="24"/>
        </w:rPr>
        <w:t>租赁设备根据承租人指定的交货地点，由供货商向指定现场代理人交货。</w:t>
      </w:r>
    </w:p>
    <w:p w14:paraId="3051525D">
      <w:pPr>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0" w:firstLineChars="200"/>
        <w:textAlignment w:val="auto"/>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lang w:val="en-US" w:eastAsia="zh-CN"/>
        </w:rPr>
        <w:t>2.</w:t>
      </w:r>
      <w:r>
        <w:rPr>
          <w:rFonts w:hint="eastAsia" w:ascii="方正仿宋_GBK" w:hAnsi="宋体" w:eastAsia="方正仿宋_GBK" w:cs="宋体"/>
          <w:kern w:val="0"/>
          <w:sz w:val="24"/>
          <w:szCs w:val="24"/>
        </w:rPr>
        <w:t>承租方应自收货时起24小时内在交货地点检查验收租赁设备，同时将签收盖章后的租赁设备的验收收据交给供货商。</w:t>
      </w:r>
    </w:p>
    <w:p w14:paraId="1C8BCDEF">
      <w:pPr>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0" w:firstLineChars="200"/>
        <w:textAlignment w:val="auto"/>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lang w:val="en-US" w:eastAsia="zh-CN"/>
        </w:rPr>
        <w:t>3.</w:t>
      </w:r>
      <w:r>
        <w:rPr>
          <w:rFonts w:hint="eastAsia" w:ascii="方正仿宋_GBK" w:hAnsi="宋体" w:eastAsia="方正仿宋_GBK" w:cs="宋体"/>
          <w:kern w:val="0"/>
          <w:sz w:val="24"/>
          <w:szCs w:val="24"/>
        </w:rPr>
        <w:t>如果承租方未按前款规定的时间办理验收，供货商则视为租赁设备已在完整状态下由现场代理人验收完毕，并视同承租方已经将租赁设备的验收收据交付给供货商。</w:t>
      </w:r>
    </w:p>
    <w:p w14:paraId="0AD326A0">
      <w:pPr>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0" w:firstLineChars="200"/>
        <w:textAlignment w:val="auto"/>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lang w:val="en-US" w:eastAsia="zh-CN"/>
        </w:rPr>
        <w:t>4.</w:t>
      </w:r>
      <w:r>
        <w:rPr>
          <w:rFonts w:hint="eastAsia" w:ascii="方正仿宋_GBK" w:hAnsi="宋体" w:eastAsia="方正仿宋_GBK" w:cs="宋体"/>
          <w:kern w:val="0"/>
          <w:sz w:val="24"/>
          <w:szCs w:val="24"/>
        </w:rPr>
        <w:t>如果承租方在验收时发现租赁设备的型号、规格、数量和技术性能等有不符、不良或瑕疵等属于供货商的责任时，承租方应在交货当天，立即将上述情况书面通知供货商，由供货商负责处理，否则视为租赁设备符合本次租赁设备的约定要求。</w:t>
      </w:r>
    </w:p>
    <w:p w14:paraId="35F94634">
      <w:pPr>
        <w:pStyle w:val="3"/>
        <w:spacing w:line="400" w:lineRule="exact"/>
        <w:ind w:firstLine="482" w:firstLineChars="200"/>
        <w:rPr>
          <w:rFonts w:ascii="方正仿宋_GBK" w:eastAsia="方正仿宋_GBK"/>
          <w:b/>
          <w:sz w:val="24"/>
          <w:szCs w:val="24"/>
        </w:rPr>
      </w:pPr>
      <w:bookmarkStart w:id="7" w:name="_Toc63431461"/>
      <w:bookmarkStart w:id="8" w:name="_Toc267320050"/>
      <w:r>
        <w:rPr>
          <w:rFonts w:hint="eastAsia" w:ascii="方正仿宋_GBK" w:eastAsia="方正仿宋_GBK"/>
          <w:b/>
          <w:sz w:val="24"/>
          <w:szCs w:val="24"/>
        </w:rPr>
        <w:t>二、报价要求</w:t>
      </w:r>
      <w:bookmarkEnd w:id="7"/>
    </w:p>
    <w:p w14:paraId="3C98AC8D">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我校考点近三年的考生人数在3500人左右，均在博智楼进行，经过</w:t>
      </w:r>
      <w:r>
        <w:rPr>
          <w:rFonts w:hint="eastAsia" w:ascii="方正仿宋_GBK" w:hAnsi="宋体" w:eastAsia="方正仿宋_GBK"/>
          <w:sz w:val="24"/>
          <w:szCs w:val="24"/>
          <w:lang w:val="en-US" w:eastAsia="zh-CN"/>
        </w:rPr>
        <w:t>2024、2025年硕士研究生招生考试的使用、测</w:t>
      </w:r>
      <w:r>
        <w:rPr>
          <w:rFonts w:hint="eastAsia" w:ascii="方正仿宋_GBK" w:hAnsi="宋体" w:eastAsia="方正仿宋_GBK"/>
          <w:sz w:val="24"/>
          <w:szCs w:val="24"/>
        </w:rPr>
        <w:t>试，至少需要</w:t>
      </w:r>
      <w:r>
        <w:rPr>
          <w:rFonts w:hint="eastAsia" w:ascii="方正仿宋_GBK" w:hAnsi="宋体" w:eastAsia="方正仿宋_GBK"/>
          <w:sz w:val="24"/>
          <w:szCs w:val="24"/>
          <w:lang w:val="en-US" w:eastAsia="zh-CN"/>
        </w:rPr>
        <w:t>6</w:t>
      </w:r>
      <w:r>
        <w:rPr>
          <w:rFonts w:hint="eastAsia" w:ascii="方正仿宋_GBK" w:hAnsi="宋体" w:eastAsia="方正仿宋_GBK"/>
          <w:sz w:val="24"/>
          <w:szCs w:val="24"/>
        </w:rPr>
        <w:t>台智能安检门，方可不耽搁考生进场时间。</w:t>
      </w:r>
    </w:p>
    <w:p w14:paraId="52C16951">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本次设备租金限价</w:t>
      </w:r>
      <w:r>
        <w:rPr>
          <w:rFonts w:hint="eastAsia" w:ascii="方正仿宋_GBK" w:hAnsi="宋体" w:eastAsia="方正仿宋_GBK"/>
          <w:sz w:val="24"/>
          <w:szCs w:val="24"/>
          <w:lang w:val="en-US" w:eastAsia="zh-CN"/>
        </w:rPr>
        <w:t>4000</w:t>
      </w:r>
      <w:r>
        <w:rPr>
          <w:rFonts w:hint="eastAsia" w:ascii="方正仿宋_GBK" w:hAnsi="宋体" w:eastAsia="方正仿宋_GBK"/>
          <w:sz w:val="24"/>
          <w:szCs w:val="24"/>
        </w:rPr>
        <w:t>元/台</w:t>
      </w:r>
      <w:r>
        <w:rPr>
          <w:rFonts w:hint="eastAsia" w:ascii="方正仿宋_GBK" w:hAnsi="宋体" w:eastAsia="方正仿宋_GBK"/>
          <w:sz w:val="24"/>
          <w:szCs w:val="24"/>
          <w:lang w:val="en-US" w:eastAsia="zh-CN"/>
        </w:rPr>
        <w:t>/天</w:t>
      </w:r>
      <w:r>
        <w:rPr>
          <w:rFonts w:hint="eastAsia" w:ascii="方正仿宋_GBK" w:hAnsi="宋体" w:eastAsia="方正仿宋_GBK"/>
          <w:sz w:val="24"/>
          <w:szCs w:val="24"/>
        </w:rPr>
        <w:t>，实际租赁数量</w:t>
      </w:r>
      <w:r>
        <w:rPr>
          <w:rFonts w:hint="eastAsia" w:ascii="方正仿宋_GBK" w:hAnsi="宋体" w:eastAsia="方正仿宋_GBK"/>
          <w:sz w:val="24"/>
          <w:szCs w:val="24"/>
          <w:lang w:val="en-US" w:eastAsia="zh-CN"/>
        </w:rPr>
        <w:t>根据当年实际情况确定，至少考试期间每天能提供6台智能安检门。</w:t>
      </w:r>
    </w:p>
    <w:p w14:paraId="19957D45">
      <w:pPr>
        <w:snapToGrid w:val="0"/>
        <w:spacing w:line="400" w:lineRule="exact"/>
        <w:ind w:firstLine="480" w:firstLineChars="200"/>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rPr>
        <w:t>本次报价须为人民币报价，包含：</w:t>
      </w:r>
    </w:p>
    <w:p w14:paraId="79AC6A97">
      <w:pPr>
        <w:snapToGrid w:val="0"/>
        <w:spacing w:line="400" w:lineRule="exact"/>
        <w:ind w:firstLine="480" w:firstLineChars="200"/>
        <w:rPr>
          <w:rFonts w:hint="eastAsia" w:ascii="方正仿宋_GBK" w:hAnsi="宋体" w:eastAsia="方正仿宋_GBK" w:cs="宋体"/>
          <w:kern w:val="0"/>
          <w:sz w:val="24"/>
          <w:szCs w:val="24"/>
        </w:rPr>
      </w:pPr>
      <w:r>
        <w:rPr>
          <w:rFonts w:hint="eastAsia" w:ascii="方正仿宋_GBK" w:hAnsi="宋体" w:eastAsia="方正仿宋_GBK" w:cs="宋体"/>
          <w:kern w:val="0"/>
          <w:sz w:val="24"/>
          <w:szCs w:val="24"/>
          <w:lang w:val="en-US" w:eastAsia="zh-CN"/>
        </w:rPr>
        <w:t>（一）</w:t>
      </w:r>
      <w:r>
        <w:rPr>
          <w:rFonts w:hint="eastAsia" w:ascii="方正仿宋_GBK" w:hAnsi="宋体" w:eastAsia="方正仿宋_GBK" w:cs="宋体"/>
          <w:kern w:val="0"/>
          <w:sz w:val="24"/>
          <w:szCs w:val="24"/>
        </w:rPr>
        <w:t>在租赁期限内的智能安检门租金、雨棚搭建等费用；</w:t>
      </w:r>
    </w:p>
    <w:p w14:paraId="5BE9EDED">
      <w:pPr>
        <w:snapToGrid w:val="0"/>
        <w:spacing w:line="400" w:lineRule="exact"/>
        <w:ind w:firstLine="480" w:firstLineChars="200"/>
        <w:rPr>
          <w:rFonts w:hint="eastAsia" w:ascii="方正仿宋_GBK" w:hAnsi="宋体" w:eastAsia="方正仿宋_GBK" w:cs="宋体"/>
          <w:kern w:val="0"/>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二</w:t>
      </w:r>
      <w:r>
        <w:rPr>
          <w:rFonts w:hint="eastAsia" w:ascii="方正仿宋_GBK" w:hAnsi="宋体" w:eastAsia="方正仿宋_GBK"/>
          <w:sz w:val="24"/>
          <w:szCs w:val="24"/>
        </w:rPr>
        <w:t>）</w:t>
      </w:r>
      <w:r>
        <w:rPr>
          <w:rFonts w:hint="eastAsia" w:ascii="方正仿宋_GBK" w:hAnsi="宋体" w:eastAsia="方正仿宋_GBK" w:cs="宋体"/>
          <w:kern w:val="0"/>
          <w:sz w:val="24"/>
          <w:szCs w:val="24"/>
        </w:rPr>
        <w:t>考试期间</w:t>
      </w:r>
      <w:r>
        <w:rPr>
          <w:rFonts w:hint="eastAsia" w:ascii="方正仿宋_GBK" w:hAnsi="宋体" w:eastAsia="方正仿宋_GBK" w:cs="宋体"/>
          <w:kern w:val="0"/>
          <w:sz w:val="24"/>
          <w:szCs w:val="24"/>
          <w:lang w:eastAsia="zh-CN"/>
        </w:rPr>
        <w:t>供应商</w:t>
      </w:r>
      <w:r>
        <w:rPr>
          <w:rFonts w:hint="eastAsia" w:ascii="方正仿宋_GBK" w:hAnsi="宋体" w:eastAsia="方正仿宋_GBK" w:cs="宋体"/>
          <w:kern w:val="0"/>
          <w:sz w:val="24"/>
          <w:szCs w:val="24"/>
        </w:rPr>
        <w:t>人员对设备的安装、调试、保障、拆除费</w:t>
      </w:r>
      <w:r>
        <w:rPr>
          <w:rFonts w:hint="eastAsia" w:ascii="方正仿宋_GBK" w:hAnsi="宋体" w:eastAsia="方正仿宋_GBK" w:cs="宋体"/>
          <w:kern w:val="0"/>
          <w:sz w:val="24"/>
          <w:szCs w:val="24"/>
          <w:lang w:eastAsia="zh-CN"/>
        </w:rPr>
        <w:t>、</w:t>
      </w:r>
      <w:r>
        <w:rPr>
          <w:rFonts w:hint="eastAsia" w:ascii="方正仿宋_GBK" w:hAnsi="宋体" w:eastAsia="方正仿宋_GBK" w:cs="宋体"/>
          <w:kern w:val="0"/>
          <w:sz w:val="24"/>
          <w:szCs w:val="24"/>
          <w:lang w:val="en-US" w:eastAsia="zh-CN"/>
        </w:rPr>
        <w:t>租赁设备的进退场的费用、运费；</w:t>
      </w:r>
    </w:p>
    <w:p w14:paraId="6AE57683">
      <w:pPr>
        <w:snapToGrid w:val="0"/>
        <w:spacing w:line="400" w:lineRule="exact"/>
        <w:ind w:firstLine="480" w:firstLineChars="200"/>
        <w:rPr>
          <w:rFonts w:hint="eastAsia" w:ascii="方正仿宋_GBK" w:hAnsi="宋体" w:eastAsia="方正仿宋_GBK" w:cs="宋体"/>
          <w:kern w:val="0"/>
          <w:sz w:val="24"/>
          <w:szCs w:val="24"/>
        </w:rPr>
      </w:pPr>
      <w:r>
        <w:rPr>
          <w:rFonts w:hint="eastAsia" w:ascii="方正仿宋_GBK" w:hAnsi="宋体" w:eastAsia="方正仿宋_GBK"/>
          <w:sz w:val="24"/>
          <w:szCs w:val="24"/>
        </w:rPr>
        <w:t>（</w:t>
      </w:r>
      <w:r>
        <w:rPr>
          <w:rFonts w:hint="eastAsia" w:ascii="方正仿宋_GBK" w:hAnsi="宋体" w:eastAsia="方正仿宋_GBK"/>
          <w:sz w:val="24"/>
          <w:szCs w:val="24"/>
          <w:lang w:val="en-US" w:eastAsia="zh-CN"/>
        </w:rPr>
        <w:t>三</w:t>
      </w:r>
      <w:r>
        <w:rPr>
          <w:rFonts w:hint="eastAsia" w:ascii="方正仿宋_GBK" w:hAnsi="宋体" w:eastAsia="方正仿宋_GBK"/>
          <w:sz w:val="24"/>
          <w:szCs w:val="24"/>
        </w:rPr>
        <w:t>）</w:t>
      </w:r>
      <w:r>
        <w:rPr>
          <w:rFonts w:hint="eastAsia" w:ascii="方正仿宋_GBK" w:hAnsi="宋体" w:eastAsia="方正仿宋_GBK" w:cs="宋体"/>
          <w:kern w:val="0"/>
          <w:sz w:val="24"/>
          <w:szCs w:val="24"/>
        </w:rPr>
        <w:t>智能安检门的定期维护、保养的材料及人工费等完成本项目的所有费用。</w:t>
      </w:r>
    </w:p>
    <w:p w14:paraId="528BBD63">
      <w:pPr>
        <w:snapToGrid w:val="0"/>
        <w:spacing w:line="400" w:lineRule="exact"/>
        <w:ind w:firstLine="482" w:firstLineChars="200"/>
        <w:rPr>
          <w:rFonts w:hint="eastAsia" w:ascii="方正仿宋_GBK" w:hAnsi="宋体" w:eastAsia="方正仿宋_GBK"/>
          <w:sz w:val="24"/>
          <w:szCs w:val="24"/>
        </w:rPr>
      </w:pPr>
      <w:r>
        <w:rPr>
          <w:rFonts w:hint="eastAsia" w:ascii="方正仿宋_GBK" w:eastAsia="方正仿宋_GBK"/>
          <w:b/>
          <w:sz w:val="24"/>
          <w:szCs w:val="24"/>
        </w:rPr>
        <w:t>三、</w:t>
      </w:r>
      <w:r>
        <w:rPr>
          <w:rFonts w:hint="eastAsia" w:ascii="方正仿宋_GBK" w:hAnsi="宋体" w:eastAsia="方正仿宋_GBK"/>
          <w:b/>
          <w:bCs/>
          <w:sz w:val="24"/>
          <w:szCs w:val="24"/>
        </w:rPr>
        <w:t>服务范围</w:t>
      </w:r>
      <w:bookmarkEnd w:id="8"/>
      <w:bookmarkStart w:id="9" w:name="_Toc267320051"/>
      <w:bookmarkStart w:id="10" w:name="_Toc63431462"/>
    </w:p>
    <w:p w14:paraId="53E684AD">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完成</w:t>
      </w:r>
      <w:r>
        <w:rPr>
          <w:rFonts w:hint="eastAsia" w:ascii="方正仿宋_GBK" w:hAnsi="宋体" w:eastAsia="方正仿宋_GBK"/>
          <w:sz w:val="24"/>
          <w:szCs w:val="24"/>
          <w:lang w:val="en-US" w:eastAsia="zh-CN"/>
        </w:rPr>
        <w:t>研究生院</w:t>
      </w:r>
      <w:r>
        <w:rPr>
          <w:rFonts w:hint="eastAsia" w:ascii="方正仿宋_GBK" w:hAnsi="宋体" w:eastAsia="方正仿宋_GBK"/>
          <w:sz w:val="24"/>
          <w:szCs w:val="24"/>
        </w:rPr>
        <w:t>指定地点（</w:t>
      </w:r>
      <w:r>
        <w:rPr>
          <w:rFonts w:hint="eastAsia" w:ascii="方正仿宋_GBK" w:hAnsi="宋体" w:eastAsia="方正仿宋_GBK"/>
          <w:sz w:val="24"/>
          <w:szCs w:val="24"/>
          <w:lang w:val="en-US" w:eastAsia="zh-CN"/>
        </w:rPr>
        <w:t>研究生考试所在楼栋位置</w:t>
      </w:r>
      <w:r>
        <w:rPr>
          <w:rFonts w:hint="eastAsia" w:ascii="方正仿宋_GBK" w:hAnsi="宋体" w:eastAsia="方正仿宋_GBK"/>
          <w:sz w:val="24"/>
          <w:szCs w:val="24"/>
        </w:rPr>
        <w:t>）在研考期间使用的智能安检门运输、安装、调试、维保、回收以及相关数据统计工作</w:t>
      </w:r>
      <w:r>
        <w:rPr>
          <w:rFonts w:hint="eastAsia" w:ascii="方正仿宋_GBK" w:hAnsi="宋体" w:eastAsia="方正仿宋_GBK"/>
          <w:sz w:val="24"/>
          <w:szCs w:val="24"/>
          <w:lang w:eastAsia="zh-CN"/>
        </w:rPr>
        <w:t>，</w:t>
      </w:r>
      <w:r>
        <w:rPr>
          <w:rFonts w:hint="eastAsia" w:ascii="方正仿宋_GBK" w:hAnsi="宋体" w:eastAsia="方正仿宋_GBK"/>
          <w:sz w:val="24"/>
          <w:szCs w:val="24"/>
          <w:lang w:val="en-US" w:eastAsia="zh-CN"/>
        </w:rPr>
        <w:t>并派出相应工作人员现场服务</w:t>
      </w:r>
      <w:r>
        <w:rPr>
          <w:rFonts w:hint="eastAsia" w:ascii="方正仿宋_GBK" w:hAnsi="宋体" w:eastAsia="方正仿宋_GBK"/>
          <w:sz w:val="24"/>
          <w:szCs w:val="24"/>
        </w:rPr>
        <w:t>。</w:t>
      </w:r>
    </w:p>
    <w:p w14:paraId="3C7DFE91">
      <w:pPr>
        <w:pStyle w:val="3"/>
        <w:numPr>
          <w:ilvl w:val="0"/>
          <w:numId w:val="1"/>
        </w:numPr>
        <w:spacing w:line="400" w:lineRule="exact"/>
        <w:ind w:firstLine="482" w:firstLineChars="200"/>
        <w:rPr>
          <w:rFonts w:hint="eastAsia" w:ascii="方正仿宋_GBK" w:eastAsia="方正仿宋_GBK"/>
          <w:b/>
          <w:sz w:val="24"/>
          <w:szCs w:val="24"/>
        </w:rPr>
      </w:pPr>
      <w:r>
        <w:rPr>
          <w:rFonts w:hint="eastAsia" w:ascii="方正仿宋_GBK" w:eastAsia="方正仿宋_GBK"/>
          <w:b/>
          <w:sz w:val="24"/>
          <w:szCs w:val="24"/>
        </w:rPr>
        <w:t>付款方式</w:t>
      </w:r>
      <w:bookmarkEnd w:id="9"/>
      <w:bookmarkEnd w:id="10"/>
      <w:r>
        <w:rPr>
          <w:rFonts w:hint="eastAsia" w:ascii="方正仿宋_GBK" w:eastAsia="方正仿宋_GBK"/>
          <w:b/>
          <w:sz w:val="24"/>
          <w:szCs w:val="24"/>
        </w:rPr>
        <w:t>（一次性付、分期支付（明确如何分期）、据实结算（结算前提条件）等）</w:t>
      </w:r>
    </w:p>
    <w:p w14:paraId="35A0233E">
      <w:pPr>
        <w:pStyle w:val="3"/>
        <w:spacing w:line="400" w:lineRule="exact"/>
        <w:ind w:firstLine="480" w:firstLineChars="200"/>
        <w:rPr>
          <w:rFonts w:hint="eastAsia" w:ascii="方正仿宋_GBK" w:hAnsi="宋体" w:eastAsia="方正仿宋_GBK"/>
          <w:sz w:val="24"/>
          <w:szCs w:val="24"/>
          <w:lang w:val="en-US" w:eastAsia="zh-CN"/>
        </w:rPr>
      </w:pPr>
      <w:bookmarkStart w:id="11" w:name="_Toc267320054"/>
      <w:bookmarkStart w:id="12" w:name="_Toc63431463"/>
      <w:r>
        <w:rPr>
          <w:rFonts w:hint="eastAsia" w:ascii="方正仿宋_GBK" w:hAnsi="宋体" w:eastAsia="方正仿宋_GBK"/>
          <w:sz w:val="24"/>
          <w:szCs w:val="24"/>
          <w:lang w:val="en-US" w:eastAsia="zh-CN"/>
        </w:rPr>
        <w:t>（一）租金据实结算，根据实际使用天数和台数进行费用结算。</w:t>
      </w:r>
    </w:p>
    <w:p w14:paraId="50A27939">
      <w:pPr>
        <w:pStyle w:val="3"/>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（二）在正式使用期间如出现以下情况，租金据实计算：</w:t>
      </w:r>
    </w:p>
    <w:p w14:paraId="665D7F15">
      <w:pPr>
        <w:pStyle w:val="3"/>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1.如考点手机误报率超过20%以上，承租方按照以下公式计算得到的实际租金结算给供应商。实际租金=合同价格×(1-误报率)。</w:t>
      </w:r>
    </w:p>
    <w:p w14:paraId="5FA52102">
      <w:pPr>
        <w:pStyle w:val="3"/>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手机误报是指将非手机的物品，识别为手机或疑似手机的（手表、手镯、手环、长柄伞不计入，背包通过的不计入），从而智能安检门屏幕显示“手机”、“疑似手机”或安检门发出报警声的。</w:t>
      </w:r>
    </w:p>
    <w:p w14:paraId="5F26C7D4">
      <w:pPr>
        <w:pStyle w:val="3"/>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2.如果通过智能安检门后，考场的监考老师对考生进行安检，发现考生携带手机进入考场的，每发现一个扣掉1000元租金，不设上限。</w:t>
      </w:r>
    </w:p>
    <w:p w14:paraId="1FE2BA92">
      <w:pPr>
        <w:pStyle w:val="3"/>
        <w:spacing w:line="400" w:lineRule="exact"/>
        <w:ind w:firstLine="480" w:firstLineChars="200"/>
        <w:rPr>
          <w:rFonts w:hint="eastAsia" w:ascii="方正仿宋_GBK" w:hAnsi="宋体" w:eastAsia="方正仿宋_GBK"/>
          <w:sz w:val="24"/>
          <w:szCs w:val="24"/>
          <w:lang w:val="en-US" w:eastAsia="zh-CN"/>
        </w:rPr>
      </w:pPr>
      <w:r>
        <w:rPr>
          <w:rFonts w:hint="eastAsia" w:ascii="方正仿宋_GBK" w:hAnsi="宋体" w:eastAsia="方正仿宋_GBK"/>
          <w:sz w:val="24"/>
          <w:szCs w:val="24"/>
          <w:lang w:val="en-US" w:eastAsia="zh-CN"/>
        </w:rPr>
        <w:t>（三）租赁结束后，承租方在20个工作日内根据合同支付实际租金付给供应商。</w:t>
      </w:r>
    </w:p>
    <w:p w14:paraId="79472A90">
      <w:pPr>
        <w:pStyle w:val="3"/>
        <w:spacing w:line="400" w:lineRule="exact"/>
        <w:ind w:firstLine="482" w:firstLineChars="200"/>
        <w:rPr>
          <w:rFonts w:ascii="方正仿宋_GBK" w:eastAsia="方正仿宋_GBK"/>
          <w:b/>
          <w:sz w:val="24"/>
          <w:szCs w:val="24"/>
        </w:rPr>
      </w:pPr>
      <w:r>
        <w:rPr>
          <w:rFonts w:hint="eastAsia" w:ascii="方正仿宋_GBK" w:eastAsia="方正仿宋_GBK"/>
          <w:b/>
          <w:sz w:val="24"/>
          <w:szCs w:val="24"/>
        </w:rPr>
        <w:t>五、</w:t>
      </w:r>
      <w:bookmarkEnd w:id="11"/>
      <w:r>
        <w:rPr>
          <w:rFonts w:hint="eastAsia" w:ascii="方正仿宋_GBK" w:eastAsia="方正仿宋_GBK"/>
          <w:b/>
          <w:sz w:val="24"/>
          <w:szCs w:val="24"/>
        </w:rPr>
        <w:t>其他商务要求内容</w:t>
      </w:r>
      <w:bookmarkEnd w:id="12"/>
    </w:p>
    <w:p w14:paraId="370EEBE2">
      <w:pPr>
        <w:keepNext w:val="0"/>
        <w:keepLines w:val="0"/>
        <w:pageBreakBefore w:val="0"/>
        <w:widowControl w:val="0"/>
        <w:kinsoku/>
        <w:wordWrap/>
        <w:overflowPunct/>
        <w:topLinePunct w:val="0"/>
        <w:autoSpaceDE/>
        <w:autoSpaceDN/>
        <w:bidi w:val="0"/>
        <w:adjustRightInd/>
        <w:snapToGrid w:val="0"/>
        <w:spacing w:line="400" w:lineRule="exact"/>
        <w:ind w:firstLine="480" w:firstLineChars="200"/>
        <w:textAlignment w:val="auto"/>
        <w:rPr>
          <w:rFonts w:hint="eastAsia" w:ascii="方正仿宋_GBK" w:hAnsi="宋体" w:eastAsia="方正仿宋_GBK" w:cs="宋体"/>
          <w:kern w:val="0"/>
          <w:sz w:val="24"/>
          <w:szCs w:val="24"/>
          <w:lang w:val="en-US" w:eastAsia="zh-CN"/>
        </w:rPr>
      </w:pPr>
      <w:r>
        <w:rPr>
          <w:rFonts w:hint="eastAsia" w:ascii="方正仿宋_GBK" w:hAnsi="宋体" w:eastAsia="方正仿宋_GBK" w:cs="宋体"/>
          <w:kern w:val="0"/>
          <w:sz w:val="24"/>
          <w:szCs w:val="24"/>
          <w:lang w:val="en-US" w:eastAsia="zh-CN"/>
        </w:rPr>
        <w:t>（一）其他服务要求：</w:t>
      </w:r>
    </w:p>
    <w:p w14:paraId="5B282170">
      <w:pPr>
        <w:snapToGrid w:val="0"/>
        <w:spacing w:line="400" w:lineRule="exact"/>
        <w:ind w:firstLine="480" w:firstLineChars="200"/>
        <w:rPr>
          <w:rFonts w:hint="eastAsia" w:ascii="方正仿宋_GBK" w:hAnsi="宋体" w:eastAsia="方正仿宋_GBK" w:cs="宋体"/>
          <w:kern w:val="0"/>
          <w:sz w:val="24"/>
          <w:szCs w:val="24"/>
          <w:lang w:val="en-US" w:eastAsia="zh-CN"/>
        </w:rPr>
      </w:pPr>
      <w:r>
        <w:rPr>
          <w:rFonts w:hint="eastAsia" w:ascii="方正仿宋_GBK" w:hAnsi="宋体" w:eastAsia="方正仿宋_GBK" w:cs="宋体"/>
          <w:kern w:val="0"/>
          <w:sz w:val="24"/>
          <w:szCs w:val="24"/>
          <w:lang w:val="en-US" w:eastAsia="zh-CN"/>
        </w:rPr>
        <w:t>1.租赁设备的使用、维修、保养和费用</w:t>
      </w:r>
    </w:p>
    <w:p w14:paraId="4C6F67FE">
      <w:pPr>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0" w:firstLineChars="200"/>
        <w:textAlignment w:val="auto"/>
        <w:rPr>
          <w:rFonts w:hint="eastAsia" w:ascii="方正仿宋_GBK" w:hAnsi="宋体" w:eastAsia="方正仿宋_GBK" w:cs="宋体"/>
          <w:kern w:val="0"/>
          <w:sz w:val="24"/>
          <w:szCs w:val="24"/>
          <w:lang w:val="en-US" w:eastAsia="zh-CN"/>
        </w:rPr>
      </w:pPr>
      <w:r>
        <w:rPr>
          <w:rFonts w:hint="eastAsia" w:ascii="方正仿宋_GBK" w:hAnsi="宋体" w:eastAsia="方正仿宋_GBK" w:cs="宋体"/>
          <w:kern w:val="0"/>
          <w:sz w:val="24"/>
          <w:szCs w:val="24"/>
          <w:lang w:val="en-US" w:eastAsia="zh-CN"/>
        </w:rPr>
        <w:t>（1）供货商所提供的租赁设备必须为全新设备，供货商负责租赁期间的设备免费保修。</w:t>
      </w:r>
    </w:p>
    <w:p w14:paraId="0F3CA9F6">
      <w:pPr>
        <w:keepNext w:val="0"/>
        <w:keepLines w:val="0"/>
        <w:pageBreakBefore w:val="0"/>
        <w:widowControl w:val="0"/>
        <w:numPr>
          <w:ilvl w:val="0"/>
          <w:numId w:val="0"/>
        </w:numPr>
        <w:kinsoku/>
        <w:wordWrap/>
        <w:overflowPunct/>
        <w:topLinePunct w:val="0"/>
        <w:autoSpaceDE/>
        <w:autoSpaceDN/>
        <w:bidi w:val="0"/>
        <w:adjustRightInd/>
        <w:snapToGrid w:val="0"/>
        <w:spacing w:line="400" w:lineRule="exact"/>
        <w:ind w:firstLine="480" w:firstLineChars="200"/>
        <w:textAlignment w:val="auto"/>
        <w:rPr>
          <w:rFonts w:hint="eastAsia" w:ascii="方正仿宋_GBK" w:hAnsi="宋体" w:eastAsia="方正仿宋_GBK" w:cs="宋体"/>
          <w:kern w:val="0"/>
          <w:sz w:val="24"/>
          <w:szCs w:val="24"/>
          <w:lang w:val="en-US" w:eastAsia="zh-CN"/>
        </w:rPr>
      </w:pPr>
      <w:r>
        <w:rPr>
          <w:rFonts w:hint="eastAsia" w:ascii="方正仿宋_GBK" w:hAnsi="宋体" w:eastAsia="方正仿宋_GBK" w:cs="宋体"/>
          <w:kern w:val="0"/>
          <w:sz w:val="24"/>
          <w:szCs w:val="24"/>
          <w:lang w:val="en-US" w:eastAsia="zh-CN"/>
        </w:rPr>
        <w:t>（2）</w:t>
      </w:r>
      <w:r>
        <w:rPr>
          <w:rFonts w:hint="eastAsia" w:ascii="方正仿宋_GBK" w:hAnsi="宋体" w:eastAsia="方正仿宋_GBK"/>
          <w:sz w:val="24"/>
          <w:szCs w:val="24"/>
          <w:lang w:val="en-US" w:eastAsia="zh-CN"/>
        </w:rPr>
        <w:t>承租方有权要求供应商对该租赁产品针对承租方使用人员进行免费培训，使培训人员能够完全理解和使用该租赁产品；</w:t>
      </w:r>
    </w:p>
    <w:p w14:paraId="7E63423A">
      <w:pPr>
        <w:snapToGrid w:val="0"/>
        <w:spacing w:line="400" w:lineRule="exact"/>
        <w:ind w:firstLine="480" w:firstLineChars="200"/>
        <w:rPr>
          <w:rFonts w:hint="eastAsia" w:ascii="方正仿宋_GBK" w:hAnsi="宋体" w:eastAsia="方正仿宋_GBK" w:cs="宋体"/>
          <w:kern w:val="0"/>
          <w:sz w:val="24"/>
          <w:szCs w:val="24"/>
          <w:lang w:val="en-US" w:eastAsia="zh-CN"/>
        </w:rPr>
      </w:pPr>
      <w:r>
        <w:rPr>
          <w:rFonts w:hint="eastAsia" w:ascii="方正仿宋_GBK" w:hAnsi="宋体" w:eastAsia="方正仿宋_GBK" w:cs="宋体"/>
          <w:kern w:val="0"/>
          <w:sz w:val="24"/>
          <w:szCs w:val="24"/>
          <w:lang w:val="en-US" w:eastAsia="zh-CN"/>
        </w:rPr>
        <w:t>（3）</w:t>
      </w:r>
      <w:r>
        <w:rPr>
          <w:rFonts w:hint="eastAsia" w:ascii="方正仿宋_GBK" w:hAnsi="宋体" w:eastAsia="方正仿宋_GBK"/>
          <w:sz w:val="24"/>
          <w:szCs w:val="24"/>
          <w:lang w:val="en-US" w:eastAsia="zh-CN"/>
        </w:rPr>
        <w:t>供应商有义务在承租方举行国家教育考试期间使用该产品时派出技术人员对该租赁产品进行安装、拆除及现场人员服务</w:t>
      </w:r>
      <w:r>
        <w:rPr>
          <w:rFonts w:hint="eastAsia" w:ascii="方正仿宋_GBK" w:hAnsi="宋体" w:eastAsia="方正仿宋_GBK" w:cs="宋体"/>
          <w:kern w:val="0"/>
          <w:sz w:val="24"/>
          <w:szCs w:val="24"/>
          <w:lang w:val="en-US" w:eastAsia="zh-CN"/>
        </w:rPr>
        <w:t>。</w:t>
      </w:r>
    </w:p>
    <w:p w14:paraId="3F2B8658">
      <w:pPr>
        <w:snapToGrid w:val="0"/>
        <w:spacing w:line="400" w:lineRule="exact"/>
        <w:ind w:firstLine="480" w:firstLineChars="200"/>
        <w:rPr>
          <w:rFonts w:hint="eastAsia" w:ascii="方正仿宋_GBK" w:hAnsi="宋体" w:eastAsia="方正仿宋_GBK" w:cs="宋体"/>
          <w:kern w:val="0"/>
          <w:sz w:val="24"/>
          <w:szCs w:val="24"/>
          <w:lang w:val="en-US" w:eastAsia="zh-CN"/>
        </w:rPr>
      </w:pPr>
      <w:r>
        <w:rPr>
          <w:rFonts w:hint="eastAsia" w:ascii="方正仿宋_GBK" w:hAnsi="宋体" w:eastAsia="方正仿宋_GBK" w:cs="宋体"/>
          <w:kern w:val="0"/>
          <w:sz w:val="24"/>
          <w:szCs w:val="24"/>
          <w:lang w:val="en-US" w:eastAsia="zh-CN"/>
        </w:rPr>
        <w:t>（4）供应商有义务协助承租方对该租赁产品的保管，并能够定期对产品进行巡检，保证租赁产品在保管期间不出现任何问题。在租赁设备发生毁损，及时更换与租赁设备同等型号、性能的部件或配件使其能正常使用。</w:t>
      </w:r>
    </w:p>
    <w:p w14:paraId="46109BA3">
      <w:pPr>
        <w:snapToGrid w:val="0"/>
        <w:spacing w:line="400" w:lineRule="exact"/>
        <w:ind w:firstLine="480" w:firstLineChars="200"/>
        <w:rPr>
          <w:rFonts w:hint="eastAsia" w:ascii="方正仿宋_GBK" w:hAnsi="宋体" w:eastAsia="方正仿宋_GBK"/>
          <w:sz w:val="24"/>
          <w:szCs w:val="24"/>
          <w:lang w:eastAsia="zh-CN"/>
        </w:rPr>
      </w:pPr>
      <w:r>
        <w:rPr>
          <w:rFonts w:hint="eastAsia" w:ascii="方正仿宋_GBK" w:hAnsi="宋体" w:eastAsia="方正仿宋_GBK"/>
          <w:sz w:val="24"/>
          <w:szCs w:val="24"/>
          <w:lang w:val="en-US" w:eastAsia="zh-CN"/>
        </w:rPr>
        <w:t>2.租赁设备的所有权</w:t>
      </w:r>
    </w:p>
    <w:p w14:paraId="1BFC75DB">
      <w:pPr>
        <w:snapToGrid w:val="0"/>
        <w:spacing w:line="400" w:lineRule="exact"/>
        <w:ind w:firstLine="480" w:firstLineChars="200"/>
        <w:rPr>
          <w:rFonts w:hint="eastAsia" w:ascii="方正仿宋_GBK" w:hAnsi="宋体" w:eastAsia="方正仿宋_GBK"/>
          <w:sz w:val="24"/>
          <w:szCs w:val="24"/>
        </w:rPr>
      </w:pPr>
      <w:r>
        <w:rPr>
          <w:rFonts w:hint="eastAsia" w:ascii="方正仿宋_GBK" w:hAnsi="宋体" w:eastAsia="方正仿宋_GBK"/>
          <w:sz w:val="24"/>
          <w:szCs w:val="24"/>
        </w:rPr>
        <w:t>（1）在租赁期间，合同所列租赁设备的所有权属于供应商。</w:t>
      </w:r>
    </w:p>
    <w:p w14:paraId="2FEF0392">
      <w:pPr>
        <w:snapToGrid w:val="0"/>
        <w:spacing w:line="400" w:lineRule="exact"/>
        <w:ind w:firstLine="480" w:firstLineChars="200"/>
        <w:rPr>
          <w:rFonts w:hint="eastAsia" w:ascii="方正仿宋_GBK" w:hAnsi="宋体" w:eastAsia="方正仿宋_GBK" w:cs="宋体"/>
          <w:kern w:val="0"/>
          <w:sz w:val="24"/>
          <w:szCs w:val="24"/>
          <w:lang w:val="en-US" w:eastAsia="zh-CN"/>
        </w:rPr>
      </w:pPr>
      <w:r>
        <w:rPr>
          <w:rFonts w:hint="eastAsia" w:ascii="方正仿宋_GBK" w:hAnsi="宋体" w:eastAsia="方正仿宋_GBK"/>
          <w:sz w:val="24"/>
          <w:szCs w:val="24"/>
        </w:rPr>
        <w:t>（2）在租赁期问，承租方如对租赁设备进行改善或者增设他物，必须征得供应商的</w:t>
      </w:r>
      <w:r>
        <w:rPr>
          <w:rFonts w:hint="eastAsia" w:ascii="方正仿宋_GBK" w:hAnsi="宋体" w:eastAsia="方正仿宋_GBK"/>
          <w:sz w:val="24"/>
          <w:szCs w:val="24"/>
          <w:lang w:val="en-US" w:eastAsia="zh-CN"/>
        </w:rPr>
        <w:t>同意。</w:t>
      </w:r>
    </w:p>
    <w:p w14:paraId="2A36E041">
      <w:pPr>
        <w:snapToGrid w:val="0"/>
        <w:spacing w:line="400" w:lineRule="exact"/>
        <w:ind w:firstLine="480" w:firstLineChars="200"/>
        <w:rPr>
          <w:rFonts w:hint="eastAsia" w:ascii="方正仿宋_GBK" w:hAnsi="宋体" w:eastAsia="方正仿宋_GBK" w:cs="宋体"/>
          <w:kern w:val="0"/>
          <w:sz w:val="24"/>
          <w:szCs w:val="24"/>
          <w:lang w:val="en-US" w:eastAsia="zh-CN"/>
        </w:rPr>
      </w:pPr>
      <w:r>
        <w:rPr>
          <w:rFonts w:hint="eastAsia" w:ascii="方正仿宋_GBK" w:hAnsi="宋体" w:eastAsia="方正仿宋_GBK" w:cs="宋体"/>
          <w:kern w:val="0"/>
          <w:sz w:val="24"/>
          <w:szCs w:val="24"/>
          <w:lang w:val="en-US" w:eastAsia="zh-CN"/>
        </w:rPr>
        <w:t>（二）违约责任</w:t>
      </w:r>
    </w:p>
    <w:p w14:paraId="5362363E">
      <w:pPr>
        <w:snapToGrid w:val="0"/>
        <w:spacing w:line="400" w:lineRule="exact"/>
        <w:ind w:firstLine="480" w:firstLineChars="200"/>
        <w:rPr>
          <w:rFonts w:hint="eastAsia" w:ascii="方正仿宋_GBK" w:hAnsi="宋体" w:eastAsia="方正仿宋_GBK" w:cs="宋体"/>
          <w:kern w:val="0"/>
          <w:sz w:val="24"/>
          <w:szCs w:val="24"/>
          <w:lang w:val="en-US" w:eastAsia="zh-CN"/>
        </w:rPr>
      </w:pPr>
      <w:r>
        <w:rPr>
          <w:rFonts w:hint="eastAsia" w:ascii="方正仿宋_GBK" w:hAnsi="宋体" w:eastAsia="方正仿宋_GBK" w:cs="宋体"/>
          <w:kern w:val="0"/>
          <w:sz w:val="24"/>
          <w:szCs w:val="24"/>
          <w:lang w:val="en-US" w:eastAsia="zh-CN"/>
        </w:rPr>
        <w:t>1.承租方不得以任何理由延迟租金的支付。</w:t>
      </w:r>
    </w:p>
    <w:p w14:paraId="6E0D449C">
      <w:pPr>
        <w:snapToGrid w:val="0"/>
        <w:spacing w:line="400" w:lineRule="exact"/>
        <w:ind w:firstLine="480" w:firstLineChars="200"/>
        <w:rPr>
          <w:rFonts w:hint="eastAsia" w:ascii="方正仿宋_GBK" w:hAnsi="宋体" w:eastAsia="方正仿宋_GBK" w:cs="宋体"/>
          <w:kern w:val="0"/>
          <w:sz w:val="24"/>
          <w:szCs w:val="24"/>
          <w:lang w:val="en-US" w:eastAsia="zh-CN"/>
        </w:rPr>
      </w:pPr>
      <w:r>
        <w:rPr>
          <w:rFonts w:hint="eastAsia" w:ascii="方正仿宋_GBK" w:hAnsi="宋体" w:eastAsia="方正仿宋_GBK" w:cs="宋体"/>
          <w:kern w:val="0"/>
          <w:sz w:val="24"/>
          <w:szCs w:val="24"/>
          <w:lang w:val="en-US" w:eastAsia="zh-CN"/>
        </w:rPr>
        <w:t>2.供货商应在我校考点硕士研究生考点结束后将设备自行运走，若供货商在当日未将设备运走，视为承租方已经退还设备，造成的损失均由供货商负责。</w:t>
      </w:r>
    </w:p>
    <w:p w14:paraId="3F8C1B77">
      <w:pPr>
        <w:snapToGrid w:val="0"/>
        <w:spacing w:line="400" w:lineRule="exact"/>
        <w:ind w:firstLine="480" w:firstLineChars="200"/>
        <w:rPr>
          <w:rFonts w:hint="eastAsia" w:ascii="方正仿宋_GBK" w:hAnsi="宋体" w:eastAsia="方正仿宋_GBK" w:cs="宋体"/>
          <w:kern w:val="0"/>
          <w:sz w:val="24"/>
          <w:szCs w:val="24"/>
          <w:lang w:val="en-US" w:eastAsia="zh-CN"/>
        </w:rPr>
      </w:pPr>
      <w:r>
        <w:rPr>
          <w:rFonts w:hint="eastAsia" w:ascii="方正仿宋_GBK" w:hAnsi="宋体" w:eastAsia="方正仿宋_GBK" w:cs="宋体"/>
          <w:kern w:val="0"/>
          <w:sz w:val="24"/>
          <w:szCs w:val="24"/>
          <w:lang w:val="en-US" w:eastAsia="zh-CN"/>
        </w:rPr>
        <w:t>3.未经对方书面同意，任何一方不得中途变更或解除本合同；任何一方违反本合同约定，都应向对方偿付本合同总租金额5％的违约金。</w:t>
      </w:r>
    </w:p>
    <w:p w14:paraId="0976F1AC">
      <w:pPr>
        <w:snapToGrid w:val="0"/>
        <w:spacing w:line="400" w:lineRule="exact"/>
        <w:ind w:firstLine="480" w:firstLineChars="200"/>
        <w:rPr>
          <w:rFonts w:hint="eastAsia" w:ascii="方正仿宋_GBK" w:hAnsi="宋体" w:eastAsia="方正仿宋_GBK" w:cs="宋体"/>
          <w:kern w:val="0"/>
          <w:sz w:val="24"/>
          <w:szCs w:val="24"/>
          <w:lang w:val="en-US" w:eastAsia="zh-CN"/>
        </w:rPr>
      </w:pPr>
      <w:r>
        <w:rPr>
          <w:rFonts w:hint="eastAsia" w:ascii="方正仿宋_GBK" w:hAnsi="宋体" w:eastAsia="方正仿宋_GBK" w:cs="宋体"/>
          <w:kern w:val="0"/>
          <w:sz w:val="24"/>
          <w:szCs w:val="24"/>
          <w:lang w:val="en-US" w:eastAsia="zh-CN"/>
        </w:rPr>
        <w:t>4.承租方如不按期支付租金或违反本合同的任何条款，供货商有权采取下列措施：</w:t>
      </w:r>
    </w:p>
    <w:p w14:paraId="5FF55217">
      <w:pPr>
        <w:snapToGrid w:val="0"/>
        <w:spacing w:line="400" w:lineRule="exact"/>
        <w:ind w:firstLine="480" w:firstLineChars="200"/>
        <w:rPr>
          <w:rFonts w:hint="eastAsia" w:ascii="方正仿宋_GBK" w:hAnsi="宋体" w:eastAsia="方正仿宋_GBK" w:cs="宋体"/>
          <w:kern w:val="0"/>
          <w:sz w:val="24"/>
          <w:szCs w:val="24"/>
          <w:lang w:val="en-US" w:eastAsia="zh-CN"/>
        </w:rPr>
      </w:pPr>
      <w:r>
        <w:rPr>
          <w:rFonts w:hint="eastAsia" w:ascii="方正仿宋_GBK" w:hAnsi="宋体" w:eastAsia="方正仿宋_GBK" w:cs="宋体"/>
          <w:kern w:val="0"/>
          <w:sz w:val="24"/>
          <w:szCs w:val="24"/>
          <w:lang w:val="en-US" w:eastAsia="zh-CN"/>
        </w:rPr>
        <w:t>（1）要求承租方及时付清租金和其他费用，并要求承租方赔偿供货商的损失；</w:t>
      </w:r>
    </w:p>
    <w:p w14:paraId="78AC659E">
      <w:pPr>
        <w:snapToGrid w:val="0"/>
        <w:spacing w:line="400" w:lineRule="exact"/>
        <w:ind w:firstLine="480" w:firstLineChars="200"/>
        <w:rPr>
          <w:rFonts w:hint="eastAsia" w:ascii="方正仿宋_GBK" w:hAnsi="宋体" w:eastAsia="方正仿宋_GBK" w:cs="宋体"/>
          <w:kern w:val="0"/>
          <w:sz w:val="24"/>
          <w:szCs w:val="24"/>
          <w:lang w:val="en-US" w:eastAsia="zh-CN"/>
        </w:rPr>
      </w:pPr>
      <w:r>
        <w:rPr>
          <w:rFonts w:hint="eastAsia" w:ascii="方正仿宋_GBK" w:hAnsi="宋体" w:eastAsia="方正仿宋_GBK" w:cs="宋体"/>
          <w:kern w:val="0"/>
          <w:sz w:val="24"/>
          <w:szCs w:val="24"/>
          <w:lang w:val="en-US" w:eastAsia="zh-CN"/>
        </w:rPr>
        <w:t>（2）终止本合同，收回或要求归还租赁设备，并要求承租方赔偿供货商的一切损失。</w:t>
      </w:r>
    </w:p>
    <w:p w14:paraId="3C8DFA49">
      <w:pPr>
        <w:snapToGrid w:val="0"/>
        <w:spacing w:line="400" w:lineRule="exact"/>
        <w:ind w:firstLine="480" w:firstLineChars="200"/>
        <w:rPr>
          <w:rFonts w:hint="eastAsia" w:ascii="方正仿宋_GBK" w:hAnsi="宋体" w:eastAsia="方正仿宋_GBK" w:cs="宋体"/>
          <w:kern w:val="0"/>
          <w:sz w:val="24"/>
          <w:szCs w:val="24"/>
          <w:lang w:val="en-US" w:eastAsia="zh-CN"/>
        </w:rPr>
      </w:pPr>
    </w:p>
    <w:sectPr>
      <w:footerReference r:id="rId3"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方正仿宋_GBK">
    <w:panose1 w:val="03000509000000000000"/>
    <w:charset w:val="86"/>
    <w:family w:val="script"/>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68E10E6">
    <w:pPr>
      <w:pStyle w:val="7"/>
      <w:ind w:right="360"/>
      <w:jc w:val="center"/>
    </w:pPr>
    <w:r>
      <w:fldChar w:fldCharType="begin"/>
    </w:r>
    <w:r>
      <w:rPr>
        <w:rStyle w:val="11"/>
      </w:rPr>
      <w:instrText xml:space="preserve"> PAGE </w:instrText>
    </w:r>
    <w:r>
      <w:fldChar w:fldCharType="separate"/>
    </w:r>
    <w:r>
      <w:rPr>
        <w:rStyle w:val="11"/>
      </w:rPr>
      <w:t>2</w:t>
    </w:r>
    <w:r>
      <w:fldChar w:fldCharType="end"/>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8D22E9B7"/>
    <w:multiLevelType w:val="singleLevel"/>
    <w:tmpl w:val="8D22E9B7"/>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ODdmZjNlMzU5Yjg5NjNkYjAwNTI3ZWQzY2ZhMDUyMmMifQ=="/>
  </w:docVars>
  <w:rsids>
    <w:rsidRoot w:val="741673A9"/>
    <w:rsid w:val="00164FF4"/>
    <w:rsid w:val="001B0FED"/>
    <w:rsid w:val="002727F4"/>
    <w:rsid w:val="002C01AD"/>
    <w:rsid w:val="00406389"/>
    <w:rsid w:val="00550F39"/>
    <w:rsid w:val="00AC752C"/>
    <w:rsid w:val="00BD1B51"/>
    <w:rsid w:val="00C11022"/>
    <w:rsid w:val="10887084"/>
    <w:rsid w:val="186E436F"/>
    <w:rsid w:val="1E161309"/>
    <w:rsid w:val="218872DA"/>
    <w:rsid w:val="23C352CE"/>
    <w:rsid w:val="248F06EB"/>
    <w:rsid w:val="26B872EF"/>
    <w:rsid w:val="2D672708"/>
    <w:rsid w:val="2DD44DEB"/>
    <w:rsid w:val="337E053C"/>
    <w:rsid w:val="3B1419C4"/>
    <w:rsid w:val="3D383B7F"/>
    <w:rsid w:val="425D7347"/>
    <w:rsid w:val="42A2306D"/>
    <w:rsid w:val="4E9B3D25"/>
    <w:rsid w:val="54251C6B"/>
    <w:rsid w:val="58213F82"/>
    <w:rsid w:val="58A80E04"/>
    <w:rsid w:val="5BA86309"/>
    <w:rsid w:val="5C4712CA"/>
    <w:rsid w:val="5F154B46"/>
    <w:rsid w:val="61B15D52"/>
    <w:rsid w:val="699703CA"/>
    <w:rsid w:val="6ACE2284"/>
    <w:rsid w:val="6EB1119E"/>
    <w:rsid w:val="741673A9"/>
    <w:rsid w:val="789D3258"/>
    <w:rsid w:val="79E6221D"/>
    <w:rsid w:val="7BAC6270"/>
    <w:rsid w:val="7DCA039F"/>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8"/>
      <w:lang w:val="en-US" w:eastAsia="zh-CN" w:bidi="ar-SA"/>
    </w:rPr>
  </w:style>
  <w:style w:type="paragraph" w:styleId="2">
    <w:name w:val="heading 1"/>
    <w:basedOn w:val="1"/>
    <w:next w:val="1"/>
    <w:qFormat/>
    <w:uiPriority w:val="0"/>
    <w:pPr>
      <w:keepNext/>
      <w:tabs>
        <w:tab w:val="left" w:pos="3360"/>
      </w:tabs>
      <w:snapToGrid w:val="0"/>
      <w:spacing w:before="312" w:beforeLines="100" w:after="156" w:afterLines="50" w:line="800" w:lineRule="atLeast"/>
      <w:jc w:val="center"/>
      <w:outlineLvl w:val="0"/>
    </w:pPr>
    <w:rPr>
      <w:rFonts w:eastAsia="黑体"/>
      <w:sz w:val="44"/>
    </w:rPr>
  </w:style>
  <w:style w:type="paragraph" w:styleId="3">
    <w:name w:val="heading 2"/>
    <w:basedOn w:val="1"/>
    <w:next w:val="1"/>
    <w:qFormat/>
    <w:uiPriority w:val="0"/>
    <w:pPr>
      <w:keepNext/>
      <w:keepLines/>
      <w:adjustRightInd w:val="0"/>
      <w:snapToGrid w:val="0"/>
      <w:spacing w:line="360" w:lineRule="auto"/>
      <w:outlineLvl w:val="1"/>
    </w:pPr>
    <w:rPr>
      <w:rFonts w:ascii="宋体" w:hAnsi="宋体"/>
    </w:rPr>
  </w:style>
  <w:style w:type="character" w:default="1" w:styleId="10">
    <w:name w:val="Default Paragraph Font"/>
    <w:semiHidden/>
    <w:unhideWhenUsed/>
    <w:qFormat/>
    <w:uiPriority w:val="1"/>
  </w:style>
  <w:style w:type="table" w:default="1" w:styleId="9">
    <w:name w:val="Normal Table"/>
    <w:semiHidden/>
    <w:unhideWhenUsed/>
    <w:qFormat/>
    <w:uiPriority w:val="99"/>
    <w:tblPr>
      <w:tblCellMar>
        <w:top w:w="0" w:type="dxa"/>
        <w:left w:w="108" w:type="dxa"/>
        <w:bottom w:w="0" w:type="dxa"/>
        <w:right w:w="108" w:type="dxa"/>
      </w:tblCellMar>
    </w:tblPr>
  </w:style>
  <w:style w:type="paragraph" w:styleId="4">
    <w:name w:val="Normal Indent"/>
    <w:basedOn w:val="1"/>
    <w:qFormat/>
    <w:uiPriority w:val="0"/>
    <w:pPr>
      <w:adjustRightInd w:val="0"/>
      <w:snapToGrid w:val="0"/>
      <w:spacing w:line="360" w:lineRule="auto"/>
      <w:ind w:firstLine="420"/>
    </w:pPr>
    <w:rPr>
      <w:sz w:val="24"/>
    </w:rPr>
  </w:style>
  <w:style w:type="paragraph" w:styleId="5">
    <w:name w:val="Body Text Indent"/>
    <w:basedOn w:val="1"/>
    <w:qFormat/>
    <w:uiPriority w:val="0"/>
    <w:pPr>
      <w:spacing w:line="700" w:lineRule="exact"/>
      <w:ind w:left="960"/>
    </w:pPr>
    <w:rPr>
      <w:sz w:val="44"/>
    </w:rPr>
  </w:style>
  <w:style w:type="paragraph" w:styleId="6">
    <w:name w:val="Balloon Text"/>
    <w:basedOn w:val="1"/>
    <w:link w:val="14"/>
    <w:qFormat/>
    <w:uiPriority w:val="0"/>
    <w:rPr>
      <w:sz w:val="18"/>
      <w:szCs w:val="18"/>
    </w:rPr>
  </w:style>
  <w:style w:type="paragraph" w:styleId="7">
    <w:name w:val="footer"/>
    <w:basedOn w:val="1"/>
    <w:qFormat/>
    <w:uiPriority w:val="0"/>
    <w:pPr>
      <w:tabs>
        <w:tab w:val="center" w:pos="4153"/>
        <w:tab w:val="right" w:pos="8306"/>
      </w:tabs>
      <w:snapToGrid w:val="0"/>
      <w:jc w:val="left"/>
    </w:pPr>
    <w:rPr>
      <w:sz w:val="18"/>
    </w:rPr>
  </w:style>
  <w:style w:type="paragraph" w:styleId="8">
    <w:name w:val="header"/>
    <w:basedOn w:val="1"/>
    <w:link w:val="13"/>
    <w:qFormat/>
    <w:uiPriority w:val="0"/>
    <w:pPr>
      <w:pBdr>
        <w:bottom w:val="single" w:color="auto" w:sz="6" w:space="1"/>
      </w:pBdr>
      <w:tabs>
        <w:tab w:val="center" w:pos="4153"/>
        <w:tab w:val="right" w:pos="8306"/>
      </w:tabs>
      <w:snapToGrid w:val="0"/>
      <w:jc w:val="center"/>
    </w:pPr>
    <w:rPr>
      <w:sz w:val="18"/>
      <w:szCs w:val="18"/>
    </w:rPr>
  </w:style>
  <w:style w:type="character" w:styleId="11">
    <w:name w:val="page number"/>
    <w:basedOn w:val="10"/>
    <w:qFormat/>
    <w:uiPriority w:val="0"/>
  </w:style>
  <w:style w:type="paragraph" w:customStyle="1" w:styleId="12">
    <w:name w:val="Default"/>
    <w:qFormat/>
    <w:uiPriority w:val="0"/>
    <w:pPr>
      <w:widowControl w:val="0"/>
      <w:autoSpaceDE w:val="0"/>
      <w:autoSpaceDN w:val="0"/>
      <w:adjustRightInd w:val="0"/>
    </w:pPr>
    <w:rPr>
      <w:rFonts w:ascii="宋体" w:hAnsi="Calibri" w:eastAsia="宋体" w:cs="宋体"/>
      <w:color w:val="000000"/>
      <w:kern w:val="0"/>
      <w:sz w:val="24"/>
      <w:szCs w:val="24"/>
      <w:lang w:val="en-US" w:eastAsia="zh-CN" w:bidi="ar-SA"/>
    </w:rPr>
  </w:style>
  <w:style w:type="character" w:customStyle="1" w:styleId="13">
    <w:name w:val="页眉 Char"/>
    <w:basedOn w:val="10"/>
    <w:link w:val="8"/>
    <w:qFormat/>
    <w:uiPriority w:val="0"/>
    <w:rPr>
      <w:rFonts w:ascii="Times New Roman" w:hAnsi="Times New Roman" w:eastAsia="宋体" w:cs="Times New Roman"/>
      <w:kern w:val="2"/>
      <w:sz w:val="18"/>
      <w:szCs w:val="18"/>
    </w:rPr>
  </w:style>
  <w:style w:type="character" w:customStyle="1" w:styleId="14">
    <w:name w:val="批注框文本 Char"/>
    <w:basedOn w:val="10"/>
    <w:link w:val="6"/>
    <w:qFormat/>
    <w:uiPriority w:val="0"/>
    <w:rPr>
      <w:rFonts w:ascii="Times New Roman" w:hAnsi="Times New Roman" w:eastAsia="宋体" w:cs="Times New Roman"/>
      <w:kern w:val="2"/>
      <w:sz w:val="18"/>
      <w:szCs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Microsoft</Company>
  <Pages>6</Pages>
  <Words>3556</Words>
  <Characters>3700</Characters>
  <Lines>4</Lines>
  <Paragraphs>1</Paragraphs>
  <TotalTime>43</TotalTime>
  <ScaleCrop>false</ScaleCrop>
  <LinksUpToDate>false</LinksUpToDate>
  <CharactersWithSpaces>3703</CharactersWithSpaces>
  <Application>WPS Office_12.1.0.23542_F1E327BC-269C-435d-A152-05C5408002CA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2021-06-23T10:13:00Z</dcterms:created>
  <dc:creator>晗子</dc:creator>
  <cp:lastModifiedBy>蜡笔小新d叛逆与坚持</cp:lastModifiedBy>
  <dcterms:modified xsi:type="dcterms:W3CDTF">2025-11-25T07:26:20Z</dcterms:modified>
  <cp:revision>6</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2052-12.1.0.23542</vt:lpwstr>
  </property>
  <property fmtid="{D5CDD505-2E9C-101B-9397-08002B2CF9AE}" pid="3" name="ICV">
    <vt:lpwstr>BFDA5603BBDF4CE49DC22C2D72056752_13</vt:lpwstr>
  </property>
  <property fmtid="{D5CDD505-2E9C-101B-9397-08002B2CF9AE}" pid="4" name="KSOSaveFontToCloudKey">
    <vt:lpwstr>1223693500_btnclosed</vt:lpwstr>
  </property>
  <property fmtid="{D5CDD505-2E9C-101B-9397-08002B2CF9AE}" pid="5" name="KSOTemplateDocerSaveRecord">
    <vt:lpwstr>eyJoZGlkIjoiMTQ3YTM2Y2E3MzYwZjcwM2JkZDVhYTM1NjIwY2Q5ZTYiLCJ1c2VySWQiOiIxNzU5NjMyMCJ9</vt:lpwstr>
  </property>
</Properties>
</file>