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highlight w:val="none"/>
        </w:rPr>
      </w:pPr>
    </w:p>
    <w:p>
      <w:pPr>
        <w:jc w:val="center"/>
        <w:rPr>
          <w:color w:val="auto"/>
          <w:highlight w:val="none"/>
        </w:rPr>
      </w:pPr>
    </w:p>
    <w:p>
      <w:pPr>
        <w:jc w:val="center"/>
        <w:rPr>
          <w:color w:val="auto"/>
          <w:highlight w:val="none"/>
        </w:rPr>
      </w:pPr>
    </w:p>
    <w:p>
      <w:pPr>
        <w:spacing w:line="360" w:lineRule="auto"/>
        <w:jc w:val="center"/>
        <w:outlineLvl w:val="0"/>
        <w:rPr>
          <w:color w:val="auto"/>
          <w:spacing w:val="80"/>
          <w:sz w:val="96"/>
          <w:szCs w:val="96"/>
          <w:highlight w:val="none"/>
        </w:rPr>
      </w:pPr>
      <w:r>
        <w:rPr>
          <w:color w:val="auto"/>
          <w:spacing w:val="80"/>
          <w:sz w:val="96"/>
          <w:szCs w:val="96"/>
          <w:highlight w:val="none"/>
        </w:rPr>
        <w:t>单一来源谈判文件</w:t>
      </w:r>
    </w:p>
    <w:p>
      <w:pPr>
        <w:spacing w:line="360" w:lineRule="auto"/>
        <w:jc w:val="center"/>
        <w:rPr>
          <w:color w:val="auto"/>
          <w:sz w:val="32"/>
          <w:highlight w:val="none"/>
        </w:rPr>
      </w:pPr>
    </w:p>
    <w:p>
      <w:pPr>
        <w:spacing w:line="360" w:lineRule="auto"/>
        <w:jc w:val="center"/>
        <w:rPr>
          <w:color w:val="auto"/>
          <w:sz w:val="32"/>
          <w:highlight w:val="none"/>
        </w:rPr>
      </w:pPr>
    </w:p>
    <w:p>
      <w:pPr>
        <w:spacing w:line="360" w:lineRule="auto"/>
        <w:jc w:val="center"/>
        <w:rPr>
          <w:color w:val="auto"/>
          <w:sz w:val="32"/>
          <w:highlight w:val="none"/>
        </w:rPr>
      </w:pPr>
    </w:p>
    <w:p>
      <w:pPr>
        <w:spacing w:line="360" w:lineRule="auto"/>
        <w:jc w:val="center"/>
        <w:rPr>
          <w:color w:val="auto"/>
          <w:sz w:val="32"/>
          <w:highlight w:val="none"/>
        </w:rPr>
      </w:pPr>
    </w:p>
    <w:p>
      <w:pPr>
        <w:spacing w:line="360" w:lineRule="auto"/>
        <w:ind w:firstLine="1749" w:firstLineChars="486"/>
        <w:jc w:val="left"/>
        <w:rPr>
          <w:color w:val="auto"/>
          <w:sz w:val="36"/>
          <w:szCs w:val="30"/>
          <w:highlight w:val="none"/>
        </w:rPr>
      </w:pPr>
      <w:r>
        <w:rPr>
          <w:color w:val="auto"/>
          <w:sz w:val="36"/>
          <w:szCs w:val="30"/>
          <w:highlight w:val="none"/>
        </w:rPr>
        <w:t>采购项目编号：CTBU-JZ2023</w:t>
      </w:r>
      <w:r>
        <w:rPr>
          <w:rFonts w:hint="eastAsia"/>
          <w:color w:val="auto"/>
          <w:sz w:val="36"/>
          <w:szCs w:val="30"/>
          <w:highlight w:val="none"/>
        </w:rPr>
        <w:t>107</w:t>
      </w:r>
    </w:p>
    <w:p>
      <w:pPr>
        <w:spacing w:line="360" w:lineRule="auto"/>
        <w:ind w:left="4253" w:leftChars="623" w:hanging="2509" w:hangingChars="697"/>
        <w:rPr>
          <w:color w:val="auto"/>
          <w:sz w:val="36"/>
          <w:szCs w:val="30"/>
          <w:highlight w:val="none"/>
        </w:rPr>
      </w:pPr>
      <w:r>
        <w:rPr>
          <w:color w:val="auto"/>
          <w:sz w:val="36"/>
          <w:szCs w:val="30"/>
          <w:highlight w:val="none"/>
        </w:rPr>
        <w:t>采购项目名称：重庆工商大学Nanodcal 3.0量子电子运输计算平台</w:t>
      </w:r>
      <w:r>
        <w:rPr>
          <w:rFonts w:hint="eastAsia"/>
          <w:color w:val="auto"/>
          <w:sz w:val="36"/>
          <w:szCs w:val="30"/>
          <w:highlight w:val="none"/>
        </w:rPr>
        <w:t>项目</w:t>
      </w:r>
      <w:r>
        <w:rPr>
          <w:color w:val="auto"/>
          <w:sz w:val="36"/>
          <w:szCs w:val="30"/>
          <w:highlight w:val="none"/>
        </w:rPr>
        <w:t xml:space="preserve"> </w:t>
      </w:r>
    </w:p>
    <w:p>
      <w:pPr>
        <w:spacing w:line="360" w:lineRule="auto"/>
        <w:ind w:firstLine="1749" w:firstLineChars="486"/>
        <w:rPr>
          <w:color w:val="auto"/>
          <w:sz w:val="36"/>
          <w:szCs w:val="30"/>
          <w:highlight w:val="none"/>
        </w:rPr>
      </w:pPr>
    </w:p>
    <w:p>
      <w:pPr>
        <w:spacing w:line="360" w:lineRule="auto"/>
        <w:jc w:val="center"/>
        <w:rPr>
          <w:b/>
          <w:color w:val="auto"/>
          <w:sz w:val="30"/>
          <w:szCs w:val="30"/>
          <w:highlight w:val="none"/>
        </w:rPr>
      </w:pPr>
    </w:p>
    <w:p>
      <w:pPr>
        <w:spacing w:line="360" w:lineRule="auto"/>
        <w:jc w:val="center"/>
        <w:rPr>
          <w:b/>
          <w:color w:val="auto"/>
          <w:sz w:val="30"/>
          <w:szCs w:val="30"/>
          <w:highlight w:val="none"/>
        </w:rPr>
      </w:pPr>
    </w:p>
    <w:p>
      <w:pPr>
        <w:spacing w:line="360" w:lineRule="auto"/>
        <w:jc w:val="center"/>
        <w:rPr>
          <w:b/>
          <w:color w:val="auto"/>
          <w:sz w:val="30"/>
          <w:szCs w:val="30"/>
          <w:highlight w:val="none"/>
        </w:rPr>
      </w:pPr>
    </w:p>
    <w:p>
      <w:pPr>
        <w:spacing w:line="360" w:lineRule="auto"/>
        <w:rPr>
          <w:b/>
          <w:color w:val="auto"/>
          <w:sz w:val="30"/>
          <w:szCs w:val="30"/>
          <w:highlight w:val="none"/>
        </w:rPr>
      </w:pPr>
    </w:p>
    <w:p>
      <w:pPr>
        <w:spacing w:line="360" w:lineRule="auto"/>
        <w:ind w:firstLine="1800" w:firstLineChars="500"/>
        <w:rPr>
          <w:b/>
          <w:color w:val="auto"/>
          <w:sz w:val="32"/>
          <w:szCs w:val="32"/>
          <w:highlight w:val="none"/>
        </w:rPr>
      </w:pPr>
      <w:r>
        <w:rPr>
          <w:color w:val="auto"/>
          <w:sz w:val="36"/>
          <w:szCs w:val="30"/>
          <w:highlight w:val="none"/>
        </w:rPr>
        <w:t>采   购   人：</w:t>
      </w:r>
      <w:r>
        <w:rPr>
          <w:color w:val="auto"/>
          <w:sz w:val="36"/>
          <w:szCs w:val="36"/>
          <w:highlight w:val="none"/>
        </w:rPr>
        <w:t>重庆工商大学</w:t>
      </w:r>
    </w:p>
    <w:p>
      <w:pPr>
        <w:spacing w:line="360" w:lineRule="auto"/>
        <w:ind w:firstLine="1749" w:firstLineChars="486"/>
        <w:rPr>
          <w:color w:val="auto"/>
          <w:sz w:val="36"/>
          <w:szCs w:val="36"/>
          <w:highlight w:val="none"/>
        </w:rPr>
      </w:pPr>
    </w:p>
    <w:p>
      <w:pPr>
        <w:spacing w:line="360" w:lineRule="auto"/>
        <w:ind w:firstLine="1749" w:firstLineChars="486"/>
        <w:rPr>
          <w:color w:val="auto"/>
          <w:sz w:val="36"/>
          <w:szCs w:val="30"/>
          <w:highlight w:val="none"/>
        </w:rPr>
      </w:pPr>
    </w:p>
    <w:p>
      <w:pPr>
        <w:spacing w:line="360" w:lineRule="auto"/>
        <w:jc w:val="center"/>
        <w:outlineLvl w:val="0"/>
        <w:rPr>
          <w:color w:val="auto"/>
          <w:sz w:val="48"/>
          <w:szCs w:val="32"/>
          <w:highlight w:val="none"/>
        </w:rPr>
        <w:sectPr>
          <w:headerReference r:id="rId4" w:type="first"/>
          <w:footerReference r:id="rId6" w:type="first"/>
          <w:headerReference r:id="rId3" w:type="default"/>
          <w:footerReference r:id="rId5" w:type="even"/>
          <w:pgSz w:w="11907" w:h="16840"/>
          <w:pgMar w:top="1134" w:right="1191" w:bottom="1134" w:left="1304" w:header="851" w:footer="992" w:gutter="0"/>
          <w:pgNumType w:fmt="numberInDash" w:start="1"/>
          <w:cols w:space="720" w:num="1"/>
          <w:docGrid w:linePitch="380" w:charSpace="-5735"/>
        </w:sectPr>
      </w:pPr>
      <w:r>
        <w:rPr>
          <w:color w:val="auto"/>
          <w:sz w:val="44"/>
          <w:szCs w:val="44"/>
          <w:highlight w:val="none"/>
        </w:rPr>
        <w:t>二〇二三年</w:t>
      </w:r>
      <w:r>
        <w:rPr>
          <w:rFonts w:hint="eastAsia"/>
          <w:color w:val="auto"/>
          <w:sz w:val="44"/>
          <w:szCs w:val="44"/>
          <w:highlight w:val="none"/>
        </w:rPr>
        <w:t>八</w:t>
      </w:r>
      <w:r>
        <w:rPr>
          <w:color w:val="auto"/>
          <w:sz w:val="44"/>
          <w:szCs w:val="44"/>
          <w:highlight w:val="none"/>
        </w:rPr>
        <w:t>月</w:t>
      </w:r>
    </w:p>
    <w:p>
      <w:pPr>
        <w:spacing w:line="360" w:lineRule="auto"/>
        <w:jc w:val="center"/>
        <w:outlineLvl w:val="0"/>
        <w:rPr>
          <w:color w:val="auto"/>
          <w:sz w:val="44"/>
          <w:szCs w:val="28"/>
          <w:highlight w:val="none"/>
        </w:rPr>
      </w:pPr>
      <w:r>
        <w:rPr>
          <w:color w:val="auto"/>
          <w:sz w:val="44"/>
          <w:szCs w:val="28"/>
          <w:highlight w:val="none"/>
        </w:rPr>
        <w:t>目  录</w:t>
      </w:r>
    </w:p>
    <w:p>
      <w:pPr>
        <w:pStyle w:val="15"/>
        <w:tabs>
          <w:tab w:val="right" w:leader="dot" w:pos="9412"/>
        </w:tabs>
        <w:ind w:left="560"/>
        <w:rPr>
          <w:color w:val="auto"/>
          <w:highlight w:val="none"/>
        </w:rPr>
      </w:pPr>
      <w:r>
        <w:rPr>
          <w:color w:val="auto"/>
          <w:sz w:val="21"/>
          <w:szCs w:val="21"/>
          <w:highlight w:val="none"/>
        </w:rPr>
        <w:fldChar w:fldCharType="begin"/>
      </w:r>
      <w:r>
        <w:rPr>
          <w:color w:val="auto"/>
          <w:sz w:val="21"/>
          <w:szCs w:val="21"/>
          <w:highlight w:val="none"/>
        </w:rPr>
        <w:instrText xml:space="preserve"> TOC \o "1-3" \h \z </w:instrText>
      </w:r>
      <w:r>
        <w:rPr>
          <w:color w:val="auto"/>
          <w:sz w:val="21"/>
          <w:szCs w:val="21"/>
          <w:highlight w:val="none"/>
        </w:rPr>
        <w:fldChar w:fldCharType="separate"/>
      </w:r>
      <w:r>
        <w:rPr>
          <w:color w:val="auto"/>
          <w:highlight w:val="none"/>
        </w:rPr>
        <w:fldChar w:fldCharType="begin"/>
      </w:r>
      <w:r>
        <w:rPr>
          <w:color w:val="auto"/>
          <w:highlight w:val="none"/>
        </w:rPr>
        <w:instrText xml:space="preserve"> HYPERLINK \l "_Toc18066" </w:instrText>
      </w:r>
      <w:r>
        <w:rPr>
          <w:color w:val="auto"/>
          <w:highlight w:val="none"/>
        </w:rPr>
        <w:fldChar w:fldCharType="separate"/>
      </w:r>
      <w:r>
        <w:rPr>
          <w:bCs/>
          <w:color w:val="auto"/>
          <w:szCs w:val="30"/>
          <w:highlight w:val="none"/>
        </w:rPr>
        <w:t>第一篇  单一来源谈判邀请书</w:t>
      </w:r>
      <w:r>
        <w:rPr>
          <w:color w:val="auto"/>
          <w:highlight w:val="none"/>
        </w:rPr>
        <w:tab/>
      </w:r>
      <w:r>
        <w:rPr>
          <w:color w:val="auto"/>
          <w:highlight w:val="none"/>
        </w:rPr>
        <w:fldChar w:fldCharType="begin"/>
      </w:r>
      <w:r>
        <w:rPr>
          <w:color w:val="auto"/>
          <w:highlight w:val="none"/>
        </w:rPr>
        <w:instrText xml:space="preserve"> PAGEREF _Toc18066 \h </w:instrText>
      </w:r>
      <w:r>
        <w:rPr>
          <w:color w:val="auto"/>
          <w:highlight w:val="none"/>
        </w:rPr>
        <w:fldChar w:fldCharType="separate"/>
      </w:r>
      <w:r>
        <w:rPr>
          <w:color w:val="auto"/>
          <w:highlight w:val="none"/>
        </w:rPr>
        <w:t>- 2 -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"_Toc20837" </w:instrText>
      </w:r>
      <w:r>
        <w:rPr>
          <w:color w:val="auto"/>
          <w:highlight w:val="none"/>
        </w:rPr>
        <w:fldChar w:fldCharType="separate"/>
      </w:r>
      <w:r>
        <w:rPr>
          <w:color w:val="auto"/>
          <w:szCs w:val="24"/>
          <w:highlight w:val="none"/>
        </w:rPr>
        <w:t>一、单一来源谈判内容</w:t>
      </w:r>
      <w:r>
        <w:rPr>
          <w:color w:val="auto"/>
          <w:highlight w:val="none"/>
        </w:rPr>
        <w:tab/>
      </w:r>
      <w:r>
        <w:rPr>
          <w:color w:val="auto"/>
          <w:highlight w:val="none"/>
        </w:rPr>
        <w:fldChar w:fldCharType="begin"/>
      </w:r>
      <w:r>
        <w:rPr>
          <w:color w:val="auto"/>
          <w:highlight w:val="none"/>
        </w:rPr>
        <w:instrText xml:space="preserve"> PAGEREF _Toc20837 \h </w:instrText>
      </w:r>
      <w:r>
        <w:rPr>
          <w:color w:val="auto"/>
          <w:highlight w:val="none"/>
        </w:rPr>
        <w:fldChar w:fldCharType="separate"/>
      </w:r>
      <w:r>
        <w:rPr>
          <w:color w:val="auto"/>
          <w:highlight w:val="none"/>
        </w:rPr>
        <w:t>- 2 -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"_Toc326" </w:instrText>
      </w:r>
      <w:r>
        <w:rPr>
          <w:color w:val="auto"/>
          <w:highlight w:val="none"/>
        </w:rPr>
        <w:fldChar w:fldCharType="separate"/>
      </w:r>
      <w:r>
        <w:rPr>
          <w:color w:val="auto"/>
          <w:szCs w:val="24"/>
          <w:highlight w:val="none"/>
        </w:rPr>
        <w:t>二、资金来源</w:t>
      </w:r>
      <w:r>
        <w:rPr>
          <w:color w:val="auto"/>
          <w:highlight w:val="none"/>
        </w:rPr>
        <w:tab/>
      </w:r>
      <w:r>
        <w:rPr>
          <w:color w:val="auto"/>
          <w:highlight w:val="none"/>
        </w:rPr>
        <w:fldChar w:fldCharType="begin"/>
      </w:r>
      <w:r>
        <w:rPr>
          <w:color w:val="auto"/>
          <w:highlight w:val="none"/>
        </w:rPr>
        <w:instrText xml:space="preserve"> PAGEREF _Toc326 \h </w:instrText>
      </w:r>
      <w:r>
        <w:rPr>
          <w:color w:val="auto"/>
          <w:highlight w:val="none"/>
        </w:rPr>
        <w:fldChar w:fldCharType="separate"/>
      </w:r>
      <w:r>
        <w:rPr>
          <w:color w:val="auto"/>
          <w:highlight w:val="none"/>
        </w:rPr>
        <w:t>- 2 -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"_Toc21442" </w:instrText>
      </w:r>
      <w:r>
        <w:rPr>
          <w:color w:val="auto"/>
          <w:highlight w:val="none"/>
        </w:rPr>
        <w:fldChar w:fldCharType="separate"/>
      </w:r>
      <w:r>
        <w:rPr>
          <w:color w:val="auto"/>
          <w:szCs w:val="24"/>
          <w:highlight w:val="none"/>
        </w:rPr>
        <w:t>三、谈判资格</w:t>
      </w:r>
      <w:r>
        <w:rPr>
          <w:color w:val="auto"/>
          <w:highlight w:val="none"/>
        </w:rPr>
        <w:tab/>
      </w:r>
      <w:r>
        <w:rPr>
          <w:color w:val="auto"/>
          <w:highlight w:val="none"/>
        </w:rPr>
        <w:fldChar w:fldCharType="begin"/>
      </w:r>
      <w:r>
        <w:rPr>
          <w:color w:val="auto"/>
          <w:highlight w:val="none"/>
        </w:rPr>
        <w:instrText xml:space="preserve"> PAGEREF _Toc21442 \h </w:instrText>
      </w:r>
      <w:r>
        <w:rPr>
          <w:color w:val="auto"/>
          <w:highlight w:val="none"/>
        </w:rPr>
        <w:fldChar w:fldCharType="separate"/>
      </w:r>
      <w:r>
        <w:rPr>
          <w:color w:val="auto"/>
          <w:highlight w:val="none"/>
        </w:rPr>
        <w:t>- 2 -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"_Toc31841" </w:instrText>
      </w:r>
      <w:r>
        <w:rPr>
          <w:color w:val="auto"/>
          <w:highlight w:val="none"/>
        </w:rPr>
        <w:fldChar w:fldCharType="separate"/>
      </w:r>
      <w:r>
        <w:rPr>
          <w:color w:val="auto"/>
          <w:szCs w:val="24"/>
          <w:highlight w:val="none"/>
        </w:rPr>
        <w:t>四、谈判有关说明</w:t>
      </w:r>
      <w:r>
        <w:rPr>
          <w:color w:val="auto"/>
          <w:highlight w:val="none"/>
        </w:rPr>
        <w:tab/>
      </w:r>
      <w:r>
        <w:rPr>
          <w:color w:val="auto"/>
          <w:highlight w:val="none"/>
        </w:rPr>
        <w:fldChar w:fldCharType="begin"/>
      </w:r>
      <w:r>
        <w:rPr>
          <w:color w:val="auto"/>
          <w:highlight w:val="none"/>
        </w:rPr>
        <w:instrText xml:space="preserve"> PAGEREF _Toc31841 \h </w:instrText>
      </w:r>
      <w:r>
        <w:rPr>
          <w:color w:val="auto"/>
          <w:highlight w:val="none"/>
        </w:rPr>
        <w:fldChar w:fldCharType="separate"/>
      </w:r>
      <w:r>
        <w:rPr>
          <w:color w:val="auto"/>
          <w:highlight w:val="none"/>
        </w:rPr>
        <w:t>- 2 -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"_Toc3835" </w:instrText>
      </w:r>
      <w:r>
        <w:rPr>
          <w:color w:val="auto"/>
          <w:highlight w:val="none"/>
        </w:rPr>
        <w:fldChar w:fldCharType="separate"/>
      </w:r>
      <w:r>
        <w:rPr>
          <w:color w:val="auto"/>
          <w:szCs w:val="24"/>
          <w:highlight w:val="none"/>
        </w:rPr>
        <w:t>五、其它有关规定</w:t>
      </w:r>
      <w:r>
        <w:rPr>
          <w:color w:val="auto"/>
          <w:highlight w:val="none"/>
        </w:rPr>
        <w:tab/>
      </w:r>
      <w:r>
        <w:rPr>
          <w:color w:val="auto"/>
          <w:highlight w:val="none"/>
        </w:rPr>
        <w:fldChar w:fldCharType="begin"/>
      </w:r>
      <w:r>
        <w:rPr>
          <w:color w:val="auto"/>
          <w:highlight w:val="none"/>
        </w:rPr>
        <w:instrText xml:space="preserve"> PAGEREF _Toc3835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"_Toc11197" </w:instrText>
      </w:r>
      <w:r>
        <w:rPr>
          <w:color w:val="auto"/>
          <w:highlight w:val="none"/>
        </w:rPr>
        <w:fldChar w:fldCharType="separate"/>
      </w:r>
      <w:r>
        <w:rPr>
          <w:rFonts w:hint="eastAsia"/>
          <w:color w:val="auto"/>
          <w:szCs w:val="24"/>
          <w:highlight w:val="none"/>
        </w:rPr>
        <w:t>六</w:t>
      </w:r>
      <w:r>
        <w:rPr>
          <w:color w:val="auto"/>
          <w:szCs w:val="24"/>
          <w:highlight w:val="none"/>
        </w:rPr>
        <w:t>、联系方式</w:t>
      </w:r>
      <w:r>
        <w:rPr>
          <w:color w:val="auto"/>
          <w:highlight w:val="none"/>
        </w:rPr>
        <w:tab/>
      </w:r>
      <w:r>
        <w:rPr>
          <w:color w:val="auto"/>
          <w:highlight w:val="none"/>
        </w:rPr>
        <w:fldChar w:fldCharType="begin"/>
      </w:r>
      <w:r>
        <w:rPr>
          <w:color w:val="auto"/>
          <w:highlight w:val="none"/>
        </w:rPr>
        <w:instrText xml:space="preserve"> PAGEREF _Toc11197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15"/>
        <w:tabs>
          <w:tab w:val="right" w:leader="dot" w:pos="9412"/>
        </w:tabs>
        <w:ind w:left="560"/>
        <w:rPr>
          <w:color w:val="auto"/>
          <w:highlight w:val="none"/>
        </w:rPr>
      </w:pPr>
      <w:bookmarkStart w:id="151" w:name="_GoBack"/>
      <w:bookmarkEnd w:id="151"/>
      <w:r>
        <w:rPr>
          <w:color w:val="auto"/>
          <w:highlight w:val="none"/>
        </w:rPr>
        <w:fldChar w:fldCharType="begin"/>
      </w:r>
      <w:r>
        <w:rPr>
          <w:color w:val="auto"/>
          <w:highlight w:val="none"/>
        </w:rPr>
        <w:instrText xml:space="preserve"> HYPERLINK \l "_Toc31531" </w:instrText>
      </w:r>
      <w:r>
        <w:rPr>
          <w:color w:val="auto"/>
          <w:highlight w:val="none"/>
        </w:rPr>
        <w:fldChar w:fldCharType="separate"/>
      </w:r>
      <w:r>
        <w:rPr>
          <w:bCs/>
          <w:color w:val="auto"/>
          <w:szCs w:val="30"/>
          <w:highlight w:val="none"/>
        </w:rPr>
        <w:t>第二篇  谈判项目技术需求</w:t>
      </w:r>
      <w:r>
        <w:rPr>
          <w:color w:val="auto"/>
          <w:highlight w:val="none"/>
        </w:rPr>
        <w:tab/>
      </w:r>
      <w:r>
        <w:rPr>
          <w:color w:val="auto"/>
          <w:highlight w:val="none"/>
        </w:rPr>
        <w:fldChar w:fldCharType="begin"/>
      </w:r>
      <w:r>
        <w:rPr>
          <w:color w:val="auto"/>
          <w:highlight w:val="none"/>
        </w:rPr>
        <w:instrText xml:space="preserve"> PAGEREF _Toc31531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"_Toc1940" </w:instrText>
      </w:r>
      <w:r>
        <w:rPr>
          <w:color w:val="auto"/>
          <w:highlight w:val="none"/>
        </w:rPr>
        <w:fldChar w:fldCharType="separate"/>
      </w:r>
      <w:r>
        <w:rPr>
          <w:color w:val="auto"/>
          <w:szCs w:val="24"/>
          <w:highlight w:val="none"/>
        </w:rPr>
        <w:t>一、项目一览表</w:t>
      </w:r>
      <w:r>
        <w:rPr>
          <w:color w:val="auto"/>
          <w:highlight w:val="none"/>
        </w:rPr>
        <w:tab/>
      </w:r>
      <w:r>
        <w:rPr>
          <w:color w:val="auto"/>
          <w:highlight w:val="none"/>
        </w:rPr>
        <w:fldChar w:fldCharType="begin"/>
      </w:r>
      <w:r>
        <w:rPr>
          <w:color w:val="auto"/>
          <w:highlight w:val="none"/>
        </w:rPr>
        <w:instrText xml:space="preserve"> PAGEREF _Toc1940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"_Toc30537" </w:instrText>
      </w:r>
      <w:r>
        <w:rPr>
          <w:color w:val="auto"/>
          <w:highlight w:val="none"/>
        </w:rPr>
        <w:fldChar w:fldCharType="separate"/>
      </w:r>
      <w:r>
        <w:rPr>
          <w:rFonts w:hint="eastAsia"/>
          <w:color w:val="auto"/>
          <w:szCs w:val="24"/>
          <w:highlight w:val="none"/>
        </w:rPr>
        <w:t>二、技术</w:t>
      </w:r>
      <w:r>
        <w:rPr>
          <w:color w:val="auto"/>
          <w:szCs w:val="24"/>
          <w:highlight w:val="none"/>
        </w:rPr>
        <w:t>要求</w:t>
      </w:r>
      <w:r>
        <w:rPr>
          <w:color w:val="auto"/>
          <w:highlight w:val="none"/>
        </w:rPr>
        <w:tab/>
      </w:r>
      <w:r>
        <w:rPr>
          <w:color w:val="auto"/>
          <w:highlight w:val="none"/>
        </w:rPr>
        <w:fldChar w:fldCharType="begin"/>
      </w:r>
      <w:r>
        <w:rPr>
          <w:color w:val="auto"/>
          <w:highlight w:val="none"/>
        </w:rPr>
        <w:instrText xml:space="preserve"> PAGEREF _Toc30537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"_Toc27278" </w:instrText>
      </w:r>
      <w:r>
        <w:rPr>
          <w:color w:val="auto"/>
          <w:highlight w:val="none"/>
        </w:rPr>
        <w:fldChar w:fldCharType="separate"/>
      </w:r>
      <w:r>
        <w:rPr>
          <w:rFonts w:hint="eastAsia"/>
          <w:color w:val="auto"/>
          <w:szCs w:val="24"/>
          <w:highlight w:val="none"/>
        </w:rPr>
        <w:t>三、其它技术要求</w:t>
      </w:r>
      <w:r>
        <w:rPr>
          <w:color w:val="auto"/>
          <w:highlight w:val="none"/>
        </w:rPr>
        <w:tab/>
      </w:r>
      <w:r>
        <w:rPr>
          <w:color w:val="auto"/>
          <w:highlight w:val="none"/>
        </w:rPr>
        <w:fldChar w:fldCharType="begin"/>
      </w:r>
      <w:r>
        <w:rPr>
          <w:color w:val="auto"/>
          <w:highlight w:val="none"/>
        </w:rPr>
        <w:instrText xml:space="preserve"> PAGEREF _Toc27278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pPr>
        <w:pStyle w:val="15"/>
        <w:tabs>
          <w:tab w:val="right" w:leader="dot" w:pos="9412"/>
        </w:tabs>
        <w:ind w:left="560"/>
        <w:rPr>
          <w:color w:val="auto"/>
          <w:highlight w:val="none"/>
        </w:rPr>
      </w:pPr>
      <w:r>
        <w:rPr>
          <w:color w:val="auto"/>
          <w:highlight w:val="none"/>
        </w:rPr>
        <w:fldChar w:fldCharType="begin"/>
      </w:r>
      <w:r>
        <w:rPr>
          <w:color w:val="auto"/>
          <w:highlight w:val="none"/>
        </w:rPr>
        <w:instrText xml:space="preserve"> HYPERLINK \l "_Toc1539" </w:instrText>
      </w:r>
      <w:r>
        <w:rPr>
          <w:color w:val="auto"/>
          <w:highlight w:val="none"/>
        </w:rPr>
        <w:fldChar w:fldCharType="separate"/>
      </w:r>
      <w:r>
        <w:rPr>
          <w:bCs/>
          <w:color w:val="auto"/>
          <w:szCs w:val="30"/>
          <w:highlight w:val="none"/>
        </w:rPr>
        <w:t>第三篇  谈判项目商务需求</w:t>
      </w:r>
      <w:r>
        <w:rPr>
          <w:color w:val="auto"/>
          <w:highlight w:val="none"/>
        </w:rPr>
        <w:tab/>
      </w:r>
      <w:r>
        <w:rPr>
          <w:color w:val="auto"/>
          <w:highlight w:val="none"/>
        </w:rPr>
        <w:fldChar w:fldCharType="begin"/>
      </w:r>
      <w:r>
        <w:rPr>
          <w:color w:val="auto"/>
          <w:highlight w:val="none"/>
        </w:rPr>
        <w:instrText xml:space="preserve"> PAGEREF _Toc1539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"_Toc24204" </w:instrText>
      </w:r>
      <w:r>
        <w:rPr>
          <w:color w:val="auto"/>
          <w:highlight w:val="none"/>
        </w:rPr>
        <w:fldChar w:fldCharType="separate"/>
      </w:r>
      <w:r>
        <w:rPr>
          <w:rFonts w:hint="eastAsia"/>
          <w:color w:val="auto"/>
          <w:szCs w:val="24"/>
          <w:highlight w:val="none"/>
        </w:rPr>
        <w:t>一、交货期、交货地点及验收方式</w:t>
      </w:r>
      <w:r>
        <w:rPr>
          <w:color w:val="auto"/>
          <w:highlight w:val="none"/>
        </w:rPr>
        <w:tab/>
      </w:r>
      <w:r>
        <w:rPr>
          <w:color w:val="auto"/>
          <w:highlight w:val="none"/>
        </w:rPr>
        <w:fldChar w:fldCharType="begin"/>
      </w:r>
      <w:r>
        <w:rPr>
          <w:color w:val="auto"/>
          <w:highlight w:val="none"/>
        </w:rPr>
        <w:instrText xml:space="preserve"> PAGEREF _Toc24204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"_Toc29739" </w:instrText>
      </w:r>
      <w:r>
        <w:rPr>
          <w:color w:val="auto"/>
          <w:highlight w:val="none"/>
        </w:rPr>
        <w:fldChar w:fldCharType="separate"/>
      </w:r>
      <w:r>
        <w:rPr>
          <w:rFonts w:hint="eastAsia"/>
          <w:color w:val="auto"/>
          <w:szCs w:val="24"/>
          <w:highlight w:val="none"/>
        </w:rPr>
        <w:t>二、报价要求</w:t>
      </w:r>
      <w:r>
        <w:rPr>
          <w:color w:val="auto"/>
          <w:highlight w:val="none"/>
        </w:rPr>
        <w:tab/>
      </w:r>
      <w:r>
        <w:rPr>
          <w:color w:val="auto"/>
          <w:highlight w:val="none"/>
        </w:rPr>
        <w:fldChar w:fldCharType="begin"/>
      </w:r>
      <w:r>
        <w:rPr>
          <w:color w:val="auto"/>
          <w:highlight w:val="none"/>
        </w:rPr>
        <w:instrText xml:space="preserve"> PAGEREF _Toc29739 \h </w:instrText>
      </w:r>
      <w:r>
        <w:rPr>
          <w:color w:val="auto"/>
          <w:highlight w:val="none"/>
        </w:rPr>
        <w:fldChar w:fldCharType="separate"/>
      </w:r>
      <w:r>
        <w:rPr>
          <w:color w:val="auto"/>
          <w:highlight w:val="none"/>
        </w:rPr>
        <w:t>- 9 -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"_Toc13775" </w:instrText>
      </w:r>
      <w:r>
        <w:rPr>
          <w:color w:val="auto"/>
          <w:highlight w:val="none"/>
        </w:rPr>
        <w:fldChar w:fldCharType="separate"/>
      </w:r>
      <w:r>
        <w:rPr>
          <w:rFonts w:hint="eastAsia"/>
          <w:color w:val="auto"/>
          <w:szCs w:val="24"/>
          <w:highlight w:val="none"/>
        </w:rPr>
        <w:t>三、质量保证及售后服务</w:t>
      </w:r>
      <w:r>
        <w:rPr>
          <w:color w:val="auto"/>
          <w:highlight w:val="none"/>
        </w:rPr>
        <w:tab/>
      </w:r>
      <w:r>
        <w:rPr>
          <w:color w:val="auto"/>
          <w:highlight w:val="none"/>
        </w:rPr>
        <w:fldChar w:fldCharType="begin"/>
      </w:r>
      <w:r>
        <w:rPr>
          <w:color w:val="auto"/>
          <w:highlight w:val="none"/>
        </w:rPr>
        <w:instrText xml:space="preserve"> PAGEREF _Toc13775 \h </w:instrText>
      </w:r>
      <w:r>
        <w:rPr>
          <w:color w:val="auto"/>
          <w:highlight w:val="none"/>
        </w:rPr>
        <w:fldChar w:fldCharType="separate"/>
      </w:r>
      <w:r>
        <w:rPr>
          <w:color w:val="auto"/>
          <w:highlight w:val="none"/>
        </w:rPr>
        <w:t>- 10 -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"_Toc2256" </w:instrText>
      </w:r>
      <w:r>
        <w:rPr>
          <w:color w:val="auto"/>
          <w:highlight w:val="none"/>
        </w:rPr>
        <w:fldChar w:fldCharType="separate"/>
      </w:r>
      <w:r>
        <w:rPr>
          <w:rFonts w:hint="eastAsia"/>
          <w:color w:val="auto"/>
          <w:szCs w:val="24"/>
          <w:highlight w:val="none"/>
        </w:rPr>
        <w:t>四、付款方式</w:t>
      </w:r>
      <w:r>
        <w:rPr>
          <w:color w:val="auto"/>
          <w:highlight w:val="none"/>
        </w:rPr>
        <w:tab/>
      </w:r>
      <w:r>
        <w:rPr>
          <w:color w:val="auto"/>
          <w:highlight w:val="none"/>
        </w:rPr>
        <w:fldChar w:fldCharType="begin"/>
      </w:r>
      <w:r>
        <w:rPr>
          <w:color w:val="auto"/>
          <w:highlight w:val="none"/>
        </w:rPr>
        <w:instrText xml:space="preserve"> PAGEREF _Toc2256 \h </w:instrText>
      </w:r>
      <w:r>
        <w:rPr>
          <w:color w:val="auto"/>
          <w:highlight w:val="none"/>
        </w:rPr>
        <w:fldChar w:fldCharType="separate"/>
      </w:r>
      <w:r>
        <w:rPr>
          <w:color w:val="auto"/>
          <w:highlight w:val="none"/>
        </w:rPr>
        <w:t>- 12 -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"_Toc10678" </w:instrText>
      </w:r>
      <w:r>
        <w:rPr>
          <w:color w:val="auto"/>
          <w:highlight w:val="none"/>
        </w:rPr>
        <w:fldChar w:fldCharType="separate"/>
      </w:r>
      <w:r>
        <w:rPr>
          <w:rFonts w:hint="eastAsia"/>
          <w:color w:val="auto"/>
          <w:szCs w:val="24"/>
          <w:highlight w:val="none"/>
        </w:rPr>
        <w:t>五、履约保证金</w:t>
      </w:r>
      <w:r>
        <w:rPr>
          <w:color w:val="auto"/>
          <w:highlight w:val="none"/>
        </w:rPr>
        <w:tab/>
      </w:r>
      <w:r>
        <w:rPr>
          <w:color w:val="auto"/>
          <w:highlight w:val="none"/>
        </w:rPr>
        <w:fldChar w:fldCharType="begin"/>
      </w:r>
      <w:r>
        <w:rPr>
          <w:color w:val="auto"/>
          <w:highlight w:val="none"/>
        </w:rPr>
        <w:instrText xml:space="preserve"> PAGEREF _Toc10678 \h </w:instrText>
      </w:r>
      <w:r>
        <w:rPr>
          <w:color w:val="auto"/>
          <w:highlight w:val="none"/>
        </w:rPr>
        <w:fldChar w:fldCharType="separate"/>
      </w:r>
      <w:r>
        <w:rPr>
          <w:color w:val="auto"/>
          <w:highlight w:val="none"/>
        </w:rPr>
        <w:t>- 12 -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"_Toc5172" </w:instrText>
      </w:r>
      <w:r>
        <w:rPr>
          <w:color w:val="auto"/>
          <w:highlight w:val="none"/>
        </w:rPr>
        <w:fldChar w:fldCharType="separate"/>
      </w:r>
      <w:r>
        <w:rPr>
          <w:rFonts w:hint="eastAsia"/>
          <w:color w:val="auto"/>
          <w:szCs w:val="24"/>
          <w:highlight w:val="none"/>
        </w:rPr>
        <w:t>六、知识产权</w:t>
      </w:r>
      <w:r>
        <w:rPr>
          <w:color w:val="auto"/>
          <w:highlight w:val="none"/>
        </w:rPr>
        <w:tab/>
      </w:r>
      <w:r>
        <w:rPr>
          <w:color w:val="auto"/>
          <w:highlight w:val="none"/>
        </w:rPr>
        <w:fldChar w:fldCharType="begin"/>
      </w:r>
      <w:r>
        <w:rPr>
          <w:color w:val="auto"/>
          <w:highlight w:val="none"/>
        </w:rPr>
        <w:instrText xml:space="preserve"> PAGEREF _Toc5172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"_Toc23636" </w:instrText>
      </w:r>
      <w:r>
        <w:rPr>
          <w:color w:val="auto"/>
          <w:highlight w:val="none"/>
        </w:rPr>
        <w:fldChar w:fldCharType="separate"/>
      </w:r>
      <w:r>
        <w:rPr>
          <w:rFonts w:hint="eastAsia"/>
          <w:color w:val="auto"/>
          <w:szCs w:val="24"/>
          <w:highlight w:val="none"/>
        </w:rPr>
        <w:t>七、培训及二次开发</w:t>
      </w:r>
      <w:r>
        <w:rPr>
          <w:color w:val="auto"/>
          <w:highlight w:val="none"/>
        </w:rPr>
        <w:tab/>
      </w:r>
      <w:r>
        <w:rPr>
          <w:color w:val="auto"/>
          <w:highlight w:val="none"/>
        </w:rPr>
        <w:fldChar w:fldCharType="begin"/>
      </w:r>
      <w:r>
        <w:rPr>
          <w:color w:val="auto"/>
          <w:highlight w:val="none"/>
        </w:rPr>
        <w:instrText xml:space="preserve"> PAGEREF _Toc23636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"_Toc24471" </w:instrText>
      </w:r>
      <w:r>
        <w:rPr>
          <w:color w:val="auto"/>
          <w:highlight w:val="none"/>
        </w:rPr>
        <w:fldChar w:fldCharType="separate"/>
      </w:r>
      <w:r>
        <w:rPr>
          <w:rFonts w:hint="eastAsia"/>
          <w:color w:val="auto"/>
          <w:szCs w:val="24"/>
          <w:highlight w:val="none"/>
        </w:rPr>
        <w:t>八、违约责任</w:t>
      </w:r>
      <w:r>
        <w:rPr>
          <w:color w:val="auto"/>
          <w:highlight w:val="none"/>
        </w:rPr>
        <w:tab/>
      </w:r>
      <w:r>
        <w:rPr>
          <w:color w:val="auto"/>
          <w:highlight w:val="none"/>
        </w:rPr>
        <w:fldChar w:fldCharType="begin"/>
      </w:r>
      <w:r>
        <w:rPr>
          <w:color w:val="auto"/>
          <w:highlight w:val="none"/>
        </w:rPr>
        <w:instrText xml:space="preserve"> PAGEREF _Toc24471 \h </w:instrText>
      </w:r>
      <w:r>
        <w:rPr>
          <w:color w:val="auto"/>
          <w:highlight w:val="none"/>
        </w:rPr>
        <w:fldChar w:fldCharType="separate"/>
      </w:r>
      <w:r>
        <w:rPr>
          <w:color w:val="auto"/>
          <w:highlight w:val="none"/>
        </w:rPr>
        <w:t>- 13 -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"_Toc11159" </w:instrText>
      </w:r>
      <w:r>
        <w:rPr>
          <w:color w:val="auto"/>
          <w:highlight w:val="none"/>
        </w:rPr>
        <w:fldChar w:fldCharType="separate"/>
      </w:r>
      <w:r>
        <w:rPr>
          <w:rFonts w:hint="eastAsia"/>
          <w:color w:val="auto"/>
          <w:szCs w:val="21"/>
          <w:highlight w:val="none"/>
        </w:rPr>
        <w:t>九</w:t>
      </w:r>
      <w:r>
        <w:rPr>
          <w:rFonts w:hint="eastAsia"/>
          <w:color w:val="auto"/>
          <w:szCs w:val="24"/>
          <w:highlight w:val="none"/>
        </w:rPr>
        <w:t>、其他商务要求内容</w:t>
      </w:r>
      <w:r>
        <w:rPr>
          <w:color w:val="auto"/>
          <w:highlight w:val="none"/>
        </w:rPr>
        <w:tab/>
      </w:r>
      <w:r>
        <w:rPr>
          <w:color w:val="auto"/>
          <w:highlight w:val="none"/>
        </w:rPr>
        <w:fldChar w:fldCharType="begin"/>
      </w:r>
      <w:r>
        <w:rPr>
          <w:color w:val="auto"/>
          <w:highlight w:val="none"/>
        </w:rPr>
        <w:instrText xml:space="preserve"> PAGEREF _Toc11159 \h </w:instrText>
      </w:r>
      <w:r>
        <w:rPr>
          <w:color w:val="auto"/>
          <w:highlight w:val="none"/>
        </w:rPr>
        <w:fldChar w:fldCharType="separate"/>
      </w:r>
      <w:r>
        <w:rPr>
          <w:color w:val="auto"/>
          <w:highlight w:val="none"/>
        </w:rPr>
        <w:t>- 14 -</w:t>
      </w:r>
      <w:r>
        <w:rPr>
          <w:color w:val="auto"/>
          <w:highlight w:val="none"/>
        </w:rPr>
        <w:fldChar w:fldCharType="end"/>
      </w:r>
      <w:r>
        <w:rPr>
          <w:color w:val="auto"/>
          <w:highlight w:val="none"/>
        </w:rPr>
        <w:fldChar w:fldCharType="end"/>
      </w:r>
    </w:p>
    <w:p>
      <w:pPr>
        <w:pStyle w:val="15"/>
        <w:tabs>
          <w:tab w:val="right" w:leader="dot" w:pos="9412"/>
        </w:tabs>
        <w:ind w:left="560"/>
        <w:rPr>
          <w:color w:val="auto"/>
          <w:highlight w:val="none"/>
        </w:rPr>
      </w:pPr>
      <w:r>
        <w:rPr>
          <w:color w:val="auto"/>
          <w:highlight w:val="none"/>
        </w:rPr>
        <w:fldChar w:fldCharType="begin"/>
      </w:r>
      <w:r>
        <w:rPr>
          <w:color w:val="auto"/>
          <w:highlight w:val="none"/>
        </w:rPr>
        <w:instrText xml:space="preserve"> HYPERLINK \l "_Toc19502" </w:instrText>
      </w:r>
      <w:r>
        <w:rPr>
          <w:color w:val="auto"/>
          <w:highlight w:val="none"/>
        </w:rPr>
        <w:fldChar w:fldCharType="separate"/>
      </w:r>
      <w:r>
        <w:rPr>
          <w:color w:val="auto"/>
          <w:szCs w:val="30"/>
          <w:highlight w:val="none"/>
        </w:rPr>
        <w:t>第四篇  供应商须知</w:t>
      </w:r>
      <w:r>
        <w:rPr>
          <w:color w:val="auto"/>
          <w:highlight w:val="none"/>
        </w:rPr>
        <w:tab/>
      </w:r>
      <w:r>
        <w:rPr>
          <w:color w:val="auto"/>
          <w:highlight w:val="none"/>
        </w:rPr>
        <w:fldChar w:fldCharType="begin"/>
      </w:r>
      <w:r>
        <w:rPr>
          <w:color w:val="auto"/>
          <w:highlight w:val="none"/>
        </w:rPr>
        <w:instrText xml:space="preserve"> PAGEREF _Toc19502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"_Toc2776" </w:instrText>
      </w:r>
      <w:r>
        <w:rPr>
          <w:color w:val="auto"/>
          <w:highlight w:val="none"/>
        </w:rPr>
        <w:fldChar w:fldCharType="separate"/>
      </w:r>
      <w:r>
        <w:rPr>
          <w:color w:val="auto"/>
          <w:szCs w:val="24"/>
          <w:highlight w:val="none"/>
        </w:rPr>
        <w:t>一、谈判费用</w:t>
      </w:r>
      <w:r>
        <w:rPr>
          <w:color w:val="auto"/>
          <w:highlight w:val="none"/>
        </w:rPr>
        <w:tab/>
      </w:r>
      <w:r>
        <w:rPr>
          <w:color w:val="auto"/>
          <w:highlight w:val="none"/>
        </w:rPr>
        <w:fldChar w:fldCharType="begin"/>
      </w:r>
      <w:r>
        <w:rPr>
          <w:color w:val="auto"/>
          <w:highlight w:val="none"/>
        </w:rPr>
        <w:instrText xml:space="preserve"> PAGEREF _Toc2776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"_Toc8957" </w:instrText>
      </w:r>
      <w:r>
        <w:rPr>
          <w:color w:val="auto"/>
          <w:highlight w:val="none"/>
        </w:rPr>
        <w:fldChar w:fldCharType="separate"/>
      </w:r>
      <w:r>
        <w:rPr>
          <w:color w:val="auto"/>
          <w:szCs w:val="24"/>
          <w:highlight w:val="none"/>
        </w:rPr>
        <w:t>二、单一来源谈判文件</w:t>
      </w:r>
      <w:r>
        <w:rPr>
          <w:color w:val="auto"/>
          <w:highlight w:val="none"/>
        </w:rPr>
        <w:tab/>
      </w:r>
      <w:r>
        <w:rPr>
          <w:color w:val="auto"/>
          <w:highlight w:val="none"/>
        </w:rPr>
        <w:fldChar w:fldCharType="begin"/>
      </w:r>
      <w:r>
        <w:rPr>
          <w:color w:val="auto"/>
          <w:highlight w:val="none"/>
        </w:rPr>
        <w:instrText xml:space="preserve"> PAGEREF _Toc8957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"_Toc32210" </w:instrText>
      </w:r>
      <w:r>
        <w:rPr>
          <w:color w:val="auto"/>
          <w:highlight w:val="none"/>
        </w:rPr>
        <w:fldChar w:fldCharType="separate"/>
      </w:r>
      <w:r>
        <w:rPr>
          <w:color w:val="auto"/>
          <w:szCs w:val="24"/>
          <w:highlight w:val="none"/>
        </w:rPr>
        <w:t>三、单一来源谈判要求</w:t>
      </w:r>
      <w:r>
        <w:rPr>
          <w:color w:val="auto"/>
          <w:highlight w:val="none"/>
        </w:rPr>
        <w:tab/>
      </w:r>
      <w:r>
        <w:rPr>
          <w:color w:val="auto"/>
          <w:highlight w:val="none"/>
        </w:rPr>
        <w:fldChar w:fldCharType="begin"/>
      </w:r>
      <w:r>
        <w:rPr>
          <w:color w:val="auto"/>
          <w:highlight w:val="none"/>
        </w:rPr>
        <w:instrText xml:space="preserve"> PAGEREF _Toc32210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"_Toc25719" </w:instrText>
      </w:r>
      <w:r>
        <w:rPr>
          <w:color w:val="auto"/>
          <w:highlight w:val="none"/>
        </w:rPr>
        <w:fldChar w:fldCharType="separate"/>
      </w:r>
      <w:r>
        <w:rPr>
          <w:color w:val="auto"/>
          <w:szCs w:val="24"/>
          <w:highlight w:val="none"/>
        </w:rPr>
        <w:t>四、单一来源谈判程序</w:t>
      </w:r>
      <w:r>
        <w:rPr>
          <w:color w:val="auto"/>
          <w:highlight w:val="none"/>
        </w:rPr>
        <w:tab/>
      </w:r>
      <w:r>
        <w:rPr>
          <w:color w:val="auto"/>
          <w:highlight w:val="none"/>
        </w:rPr>
        <w:fldChar w:fldCharType="begin"/>
      </w:r>
      <w:r>
        <w:rPr>
          <w:color w:val="auto"/>
          <w:highlight w:val="none"/>
        </w:rPr>
        <w:instrText xml:space="preserve"> PAGEREF _Toc25719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"_Toc26696" </w:instrText>
      </w:r>
      <w:r>
        <w:rPr>
          <w:color w:val="auto"/>
          <w:highlight w:val="none"/>
        </w:rPr>
        <w:fldChar w:fldCharType="separate"/>
      </w:r>
      <w:r>
        <w:rPr>
          <w:color w:val="auto"/>
          <w:szCs w:val="24"/>
          <w:highlight w:val="none"/>
        </w:rPr>
        <w:t>五、评审依据</w:t>
      </w:r>
      <w:r>
        <w:rPr>
          <w:color w:val="auto"/>
          <w:highlight w:val="none"/>
        </w:rPr>
        <w:tab/>
      </w:r>
      <w:r>
        <w:rPr>
          <w:color w:val="auto"/>
          <w:highlight w:val="none"/>
        </w:rPr>
        <w:fldChar w:fldCharType="begin"/>
      </w:r>
      <w:r>
        <w:rPr>
          <w:color w:val="auto"/>
          <w:highlight w:val="none"/>
        </w:rPr>
        <w:instrText xml:space="preserve"> PAGEREF _Toc26696 \h </w:instrText>
      </w:r>
      <w:r>
        <w:rPr>
          <w:color w:val="auto"/>
          <w:highlight w:val="none"/>
        </w:rPr>
        <w:fldChar w:fldCharType="separate"/>
      </w:r>
      <w:r>
        <w:rPr>
          <w:color w:val="auto"/>
          <w:highlight w:val="none"/>
        </w:rPr>
        <w:t>- 19 -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"_Toc7687" </w:instrText>
      </w:r>
      <w:r>
        <w:rPr>
          <w:color w:val="auto"/>
          <w:highlight w:val="none"/>
        </w:rPr>
        <w:fldChar w:fldCharType="separate"/>
      </w:r>
      <w:r>
        <w:rPr>
          <w:color w:val="auto"/>
          <w:szCs w:val="24"/>
          <w:highlight w:val="none"/>
        </w:rPr>
        <w:t>六、成交原则</w:t>
      </w:r>
      <w:r>
        <w:rPr>
          <w:color w:val="auto"/>
          <w:highlight w:val="none"/>
        </w:rPr>
        <w:tab/>
      </w:r>
      <w:r>
        <w:rPr>
          <w:color w:val="auto"/>
          <w:highlight w:val="none"/>
        </w:rPr>
        <w:fldChar w:fldCharType="begin"/>
      </w:r>
      <w:r>
        <w:rPr>
          <w:color w:val="auto"/>
          <w:highlight w:val="none"/>
        </w:rPr>
        <w:instrText xml:space="preserve"> PAGEREF _Toc7687 \h </w:instrText>
      </w:r>
      <w:r>
        <w:rPr>
          <w:color w:val="auto"/>
          <w:highlight w:val="none"/>
        </w:rPr>
        <w:fldChar w:fldCharType="separate"/>
      </w:r>
      <w:r>
        <w:rPr>
          <w:color w:val="auto"/>
          <w:highlight w:val="none"/>
        </w:rPr>
        <w:t>- 19 -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"_Toc16356" </w:instrText>
      </w:r>
      <w:r>
        <w:rPr>
          <w:color w:val="auto"/>
          <w:highlight w:val="none"/>
        </w:rPr>
        <w:fldChar w:fldCharType="separate"/>
      </w:r>
      <w:r>
        <w:rPr>
          <w:color w:val="auto"/>
          <w:szCs w:val="24"/>
          <w:highlight w:val="none"/>
        </w:rPr>
        <w:t>七、成交通知</w:t>
      </w:r>
      <w:r>
        <w:rPr>
          <w:color w:val="auto"/>
          <w:highlight w:val="none"/>
        </w:rPr>
        <w:tab/>
      </w:r>
      <w:r>
        <w:rPr>
          <w:color w:val="auto"/>
          <w:highlight w:val="none"/>
        </w:rPr>
        <w:fldChar w:fldCharType="begin"/>
      </w:r>
      <w:r>
        <w:rPr>
          <w:color w:val="auto"/>
          <w:highlight w:val="none"/>
        </w:rPr>
        <w:instrText xml:space="preserve"> PAGEREF _Toc16356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"_Toc15599" </w:instrText>
      </w:r>
      <w:r>
        <w:rPr>
          <w:color w:val="auto"/>
          <w:highlight w:val="none"/>
        </w:rPr>
        <w:fldChar w:fldCharType="separate"/>
      </w:r>
      <w:r>
        <w:rPr>
          <w:color w:val="auto"/>
          <w:szCs w:val="24"/>
          <w:highlight w:val="none"/>
        </w:rPr>
        <w:t>八、关于质疑和投诉</w:t>
      </w:r>
      <w:r>
        <w:rPr>
          <w:color w:val="auto"/>
          <w:highlight w:val="none"/>
        </w:rPr>
        <w:tab/>
      </w:r>
      <w:r>
        <w:rPr>
          <w:color w:val="auto"/>
          <w:highlight w:val="none"/>
        </w:rPr>
        <w:fldChar w:fldCharType="begin"/>
      </w:r>
      <w:r>
        <w:rPr>
          <w:color w:val="auto"/>
          <w:highlight w:val="none"/>
        </w:rPr>
        <w:instrText xml:space="preserve"> PAGEREF _Toc15599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"_Toc23066" </w:instrText>
      </w:r>
      <w:r>
        <w:rPr>
          <w:color w:val="auto"/>
          <w:highlight w:val="none"/>
        </w:rPr>
        <w:fldChar w:fldCharType="separate"/>
      </w:r>
      <w:r>
        <w:rPr>
          <w:color w:val="auto"/>
          <w:szCs w:val="24"/>
          <w:highlight w:val="none"/>
        </w:rPr>
        <w:t>九、签订合同</w:t>
      </w:r>
      <w:r>
        <w:rPr>
          <w:color w:val="auto"/>
          <w:highlight w:val="none"/>
        </w:rPr>
        <w:tab/>
      </w:r>
      <w:r>
        <w:rPr>
          <w:color w:val="auto"/>
          <w:highlight w:val="none"/>
        </w:rPr>
        <w:fldChar w:fldCharType="begin"/>
      </w:r>
      <w:r>
        <w:rPr>
          <w:color w:val="auto"/>
          <w:highlight w:val="none"/>
        </w:rPr>
        <w:instrText xml:space="preserve"> PAGEREF _Toc23066 \h </w:instrText>
      </w:r>
      <w:r>
        <w:rPr>
          <w:color w:val="auto"/>
          <w:highlight w:val="none"/>
        </w:rPr>
        <w:fldChar w:fldCharType="separate"/>
      </w:r>
      <w:r>
        <w:rPr>
          <w:color w:val="auto"/>
          <w:highlight w:val="none"/>
        </w:rPr>
        <w:t>- 21 -</w:t>
      </w:r>
      <w:r>
        <w:rPr>
          <w:color w:val="auto"/>
          <w:highlight w:val="none"/>
        </w:rPr>
        <w:fldChar w:fldCharType="end"/>
      </w:r>
      <w:r>
        <w:rPr>
          <w:color w:val="auto"/>
          <w:highlight w:val="none"/>
        </w:rPr>
        <w:fldChar w:fldCharType="end"/>
      </w:r>
    </w:p>
    <w:p>
      <w:pPr>
        <w:pStyle w:val="9"/>
        <w:tabs>
          <w:tab w:val="right" w:leader="dot" w:pos="9412"/>
        </w:tabs>
        <w:ind w:left="1120"/>
        <w:rPr>
          <w:color w:val="auto"/>
          <w:highlight w:val="none"/>
        </w:rPr>
      </w:pPr>
      <w:r>
        <w:rPr>
          <w:color w:val="auto"/>
          <w:highlight w:val="none"/>
        </w:rPr>
        <w:fldChar w:fldCharType="begin"/>
      </w:r>
      <w:r>
        <w:rPr>
          <w:color w:val="auto"/>
          <w:highlight w:val="none"/>
        </w:rPr>
        <w:instrText xml:space="preserve"> HYPERLINK \l "_Toc20773" </w:instrText>
      </w:r>
      <w:r>
        <w:rPr>
          <w:color w:val="auto"/>
          <w:highlight w:val="none"/>
        </w:rPr>
        <w:fldChar w:fldCharType="separate"/>
      </w:r>
      <w:r>
        <w:rPr>
          <w:color w:val="auto"/>
          <w:szCs w:val="24"/>
          <w:highlight w:val="none"/>
        </w:rPr>
        <w:t>十、其他</w:t>
      </w:r>
      <w:r>
        <w:rPr>
          <w:color w:val="auto"/>
          <w:highlight w:val="none"/>
        </w:rPr>
        <w:tab/>
      </w:r>
      <w:r>
        <w:rPr>
          <w:color w:val="auto"/>
          <w:highlight w:val="none"/>
        </w:rPr>
        <w:fldChar w:fldCharType="begin"/>
      </w:r>
      <w:r>
        <w:rPr>
          <w:color w:val="auto"/>
          <w:highlight w:val="none"/>
        </w:rPr>
        <w:instrText xml:space="preserve"> PAGEREF _Toc20773 \h </w:instrText>
      </w:r>
      <w:r>
        <w:rPr>
          <w:color w:val="auto"/>
          <w:highlight w:val="none"/>
        </w:rPr>
        <w:fldChar w:fldCharType="separate"/>
      </w:r>
      <w:r>
        <w:rPr>
          <w:color w:val="auto"/>
          <w:highlight w:val="none"/>
        </w:rPr>
        <w:t>- 22 -</w:t>
      </w:r>
      <w:r>
        <w:rPr>
          <w:color w:val="auto"/>
          <w:highlight w:val="none"/>
        </w:rPr>
        <w:fldChar w:fldCharType="end"/>
      </w:r>
      <w:r>
        <w:rPr>
          <w:color w:val="auto"/>
          <w:highlight w:val="none"/>
        </w:rPr>
        <w:fldChar w:fldCharType="end"/>
      </w:r>
    </w:p>
    <w:p>
      <w:pPr>
        <w:pStyle w:val="15"/>
        <w:tabs>
          <w:tab w:val="right" w:leader="dot" w:pos="9412"/>
        </w:tabs>
        <w:ind w:left="560"/>
        <w:rPr>
          <w:color w:val="auto"/>
          <w:highlight w:val="none"/>
        </w:rPr>
      </w:pPr>
      <w:r>
        <w:rPr>
          <w:color w:val="auto"/>
          <w:highlight w:val="none"/>
        </w:rPr>
        <w:fldChar w:fldCharType="begin"/>
      </w:r>
      <w:r>
        <w:rPr>
          <w:color w:val="auto"/>
          <w:highlight w:val="none"/>
        </w:rPr>
        <w:instrText xml:space="preserve"> HYPERLINK \l "_Toc7697" </w:instrText>
      </w:r>
      <w:r>
        <w:rPr>
          <w:color w:val="auto"/>
          <w:highlight w:val="none"/>
        </w:rPr>
        <w:fldChar w:fldCharType="separate"/>
      </w:r>
      <w:r>
        <w:rPr>
          <w:color w:val="auto"/>
          <w:szCs w:val="30"/>
          <w:highlight w:val="none"/>
        </w:rPr>
        <w:t>第五篇  合同格式</w:t>
      </w:r>
      <w:r>
        <w:rPr>
          <w:color w:val="auto"/>
          <w:highlight w:val="none"/>
        </w:rPr>
        <w:tab/>
      </w:r>
      <w:r>
        <w:rPr>
          <w:color w:val="auto"/>
          <w:highlight w:val="none"/>
        </w:rPr>
        <w:fldChar w:fldCharType="begin"/>
      </w:r>
      <w:r>
        <w:rPr>
          <w:color w:val="auto"/>
          <w:highlight w:val="none"/>
        </w:rPr>
        <w:instrText xml:space="preserve"> PAGEREF _Toc7697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pPr>
        <w:pStyle w:val="15"/>
        <w:tabs>
          <w:tab w:val="right" w:leader="dot" w:pos="9412"/>
        </w:tabs>
        <w:ind w:left="560"/>
        <w:rPr>
          <w:color w:val="auto"/>
          <w:highlight w:val="none"/>
        </w:rPr>
      </w:pPr>
      <w:r>
        <w:rPr>
          <w:color w:val="auto"/>
          <w:highlight w:val="none"/>
        </w:rPr>
        <w:fldChar w:fldCharType="begin"/>
      </w:r>
      <w:r>
        <w:rPr>
          <w:color w:val="auto"/>
          <w:highlight w:val="none"/>
        </w:rPr>
        <w:instrText xml:space="preserve"> HYPERLINK \l "_Toc2068" </w:instrText>
      </w:r>
      <w:r>
        <w:rPr>
          <w:color w:val="auto"/>
          <w:highlight w:val="none"/>
        </w:rPr>
        <w:fldChar w:fldCharType="separate"/>
      </w:r>
      <w:r>
        <w:rPr>
          <w:color w:val="auto"/>
          <w:szCs w:val="30"/>
          <w:highlight w:val="none"/>
        </w:rPr>
        <w:t>第六篇  响应文件格式要求</w:t>
      </w:r>
      <w:r>
        <w:rPr>
          <w:color w:val="auto"/>
          <w:highlight w:val="none"/>
        </w:rPr>
        <w:tab/>
      </w:r>
      <w:r>
        <w:rPr>
          <w:color w:val="auto"/>
          <w:highlight w:val="none"/>
        </w:rPr>
        <w:fldChar w:fldCharType="begin"/>
      </w:r>
      <w:r>
        <w:rPr>
          <w:color w:val="auto"/>
          <w:highlight w:val="none"/>
        </w:rPr>
        <w:instrText xml:space="preserve"> PAGEREF _Toc2068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pPr>
        <w:pStyle w:val="15"/>
        <w:tabs>
          <w:tab w:val="right" w:leader="dot" w:pos="9402"/>
        </w:tabs>
        <w:spacing w:line="360" w:lineRule="auto"/>
        <w:ind w:left="560"/>
        <w:rPr>
          <w:color w:val="auto"/>
          <w:szCs w:val="21"/>
          <w:highlight w:val="none"/>
        </w:rPr>
        <w:sectPr>
          <w:headerReference r:id="rId7" w:type="default"/>
          <w:footerReference r:id="rId8" w:type="default"/>
          <w:pgSz w:w="11907" w:h="16840"/>
          <w:pgMar w:top="1134" w:right="1191" w:bottom="1134" w:left="1304" w:header="851" w:footer="992" w:gutter="0"/>
          <w:pgNumType w:fmt="numberInDash" w:start="1"/>
          <w:cols w:space="720" w:num="1"/>
          <w:docGrid w:linePitch="380" w:charSpace="-5735"/>
        </w:sectPr>
      </w:pPr>
      <w:r>
        <w:rPr>
          <w:color w:val="auto"/>
          <w:szCs w:val="21"/>
          <w:highlight w:val="none"/>
        </w:rPr>
        <w:fldChar w:fldCharType="end"/>
      </w:r>
    </w:p>
    <w:p>
      <w:pPr>
        <w:pStyle w:val="3"/>
        <w:spacing w:line="360" w:lineRule="auto"/>
        <w:jc w:val="center"/>
        <w:rPr>
          <w:rFonts w:ascii="Times New Roman" w:hAnsi="Times New Roman" w:eastAsia="宋体"/>
          <w:bCs/>
          <w:color w:val="auto"/>
          <w:szCs w:val="30"/>
          <w:highlight w:val="none"/>
        </w:rPr>
      </w:pPr>
      <w:bookmarkStart w:id="0" w:name="_Toc11641050"/>
      <w:bookmarkStart w:id="1" w:name="_Toc7000"/>
      <w:bookmarkStart w:id="2" w:name="_Toc12789052"/>
      <w:bookmarkStart w:id="3" w:name="_Toc18066"/>
      <w:r>
        <w:rPr>
          <w:rFonts w:ascii="Times New Roman" w:hAnsi="Times New Roman" w:eastAsia="宋体"/>
          <w:bCs/>
          <w:color w:val="auto"/>
          <w:sz w:val="36"/>
          <w:szCs w:val="30"/>
          <w:highlight w:val="none"/>
        </w:rPr>
        <w:t>第一篇  单一来源谈判邀请书</w:t>
      </w:r>
      <w:bookmarkEnd w:id="0"/>
      <w:bookmarkEnd w:id="1"/>
      <w:bookmarkEnd w:id="2"/>
      <w:bookmarkEnd w:id="3"/>
    </w:p>
    <w:p>
      <w:pPr>
        <w:snapToGrid w:val="0"/>
        <w:spacing w:line="400" w:lineRule="exact"/>
        <w:ind w:firstLine="480" w:firstLineChars="200"/>
        <w:rPr>
          <w:color w:val="auto"/>
          <w:sz w:val="24"/>
          <w:szCs w:val="24"/>
          <w:highlight w:val="none"/>
        </w:rPr>
      </w:pPr>
      <w:r>
        <w:rPr>
          <w:color w:val="auto"/>
          <w:sz w:val="24"/>
          <w:szCs w:val="24"/>
          <w:highlight w:val="none"/>
        </w:rPr>
        <w:t>重庆工商大学对Nanodcal 3.0量子电子运输计算平台</w:t>
      </w:r>
      <w:r>
        <w:rPr>
          <w:rFonts w:hint="eastAsia"/>
          <w:color w:val="auto"/>
          <w:sz w:val="24"/>
          <w:szCs w:val="24"/>
          <w:highlight w:val="none"/>
        </w:rPr>
        <w:t>项目</w:t>
      </w:r>
      <w:r>
        <w:rPr>
          <w:color w:val="auto"/>
          <w:sz w:val="24"/>
          <w:szCs w:val="24"/>
          <w:highlight w:val="none"/>
        </w:rPr>
        <w:t>（项目编号：CTBU-JZ2023</w:t>
      </w:r>
      <w:r>
        <w:rPr>
          <w:rFonts w:hint="eastAsia"/>
          <w:color w:val="auto"/>
          <w:sz w:val="24"/>
          <w:szCs w:val="24"/>
          <w:highlight w:val="none"/>
        </w:rPr>
        <w:t>107</w:t>
      </w:r>
      <w:r>
        <w:rPr>
          <w:color w:val="auto"/>
          <w:sz w:val="24"/>
          <w:szCs w:val="24"/>
          <w:highlight w:val="none"/>
        </w:rPr>
        <w:t>）进行单一来源采购。该项目在重庆工商大学招投标信息网上已进行单一来源公示（公示期</w:t>
      </w:r>
      <w:r>
        <w:rPr>
          <w:rFonts w:hint="eastAsia"/>
          <w:color w:val="auto"/>
          <w:sz w:val="24"/>
          <w:szCs w:val="24"/>
          <w:highlight w:val="none"/>
        </w:rPr>
        <w:t>2023年7月7日至7月14日</w:t>
      </w:r>
      <w:r>
        <w:rPr>
          <w:color w:val="auto"/>
          <w:sz w:val="24"/>
          <w:szCs w:val="24"/>
          <w:highlight w:val="none"/>
        </w:rPr>
        <w:t>），公示期无异议，现拟开展谈判。</w:t>
      </w:r>
    </w:p>
    <w:p>
      <w:pPr>
        <w:pStyle w:val="4"/>
        <w:spacing w:before="0" w:after="0" w:line="400" w:lineRule="exact"/>
        <w:rPr>
          <w:color w:val="auto"/>
          <w:sz w:val="24"/>
          <w:szCs w:val="24"/>
          <w:highlight w:val="none"/>
        </w:rPr>
      </w:pPr>
      <w:bookmarkStart w:id="4" w:name="_Toc317775175"/>
      <w:bookmarkStart w:id="5" w:name="_Toc313893526"/>
      <w:bookmarkStart w:id="6" w:name="_Toc20837"/>
      <w:bookmarkStart w:id="7" w:name="_Toc15724"/>
      <w:r>
        <w:rPr>
          <w:color w:val="auto"/>
          <w:sz w:val="24"/>
          <w:szCs w:val="24"/>
          <w:highlight w:val="none"/>
        </w:rPr>
        <w:t>一、单一来源谈判内容</w:t>
      </w:r>
      <w:bookmarkEnd w:id="4"/>
      <w:bookmarkEnd w:id="5"/>
      <w:bookmarkEnd w:id="6"/>
      <w:bookmarkEnd w:id="7"/>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2"/>
        <w:gridCol w:w="2468"/>
        <w:gridCol w:w="1825"/>
        <w:gridCol w:w="3039"/>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24" w:type="pct"/>
            <w:tcBorders>
              <w:top w:val="single" w:color="auto" w:sz="4" w:space="0"/>
              <w:left w:val="single" w:color="auto" w:sz="4" w:space="0"/>
              <w:right w:val="single" w:color="auto" w:sz="4" w:space="0"/>
            </w:tcBorders>
            <w:vAlign w:val="center"/>
          </w:tcPr>
          <w:p>
            <w:pPr>
              <w:widowControl/>
              <w:spacing w:line="400" w:lineRule="exact"/>
              <w:jc w:val="center"/>
              <w:rPr>
                <w:b/>
                <w:bCs/>
                <w:color w:val="auto"/>
                <w:kern w:val="0"/>
                <w:sz w:val="24"/>
                <w:szCs w:val="24"/>
                <w:highlight w:val="none"/>
              </w:rPr>
            </w:pPr>
            <w:r>
              <w:rPr>
                <w:b/>
                <w:bCs/>
                <w:color w:val="auto"/>
                <w:kern w:val="0"/>
                <w:sz w:val="24"/>
                <w:szCs w:val="24"/>
                <w:highlight w:val="none"/>
              </w:rPr>
              <w:t>分包号</w:t>
            </w:r>
          </w:p>
        </w:tc>
        <w:tc>
          <w:tcPr>
            <w:tcW w:w="1281" w:type="pct"/>
            <w:tcBorders>
              <w:top w:val="single" w:color="auto" w:sz="4" w:space="0"/>
              <w:left w:val="single" w:color="auto" w:sz="4" w:space="0"/>
              <w:right w:val="single" w:color="auto" w:sz="4" w:space="0"/>
            </w:tcBorders>
            <w:vAlign w:val="center"/>
          </w:tcPr>
          <w:p>
            <w:pPr>
              <w:widowControl/>
              <w:spacing w:line="400" w:lineRule="exact"/>
              <w:jc w:val="center"/>
              <w:rPr>
                <w:b/>
                <w:bCs/>
                <w:color w:val="auto"/>
                <w:kern w:val="0"/>
                <w:sz w:val="24"/>
                <w:szCs w:val="24"/>
                <w:highlight w:val="none"/>
              </w:rPr>
            </w:pPr>
            <w:r>
              <w:rPr>
                <w:b/>
                <w:bCs/>
                <w:color w:val="auto"/>
                <w:kern w:val="0"/>
                <w:sz w:val="24"/>
                <w:szCs w:val="24"/>
                <w:highlight w:val="none"/>
              </w:rPr>
              <w:t>分包名称</w:t>
            </w:r>
          </w:p>
        </w:tc>
        <w:tc>
          <w:tcPr>
            <w:tcW w:w="947" w:type="pct"/>
            <w:tcBorders>
              <w:top w:val="single" w:color="auto" w:sz="4" w:space="0"/>
              <w:left w:val="single" w:color="auto" w:sz="4" w:space="0"/>
              <w:right w:val="single" w:color="auto" w:sz="4" w:space="0"/>
            </w:tcBorders>
            <w:vAlign w:val="center"/>
          </w:tcPr>
          <w:p>
            <w:pPr>
              <w:widowControl/>
              <w:spacing w:line="400" w:lineRule="exact"/>
              <w:jc w:val="center"/>
              <w:rPr>
                <w:b/>
                <w:bCs/>
                <w:color w:val="auto"/>
                <w:kern w:val="0"/>
                <w:sz w:val="24"/>
                <w:szCs w:val="24"/>
                <w:highlight w:val="none"/>
              </w:rPr>
            </w:pPr>
            <w:r>
              <w:rPr>
                <w:b/>
                <w:bCs/>
                <w:color w:val="auto"/>
                <w:kern w:val="0"/>
                <w:sz w:val="24"/>
                <w:szCs w:val="24"/>
                <w:highlight w:val="none"/>
              </w:rPr>
              <w:t>最高限价</w:t>
            </w:r>
          </w:p>
          <w:p>
            <w:pPr>
              <w:spacing w:line="400" w:lineRule="exact"/>
              <w:jc w:val="center"/>
              <w:rPr>
                <w:b/>
                <w:bCs/>
                <w:color w:val="auto"/>
                <w:kern w:val="0"/>
                <w:sz w:val="24"/>
                <w:szCs w:val="24"/>
                <w:highlight w:val="none"/>
              </w:rPr>
            </w:pPr>
            <w:r>
              <w:rPr>
                <w:b/>
                <w:bCs/>
                <w:color w:val="auto"/>
                <w:kern w:val="0"/>
                <w:sz w:val="24"/>
                <w:szCs w:val="24"/>
                <w:highlight w:val="none"/>
              </w:rPr>
              <w:t>（万元）</w:t>
            </w:r>
          </w:p>
        </w:tc>
        <w:tc>
          <w:tcPr>
            <w:tcW w:w="1577" w:type="pct"/>
            <w:tcBorders>
              <w:top w:val="single" w:color="auto" w:sz="4" w:space="0"/>
              <w:left w:val="single" w:color="auto" w:sz="4" w:space="0"/>
              <w:right w:val="single" w:color="auto" w:sz="4" w:space="0"/>
            </w:tcBorders>
            <w:vAlign w:val="center"/>
          </w:tcPr>
          <w:p>
            <w:pPr>
              <w:spacing w:line="400" w:lineRule="exact"/>
              <w:jc w:val="center"/>
              <w:rPr>
                <w:b/>
                <w:bCs/>
                <w:color w:val="auto"/>
                <w:kern w:val="0"/>
                <w:sz w:val="24"/>
                <w:szCs w:val="24"/>
                <w:highlight w:val="none"/>
              </w:rPr>
            </w:pPr>
            <w:r>
              <w:rPr>
                <w:b/>
                <w:bCs/>
                <w:color w:val="auto"/>
                <w:kern w:val="0"/>
                <w:sz w:val="24"/>
                <w:szCs w:val="24"/>
                <w:highlight w:val="none"/>
              </w:rPr>
              <w:t>拟成交供应商</w:t>
            </w:r>
          </w:p>
        </w:tc>
        <w:tc>
          <w:tcPr>
            <w:tcW w:w="568" w:type="pct"/>
            <w:tcBorders>
              <w:top w:val="single" w:color="auto" w:sz="4" w:space="0"/>
              <w:left w:val="single" w:color="auto" w:sz="4" w:space="0"/>
              <w:right w:val="single" w:color="auto" w:sz="4" w:space="0"/>
            </w:tcBorders>
            <w:vAlign w:val="center"/>
          </w:tcPr>
          <w:p>
            <w:pPr>
              <w:spacing w:line="400" w:lineRule="exact"/>
              <w:jc w:val="center"/>
              <w:rPr>
                <w:b/>
                <w:bCs/>
                <w:color w:val="auto"/>
                <w:kern w:val="0"/>
                <w:sz w:val="24"/>
                <w:szCs w:val="24"/>
                <w:highlight w:val="none"/>
              </w:rPr>
            </w:pPr>
            <w:r>
              <w:rPr>
                <w:rFonts w:hint="eastAsia"/>
                <w:b/>
                <w:bCs/>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624"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480" w:firstLineChars="200"/>
              <w:rPr>
                <w:color w:val="auto"/>
                <w:kern w:val="0"/>
                <w:sz w:val="24"/>
                <w:szCs w:val="24"/>
                <w:highlight w:val="none"/>
              </w:rPr>
            </w:pPr>
            <w:r>
              <w:rPr>
                <w:color w:val="auto"/>
                <w:kern w:val="0"/>
                <w:sz w:val="24"/>
                <w:szCs w:val="24"/>
                <w:highlight w:val="none"/>
              </w:rPr>
              <w:t>1</w:t>
            </w:r>
          </w:p>
        </w:tc>
        <w:tc>
          <w:tcPr>
            <w:tcW w:w="1281"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auto"/>
                <w:sz w:val="24"/>
                <w:szCs w:val="24"/>
                <w:highlight w:val="none"/>
              </w:rPr>
            </w:pPr>
            <w:r>
              <w:rPr>
                <w:color w:val="auto"/>
                <w:sz w:val="24"/>
                <w:szCs w:val="24"/>
                <w:highlight w:val="none"/>
              </w:rPr>
              <w:t>重庆工商大学Nanodcal 3.0量子电子运输计算平台</w:t>
            </w:r>
            <w:r>
              <w:rPr>
                <w:rFonts w:hint="eastAsia"/>
                <w:color w:val="auto"/>
                <w:sz w:val="24"/>
                <w:szCs w:val="24"/>
                <w:highlight w:val="none"/>
              </w:rPr>
              <w:t>项目</w:t>
            </w:r>
          </w:p>
        </w:tc>
        <w:tc>
          <w:tcPr>
            <w:tcW w:w="947"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auto"/>
                <w:sz w:val="24"/>
                <w:szCs w:val="24"/>
                <w:highlight w:val="none"/>
              </w:rPr>
            </w:pPr>
            <w:r>
              <w:rPr>
                <w:color w:val="auto"/>
                <w:sz w:val="24"/>
                <w:szCs w:val="24"/>
                <w:highlight w:val="none"/>
              </w:rPr>
              <w:t>1</w:t>
            </w:r>
            <w:r>
              <w:rPr>
                <w:rFonts w:hint="eastAsia"/>
                <w:color w:val="auto"/>
                <w:sz w:val="24"/>
                <w:szCs w:val="24"/>
                <w:highlight w:val="none"/>
              </w:rPr>
              <w:t>0</w:t>
            </w:r>
          </w:p>
        </w:tc>
        <w:tc>
          <w:tcPr>
            <w:tcW w:w="1577"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auto"/>
                <w:kern w:val="0"/>
                <w:sz w:val="24"/>
                <w:szCs w:val="24"/>
                <w:highlight w:val="none"/>
              </w:rPr>
            </w:pPr>
            <w:r>
              <w:rPr>
                <w:color w:val="auto"/>
                <w:kern w:val="0"/>
                <w:sz w:val="24"/>
                <w:szCs w:val="24"/>
                <w:highlight w:val="none"/>
              </w:rPr>
              <w:t>鸿之微科技（上海）股份有限公司</w:t>
            </w:r>
          </w:p>
        </w:tc>
        <w:tc>
          <w:tcPr>
            <w:tcW w:w="568"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 w:val="24"/>
                <w:szCs w:val="24"/>
                <w:highlight w:val="none"/>
              </w:rPr>
            </w:pPr>
          </w:p>
        </w:tc>
      </w:tr>
    </w:tbl>
    <w:p>
      <w:pPr>
        <w:pStyle w:val="4"/>
        <w:spacing w:before="0" w:after="0" w:line="400" w:lineRule="exact"/>
        <w:rPr>
          <w:color w:val="auto"/>
          <w:sz w:val="24"/>
          <w:szCs w:val="24"/>
          <w:highlight w:val="none"/>
        </w:rPr>
      </w:pPr>
      <w:bookmarkStart w:id="8" w:name="_Toc28794"/>
      <w:bookmarkStart w:id="9" w:name="_Toc326"/>
      <w:bookmarkStart w:id="10" w:name="_Toc373860293"/>
      <w:bookmarkStart w:id="11" w:name="_Toc317775178"/>
      <w:r>
        <w:rPr>
          <w:color w:val="auto"/>
          <w:sz w:val="24"/>
          <w:szCs w:val="24"/>
          <w:highlight w:val="none"/>
        </w:rPr>
        <w:t>二、资金来源</w:t>
      </w:r>
      <w:bookmarkEnd w:id="8"/>
      <w:bookmarkEnd w:id="9"/>
    </w:p>
    <w:p>
      <w:pPr>
        <w:spacing w:line="400" w:lineRule="exact"/>
        <w:ind w:firstLine="480" w:firstLineChars="200"/>
        <w:rPr>
          <w:color w:val="auto"/>
          <w:sz w:val="24"/>
          <w:szCs w:val="24"/>
          <w:highlight w:val="none"/>
        </w:rPr>
      </w:pPr>
      <w:r>
        <w:rPr>
          <w:color w:val="auto"/>
          <w:sz w:val="24"/>
          <w:szCs w:val="24"/>
          <w:highlight w:val="none"/>
        </w:rPr>
        <w:t>单位自筹资金。</w:t>
      </w:r>
    </w:p>
    <w:p>
      <w:pPr>
        <w:pStyle w:val="4"/>
        <w:spacing w:before="0" w:after="0" w:line="400" w:lineRule="exact"/>
        <w:rPr>
          <w:color w:val="auto"/>
          <w:sz w:val="24"/>
          <w:szCs w:val="24"/>
          <w:highlight w:val="none"/>
        </w:rPr>
      </w:pPr>
      <w:bookmarkStart w:id="12" w:name="_Toc21859"/>
      <w:bookmarkStart w:id="13" w:name="_Toc21442"/>
      <w:r>
        <w:rPr>
          <w:color w:val="auto"/>
          <w:sz w:val="24"/>
          <w:szCs w:val="24"/>
          <w:highlight w:val="none"/>
        </w:rPr>
        <w:t>三、谈判资格</w:t>
      </w:r>
      <w:bookmarkEnd w:id="12"/>
      <w:bookmarkEnd w:id="13"/>
    </w:p>
    <w:p>
      <w:pPr>
        <w:spacing w:line="400" w:lineRule="exact"/>
        <w:ind w:firstLine="480" w:firstLineChars="200"/>
        <w:rPr>
          <w:color w:val="auto"/>
          <w:sz w:val="24"/>
          <w:szCs w:val="24"/>
          <w:highlight w:val="none"/>
        </w:rPr>
      </w:pPr>
      <w:r>
        <w:rPr>
          <w:color w:val="auto"/>
          <w:sz w:val="24"/>
          <w:szCs w:val="24"/>
          <w:highlight w:val="none"/>
        </w:rPr>
        <w:t>谈判供应商是指向采购人提供货物、工程或者服务的法人、其他组织或者自然人。以下简称供应商。合格的供应商应首先符合政府采购法第二十二条规定的基本条件。</w:t>
      </w:r>
    </w:p>
    <w:p>
      <w:pPr>
        <w:spacing w:line="400" w:lineRule="exact"/>
        <w:ind w:firstLine="480" w:firstLineChars="200"/>
        <w:rPr>
          <w:color w:val="auto"/>
          <w:sz w:val="24"/>
          <w:szCs w:val="24"/>
          <w:highlight w:val="none"/>
        </w:rPr>
      </w:pPr>
      <w:r>
        <w:rPr>
          <w:color w:val="auto"/>
          <w:sz w:val="24"/>
          <w:szCs w:val="24"/>
          <w:highlight w:val="none"/>
        </w:rPr>
        <w:t>（一）一般资格条件</w:t>
      </w:r>
    </w:p>
    <w:p>
      <w:pPr>
        <w:spacing w:line="400" w:lineRule="exact"/>
        <w:ind w:firstLine="480" w:firstLineChars="200"/>
        <w:rPr>
          <w:color w:val="auto"/>
          <w:sz w:val="24"/>
          <w:szCs w:val="24"/>
          <w:highlight w:val="none"/>
        </w:rPr>
      </w:pPr>
      <w:r>
        <w:rPr>
          <w:color w:val="auto"/>
          <w:sz w:val="24"/>
          <w:szCs w:val="24"/>
          <w:highlight w:val="none"/>
        </w:rPr>
        <w:t>1.具有独立承担民事责任的能力；</w:t>
      </w:r>
    </w:p>
    <w:p>
      <w:pPr>
        <w:spacing w:line="400" w:lineRule="exact"/>
        <w:ind w:firstLine="480" w:firstLineChars="200"/>
        <w:rPr>
          <w:color w:val="auto"/>
          <w:sz w:val="24"/>
          <w:szCs w:val="24"/>
          <w:highlight w:val="none"/>
        </w:rPr>
      </w:pPr>
      <w:r>
        <w:rPr>
          <w:color w:val="auto"/>
          <w:sz w:val="24"/>
          <w:szCs w:val="24"/>
          <w:highlight w:val="none"/>
        </w:rPr>
        <w:t>2.具有良好的商业信誉和健全的财务会计制度；</w:t>
      </w:r>
    </w:p>
    <w:p>
      <w:pPr>
        <w:spacing w:line="400" w:lineRule="exact"/>
        <w:ind w:firstLine="480" w:firstLineChars="200"/>
        <w:rPr>
          <w:color w:val="auto"/>
          <w:sz w:val="24"/>
          <w:szCs w:val="24"/>
          <w:highlight w:val="none"/>
        </w:rPr>
      </w:pPr>
      <w:r>
        <w:rPr>
          <w:color w:val="auto"/>
          <w:sz w:val="24"/>
          <w:szCs w:val="24"/>
          <w:highlight w:val="none"/>
        </w:rPr>
        <w:t>3.具有履行合同所必需的设备和专业技术能力；</w:t>
      </w:r>
    </w:p>
    <w:p>
      <w:pPr>
        <w:spacing w:line="400" w:lineRule="exact"/>
        <w:ind w:firstLine="480" w:firstLineChars="200"/>
        <w:rPr>
          <w:color w:val="auto"/>
          <w:sz w:val="24"/>
          <w:szCs w:val="24"/>
          <w:highlight w:val="none"/>
        </w:rPr>
      </w:pPr>
      <w:r>
        <w:rPr>
          <w:color w:val="auto"/>
          <w:sz w:val="24"/>
          <w:szCs w:val="24"/>
          <w:highlight w:val="none"/>
        </w:rPr>
        <w:t>4.有依法缴纳税收和社会保障资金的良好记录；</w:t>
      </w:r>
    </w:p>
    <w:p>
      <w:pPr>
        <w:spacing w:line="400" w:lineRule="exact"/>
        <w:ind w:firstLine="480" w:firstLineChars="200"/>
        <w:rPr>
          <w:color w:val="auto"/>
          <w:sz w:val="24"/>
          <w:szCs w:val="24"/>
          <w:highlight w:val="none"/>
        </w:rPr>
      </w:pPr>
      <w:r>
        <w:rPr>
          <w:color w:val="auto"/>
          <w:sz w:val="24"/>
          <w:szCs w:val="24"/>
          <w:highlight w:val="none"/>
        </w:rPr>
        <w:t>5.参加政府采购活动前三年内，在经营活动中没有重大违法记录；</w:t>
      </w:r>
    </w:p>
    <w:p>
      <w:pPr>
        <w:spacing w:line="400" w:lineRule="exact"/>
        <w:ind w:firstLine="480" w:firstLineChars="200"/>
        <w:rPr>
          <w:color w:val="auto"/>
          <w:sz w:val="24"/>
          <w:szCs w:val="24"/>
          <w:highlight w:val="none"/>
        </w:rPr>
      </w:pPr>
      <w:r>
        <w:rPr>
          <w:color w:val="auto"/>
          <w:sz w:val="24"/>
          <w:szCs w:val="24"/>
          <w:highlight w:val="none"/>
        </w:rPr>
        <w:t>6.法律、行政法规规定的其他条件。</w:t>
      </w:r>
    </w:p>
    <w:p>
      <w:pPr>
        <w:spacing w:line="400" w:lineRule="exact"/>
        <w:ind w:firstLine="480" w:firstLineChars="200"/>
        <w:rPr>
          <w:color w:val="auto"/>
          <w:sz w:val="24"/>
          <w:szCs w:val="24"/>
          <w:highlight w:val="none"/>
        </w:rPr>
      </w:pPr>
      <w:r>
        <w:rPr>
          <w:color w:val="auto"/>
          <w:sz w:val="24"/>
          <w:szCs w:val="24"/>
          <w:highlight w:val="none"/>
        </w:rPr>
        <w:t>（二）特定资格条件</w:t>
      </w:r>
    </w:p>
    <w:p>
      <w:pPr>
        <w:spacing w:line="400" w:lineRule="exact"/>
        <w:ind w:firstLine="480" w:firstLineChars="200"/>
        <w:rPr>
          <w:color w:val="auto"/>
          <w:sz w:val="24"/>
          <w:szCs w:val="24"/>
          <w:highlight w:val="none"/>
        </w:rPr>
      </w:pPr>
      <w:r>
        <w:rPr>
          <w:color w:val="auto"/>
          <w:sz w:val="24"/>
          <w:szCs w:val="24"/>
          <w:highlight w:val="none"/>
        </w:rPr>
        <w:t>无。</w:t>
      </w:r>
    </w:p>
    <w:p>
      <w:pPr>
        <w:pStyle w:val="4"/>
        <w:spacing w:before="0" w:after="0" w:line="400" w:lineRule="exact"/>
        <w:rPr>
          <w:color w:val="auto"/>
          <w:sz w:val="24"/>
          <w:szCs w:val="24"/>
          <w:highlight w:val="none"/>
        </w:rPr>
      </w:pPr>
      <w:bookmarkStart w:id="14" w:name="_Toc3743"/>
      <w:bookmarkStart w:id="15" w:name="_Toc31841"/>
      <w:r>
        <w:rPr>
          <w:color w:val="auto"/>
          <w:sz w:val="24"/>
          <w:szCs w:val="24"/>
          <w:highlight w:val="none"/>
        </w:rPr>
        <w:t>四、谈判有关说明</w:t>
      </w:r>
      <w:bookmarkEnd w:id="10"/>
      <w:bookmarkEnd w:id="14"/>
      <w:bookmarkEnd w:id="15"/>
    </w:p>
    <w:p>
      <w:pPr>
        <w:snapToGrid w:val="0"/>
        <w:spacing w:line="400" w:lineRule="exact"/>
        <w:ind w:firstLine="480" w:firstLineChars="200"/>
        <w:rPr>
          <w:color w:val="auto"/>
          <w:sz w:val="24"/>
          <w:szCs w:val="24"/>
          <w:highlight w:val="none"/>
        </w:rPr>
      </w:pPr>
      <w:r>
        <w:rPr>
          <w:color w:val="auto"/>
          <w:sz w:val="24"/>
          <w:szCs w:val="24"/>
          <w:highlight w:val="none"/>
        </w:rPr>
        <w:t>（一）参加谈判的供应商，请到“重庆工商大学招投标信息网”下载本项目单一来源谈判文件以及补遗等谈判前公布的所有项目资料，无论供应商下载与否，均视为已知晓所有谈判实质性要求内容。说明：谈判文件中时间统一采用北京时间24小时制。</w:t>
      </w:r>
    </w:p>
    <w:p>
      <w:pPr>
        <w:snapToGrid w:val="0"/>
        <w:spacing w:line="400" w:lineRule="exact"/>
        <w:ind w:firstLine="480" w:firstLineChars="200"/>
        <w:rPr>
          <w:color w:val="auto"/>
          <w:sz w:val="24"/>
          <w:szCs w:val="24"/>
          <w:highlight w:val="none"/>
        </w:rPr>
      </w:pPr>
      <w:r>
        <w:rPr>
          <w:color w:val="auto"/>
          <w:sz w:val="24"/>
          <w:szCs w:val="24"/>
          <w:highlight w:val="none"/>
        </w:rPr>
        <w:t>（二）供应商须按时递交了响应文件，其响应文件才被接受。</w:t>
      </w:r>
    </w:p>
    <w:p>
      <w:pPr>
        <w:snapToGrid w:val="0"/>
        <w:spacing w:line="400" w:lineRule="exact"/>
        <w:ind w:firstLine="480" w:firstLineChars="200"/>
        <w:rPr>
          <w:color w:val="auto"/>
          <w:sz w:val="24"/>
          <w:szCs w:val="24"/>
          <w:highlight w:val="none"/>
        </w:rPr>
      </w:pPr>
      <w:r>
        <w:rPr>
          <w:color w:val="auto"/>
          <w:sz w:val="24"/>
          <w:szCs w:val="24"/>
          <w:highlight w:val="none"/>
        </w:rPr>
        <w:t>（三）响应文件递交地点：重庆工商大学南岸校区厚德楼8002室</w:t>
      </w:r>
    </w:p>
    <w:p>
      <w:pPr>
        <w:snapToGrid w:val="0"/>
        <w:spacing w:line="400" w:lineRule="exact"/>
        <w:ind w:firstLine="480" w:firstLineChars="200"/>
        <w:rPr>
          <w:color w:val="auto"/>
          <w:sz w:val="24"/>
          <w:szCs w:val="24"/>
          <w:highlight w:val="none"/>
        </w:rPr>
      </w:pPr>
      <w:r>
        <w:rPr>
          <w:color w:val="auto"/>
          <w:sz w:val="24"/>
          <w:szCs w:val="24"/>
          <w:highlight w:val="none"/>
        </w:rPr>
        <w:t>（四）提交响应文件开始时间：2023年</w:t>
      </w:r>
      <w:r>
        <w:rPr>
          <w:rFonts w:hint="eastAsia"/>
          <w:color w:val="auto"/>
          <w:sz w:val="24"/>
          <w:szCs w:val="24"/>
          <w:highlight w:val="none"/>
          <w:lang w:val="en-US" w:eastAsia="zh-CN"/>
        </w:rPr>
        <w:t>9</w:t>
      </w:r>
      <w:r>
        <w:rPr>
          <w:color w:val="auto"/>
          <w:sz w:val="24"/>
          <w:szCs w:val="24"/>
          <w:highlight w:val="none"/>
        </w:rPr>
        <w:t>月</w:t>
      </w:r>
      <w:r>
        <w:rPr>
          <w:rFonts w:hint="eastAsia"/>
          <w:color w:val="auto"/>
          <w:sz w:val="24"/>
          <w:szCs w:val="24"/>
          <w:highlight w:val="none"/>
          <w:lang w:val="en-US" w:eastAsia="zh-CN"/>
        </w:rPr>
        <w:t>1</w:t>
      </w:r>
      <w:r>
        <w:rPr>
          <w:color w:val="auto"/>
          <w:sz w:val="24"/>
          <w:szCs w:val="24"/>
          <w:highlight w:val="none"/>
        </w:rPr>
        <w:t>日</w:t>
      </w:r>
      <w:r>
        <w:rPr>
          <w:rFonts w:hint="eastAsia"/>
          <w:color w:val="auto"/>
          <w:sz w:val="24"/>
          <w:szCs w:val="24"/>
          <w:highlight w:val="none"/>
          <w:lang w:val="en-US" w:eastAsia="zh-CN"/>
        </w:rPr>
        <w:t>9</w:t>
      </w:r>
      <w:r>
        <w:rPr>
          <w:color w:val="auto"/>
          <w:sz w:val="24"/>
          <w:szCs w:val="24"/>
          <w:highlight w:val="none"/>
        </w:rPr>
        <w:t>:</w:t>
      </w:r>
      <w:r>
        <w:rPr>
          <w:rFonts w:hint="eastAsia"/>
          <w:color w:val="auto"/>
          <w:sz w:val="24"/>
          <w:szCs w:val="24"/>
          <w:highlight w:val="none"/>
          <w:lang w:val="en-US" w:eastAsia="zh-CN"/>
        </w:rPr>
        <w:t>3</w:t>
      </w:r>
      <w:r>
        <w:rPr>
          <w:color w:val="auto"/>
          <w:sz w:val="24"/>
          <w:szCs w:val="24"/>
          <w:highlight w:val="none"/>
        </w:rPr>
        <w:t>0</w:t>
      </w:r>
    </w:p>
    <w:p>
      <w:pPr>
        <w:snapToGrid w:val="0"/>
        <w:spacing w:line="400" w:lineRule="exact"/>
        <w:ind w:firstLine="480" w:firstLineChars="200"/>
        <w:rPr>
          <w:rFonts w:hint="default" w:eastAsia="宋体"/>
          <w:color w:val="auto"/>
          <w:sz w:val="24"/>
          <w:szCs w:val="24"/>
          <w:highlight w:val="none"/>
          <w:lang w:val="en-US" w:eastAsia="zh-CN"/>
        </w:rPr>
      </w:pPr>
      <w:r>
        <w:rPr>
          <w:color w:val="auto"/>
          <w:sz w:val="24"/>
          <w:szCs w:val="24"/>
          <w:highlight w:val="none"/>
        </w:rPr>
        <w:t>（五）提交响应文件截止时间：2023年</w:t>
      </w:r>
      <w:r>
        <w:rPr>
          <w:rFonts w:hint="eastAsia"/>
          <w:color w:val="auto"/>
          <w:sz w:val="24"/>
          <w:szCs w:val="24"/>
          <w:highlight w:val="none"/>
          <w:lang w:val="en-US" w:eastAsia="zh-CN"/>
        </w:rPr>
        <w:t>9</w:t>
      </w:r>
      <w:r>
        <w:rPr>
          <w:color w:val="auto"/>
          <w:sz w:val="24"/>
          <w:szCs w:val="24"/>
          <w:highlight w:val="none"/>
        </w:rPr>
        <w:t>月</w:t>
      </w:r>
      <w:r>
        <w:rPr>
          <w:rFonts w:hint="eastAsia"/>
          <w:color w:val="auto"/>
          <w:sz w:val="24"/>
          <w:szCs w:val="24"/>
          <w:highlight w:val="none"/>
          <w:lang w:val="en-US" w:eastAsia="zh-CN"/>
        </w:rPr>
        <w:t>1</w:t>
      </w:r>
      <w:r>
        <w:rPr>
          <w:color w:val="auto"/>
          <w:sz w:val="24"/>
          <w:szCs w:val="24"/>
          <w:highlight w:val="none"/>
        </w:rPr>
        <w:t>日</w:t>
      </w:r>
      <w:r>
        <w:rPr>
          <w:rFonts w:hint="eastAsia"/>
          <w:color w:val="auto"/>
          <w:sz w:val="24"/>
          <w:szCs w:val="24"/>
          <w:highlight w:val="none"/>
        </w:rPr>
        <w:t>10</w:t>
      </w:r>
      <w:r>
        <w:rPr>
          <w:color w:val="auto"/>
          <w:sz w:val="24"/>
          <w:szCs w:val="24"/>
          <w:highlight w:val="none"/>
        </w:rPr>
        <w:t>:</w:t>
      </w:r>
      <w:r>
        <w:rPr>
          <w:rFonts w:hint="eastAsia"/>
          <w:color w:val="auto"/>
          <w:sz w:val="24"/>
          <w:szCs w:val="24"/>
          <w:highlight w:val="none"/>
          <w:lang w:val="en-US" w:eastAsia="zh-CN"/>
        </w:rPr>
        <w:t>00</w:t>
      </w:r>
    </w:p>
    <w:p>
      <w:pPr>
        <w:snapToGrid w:val="0"/>
        <w:spacing w:line="400" w:lineRule="exact"/>
        <w:ind w:firstLine="480" w:firstLineChars="200"/>
        <w:rPr>
          <w:color w:val="auto"/>
          <w:sz w:val="24"/>
          <w:szCs w:val="24"/>
          <w:highlight w:val="none"/>
        </w:rPr>
      </w:pPr>
      <w:r>
        <w:rPr>
          <w:color w:val="auto"/>
          <w:sz w:val="24"/>
          <w:szCs w:val="24"/>
          <w:highlight w:val="none"/>
        </w:rPr>
        <w:t>（六）谈判时间：2023年</w:t>
      </w:r>
      <w:r>
        <w:rPr>
          <w:rFonts w:hint="eastAsia"/>
          <w:color w:val="auto"/>
          <w:sz w:val="24"/>
          <w:szCs w:val="24"/>
          <w:highlight w:val="none"/>
          <w:lang w:val="en-US" w:eastAsia="zh-CN"/>
        </w:rPr>
        <w:t>9</w:t>
      </w:r>
      <w:r>
        <w:rPr>
          <w:color w:val="auto"/>
          <w:sz w:val="24"/>
          <w:szCs w:val="24"/>
          <w:highlight w:val="none"/>
        </w:rPr>
        <w:t>月</w:t>
      </w:r>
      <w:r>
        <w:rPr>
          <w:rFonts w:hint="eastAsia"/>
          <w:color w:val="auto"/>
          <w:sz w:val="24"/>
          <w:szCs w:val="24"/>
          <w:highlight w:val="none"/>
          <w:lang w:val="en-US" w:eastAsia="zh-CN"/>
        </w:rPr>
        <w:t>1</w:t>
      </w:r>
      <w:r>
        <w:rPr>
          <w:color w:val="auto"/>
          <w:sz w:val="24"/>
          <w:szCs w:val="24"/>
          <w:highlight w:val="none"/>
        </w:rPr>
        <w:t>日</w:t>
      </w:r>
      <w:r>
        <w:rPr>
          <w:rFonts w:hint="eastAsia"/>
          <w:color w:val="auto"/>
          <w:sz w:val="24"/>
          <w:szCs w:val="24"/>
          <w:highlight w:val="none"/>
        </w:rPr>
        <w:t>10</w:t>
      </w:r>
      <w:r>
        <w:rPr>
          <w:color w:val="auto"/>
          <w:sz w:val="24"/>
          <w:szCs w:val="24"/>
          <w:highlight w:val="none"/>
        </w:rPr>
        <w:t>:</w:t>
      </w:r>
      <w:r>
        <w:rPr>
          <w:rFonts w:hint="eastAsia"/>
          <w:color w:val="auto"/>
          <w:sz w:val="24"/>
          <w:szCs w:val="24"/>
          <w:highlight w:val="none"/>
          <w:lang w:val="en-US" w:eastAsia="zh-CN"/>
        </w:rPr>
        <w:t>0</w:t>
      </w:r>
      <w:r>
        <w:rPr>
          <w:color w:val="auto"/>
          <w:sz w:val="24"/>
          <w:szCs w:val="24"/>
          <w:highlight w:val="none"/>
        </w:rPr>
        <w:t>0</w:t>
      </w:r>
    </w:p>
    <w:p>
      <w:pPr>
        <w:snapToGrid w:val="0"/>
        <w:spacing w:line="400" w:lineRule="exact"/>
        <w:ind w:firstLine="480" w:firstLineChars="200"/>
        <w:rPr>
          <w:color w:val="auto"/>
          <w:sz w:val="24"/>
          <w:szCs w:val="24"/>
          <w:highlight w:val="none"/>
        </w:rPr>
      </w:pPr>
      <w:r>
        <w:rPr>
          <w:color w:val="auto"/>
          <w:sz w:val="24"/>
          <w:szCs w:val="24"/>
          <w:highlight w:val="none"/>
        </w:rPr>
        <w:t>（七）谈判地点：重庆工商大学南岸校区厚德楼8009室</w:t>
      </w:r>
    </w:p>
    <w:p>
      <w:pPr>
        <w:snapToGrid w:val="0"/>
        <w:spacing w:line="400" w:lineRule="exact"/>
        <w:ind w:firstLine="480" w:firstLineChars="200"/>
        <w:rPr>
          <w:color w:val="auto"/>
          <w:sz w:val="24"/>
          <w:szCs w:val="24"/>
          <w:highlight w:val="none"/>
        </w:rPr>
      </w:pPr>
      <w:r>
        <w:rPr>
          <w:color w:val="auto"/>
          <w:sz w:val="24"/>
          <w:szCs w:val="24"/>
          <w:highlight w:val="none"/>
        </w:rPr>
        <w:t>（八）参与单一来源谈判的供应商，必须派代表在指定时间到达谈判现场。</w:t>
      </w:r>
    </w:p>
    <w:p>
      <w:pPr>
        <w:spacing w:line="400" w:lineRule="exact"/>
        <w:ind w:firstLine="480" w:firstLineChars="200"/>
        <w:rPr>
          <w:color w:val="auto"/>
          <w:sz w:val="24"/>
          <w:szCs w:val="24"/>
          <w:highlight w:val="none"/>
        </w:rPr>
      </w:pPr>
      <w:r>
        <w:rPr>
          <w:color w:val="auto"/>
          <w:sz w:val="24"/>
          <w:szCs w:val="24"/>
          <w:highlight w:val="none"/>
        </w:rPr>
        <w:t>（九）供应商须满足以下要件，其响应文件才被接受：</w:t>
      </w:r>
    </w:p>
    <w:p>
      <w:pPr>
        <w:spacing w:line="400" w:lineRule="exact"/>
        <w:ind w:firstLine="480" w:firstLineChars="200"/>
        <w:rPr>
          <w:color w:val="auto"/>
          <w:sz w:val="24"/>
          <w:szCs w:val="24"/>
          <w:highlight w:val="none"/>
        </w:rPr>
      </w:pPr>
      <w:r>
        <w:rPr>
          <w:color w:val="auto"/>
          <w:sz w:val="24"/>
          <w:szCs w:val="24"/>
          <w:highlight w:val="none"/>
        </w:rPr>
        <w:t>1、按时递交了响应文件。</w:t>
      </w:r>
    </w:p>
    <w:p>
      <w:pPr>
        <w:spacing w:line="400" w:lineRule="exact"/>
        <w:ind w:firstLine="482" w:firstLineChars="200"/>
        <w:rPr>
          <w:color w:val="auto"/>
          <w:sz w:val="24"/>
          <w:szCs w:val="24"/>
          <w:highlight w:val="none"/>
        </w:rPr>
      </w:pPr>
      <w:r>
        <w:rPr>
          <w:rFonts w:hint="eastAsia" w:ascii="宋体" w:hAnsi="宋体"/>
          <w:b/>
          <w:color w:val="auto"/>
          <w:sz w:val="24"/>
          <w:szCs w:val="24"/>
          <w:highlight w:val="none"/>
        </w:rPr>
        <w:t>响应文件递交方式：供应商在响应文件提交截止时间前将加盖鲜章的响应文件正本以不可修改的电子文档格式（例如</w:t>
      </w:r>
      <w:r>
        <w:rPr>
          <w:rFonts w:ascii="宋体" w:hAnsi="宋体"/>
          <w:b/>
          <w:color w:val="auto"/>
          <w:sz w:val="24"/>
          <w:szCs w:val="24"/>
          <w:highlight w:val="none"/>
        </w:rPr>
        <w:t>PDF格式）统一发送至采购人邮箱（</w:t>
      </w:r>
      <w:r>
        <w:rPr>
          <w:rFonts w:hint="eastAsia" w:ascii="宋体" w:hAnsi="宋体"/>
          <w:b/>
          <w:color w:val="auto"/>
          <w:sz w:val="24"/>
          <w:szCs w:val="24"/>
          <w:highlight w:val="none"/>
          <w:lang w:val="en-US" w:eastAsia="zh-CN"/>
        </w:rPr>
        <w:t>602855793</w:t>
      </w:r>
      <w:r>
        <w:rPr>
          <w:rFonts w:ascii="宋体" w:hAnsi="宋体"/>
          <w:b/>
          <w:color w:val="auto"/>
          <w:sz w:val="24"/>
          <w:szCs w:val="24"/>
          <w:highlight w:val="none"/>
        </w:rPr>
        <w:t>@qq.com），及时查看采购人回复收到电子响应文件的确认信息。供应商在规定提交响应文件时间外提交响应文件的，采购人不予接收。</w:t>
      </w:r>
    </w:p>
    <w:p>
      <w:pPr>
        <w:spacing w:line="400" w:lineRule="exact"/>
        <w:ind w:firstLine="480" w:firstLineChars="200"/>
        <w:rPr>
          <w:color w:val="auto"/>
          <w:sz w:val="24"/>
          <w:szCs w:val="24"/>
          <w:highlight w:val="none"/>
        </w:rPr>
      </w:pPr>
      <w:r>
        <w:rPr>
          <w:color w:val="auto"/>
          <w:sz w:val="24"/>
          <w:szCs w:val="24"/>
          <w:highlight w:val="none"/>
        </w:rPr>
        <w:t>2、缴纳了单一来源谈判文件购买费（200元）。</w:t>
      </w:r>
    </w:p>
    <w:p>
      <w:pPr>
        <w:snapToGrid w:val="0"/>
        <w:spacing w:line="400" w:lineRule="exact"/>
        <w:ind w:firstLine="480" w:firstLineChars="200"/>
        <w:rPr>
          <w:color w:val="auto"/>
          <w:sz w:val="24"/>
          <w:szCs w:val="24"/>
          <w:highlight w:val="none"/>
        </w:rPr>
      </w:pPr>
      <w:r>
        <w:rPr>
          <w:color w:val="auto"/>
          <w:sz w:val="24"/>
          <w:szCs w:val="24"/>
          <w:highlight w:val="none"/>
        </w:rPr>
        <w:t>重庆工商大学谈判文件购买费收取账户</w:t>
      </w:r>
    </w:p>
    <w:p>
      <w:pPr>
        <w:snapToGrid w:val="0"/>
        <w:spacing w:line="400" w:lineRule="exact"/>
        <w:ind w:firstLine="480" w:firstLineChars="200"/>
        <w:rPr>
          <w:color w:val="auto"/>
          <w:sz w:val="24"/>
          <w:szCs w:val="24"/>
          <w:highlight w:val="none"/>
        </w:rPr>
      </w:pPr>
      <w:r>
        <w:rPr>
          <w:color w:val="auto"/>
          <w:sz w:val="24"/>
          <w:szCs w:val="24"/>
          <w:highlight w:val="none"/>
        </w:rPr>
        <w:t>户名：重庆工商大学</w:t>
      </w:r>
    </w:p>
    <w:p>
      <w:pPr>
        <w:snapToGrid w:val="0"/>
        <w:spacing w:line="400" w:lineRule="exact"/>
        <w:ind w:firstLine="480" w:firstLineChars="200"/>
        <w:rPr>
          <w:color w:val="auto"/>
          <w:sz w:val="24"/>
          <w:szCs w:val="24"/>
          <w:highlight w:val="none"/>
        </w:rPr>
      </w:pPr>
      <w:r>
        <w:rPr>
          <w:color w:val="auto"/>
          <w:sz w:val="24"/>
          <w:szCs w:val="24"/>
          <w:highlight w:val="none"/>
        </w:rPr>
        <w:t>账号：9558 8531 0075 3300 080</w:t>
      </w:r>
    </w:p>
    <w:p>
      <w:pPr>
        <w:snapToGrid w:val="0"/>
        <w:spacing w:line="400" w:lineRule="exact"/>
        <w:ind w:firstLine="480" w:firstLineChars="200"/>
        <w:rPr>
          <w:color w:val="auto"/>
          <w:sz w:val="24"/>
          <w:szCs w:val="24"/>
          <w:highlight w:val="none"/>
        </w:rPr>
      </w:pPr>
      <w:r>
        <w:rPr>
          <w:color w:val="auto"/>
          <w:sz w:val="24"/>
          <w:szCs w:val="24"/>
          <w:highlight w:val="none"/>
        </w:rPr>
        <w:t>开户行：工行重庆南岸学府支行</w:t>
      </w:r>
    </w:p>
    <w:p>
      <w:pPr>
        <w:snapToGrid w:val="0"/>
        <w:spacing w:line="400" w:lineRule="exact"/>
        <w:ind w:firstLine="480" w:firstLineChars="200"/>
        <w:rPr>
          <w:color w:val="auto"/>
          <w:sz w:val="24"/>
          <w:szCs w:val="24"/>
          <w:highlight w:val="none"/>
        </w:rPr>
      </w:pPr>
      <w:r>
        <w:rPr>
          <w:color w:val="auto"/>
          <w:sz w:val="24"/>
          <w:szCs w:val="24"/>
          <w:highlight w:val="none"/>
        </w:rPr>
        <w:t>2.1</w:t>
      </w:r>
      <w:r>
        <w:rPr>
          <w:b/>
          <w:color w:val="auto"/>
          <w:sz w:val="24"/>
          <w:szCs w:val="24"/>
          <w:highlight w:val="none"/>
        </w:rPr>
        <w:t>汇款的供应商须在付款凭证摘要/用途中填写“</w:t>
      </w:r>
      <w:r>
        <w:rPr>
          <w:color w:val="auto"/>
          <w:sz w:val="24"/>
          <w:szCs w:val="24"/>
          <w:highlight w:val="none"/>
        </w:rPr>
        <w:t>CTBU-JZ2023</w:t>
      </w:r>
      <w:r>
        <w:rPr>
          <w:rFonts w:hint="eastAsia"/>
          <w:color w:val="auto"/>
          <w:sz w:val="24"/>
          <w:szCs w:val="24"/>
          <w:highlight w:val="none"/>
        </w:rPr>
        <w:t>107</w:t>
      </w:r>
      <w:r>
        <w:rPr>
          <w:b/>
          <w:color w:val="auto"/>
          <w:sz w:val="24"/>
          <w:szCs w:val="24"/>
          <w:highlight w:val="none"/>
        </w:rPr>
        <w:t>”，并在响应文件中附纸质的转账凭证复印件</w:t>
      </w:r>
      <w:r>
        <w:rPr>
          <w:color w:val="auto"/>
          <w:sz w:val="24"/>
          <w:szCs w:val="24"/>
          <w:highlight w:val="none"/>
        </w:rPr>
        <w:t>。</w:t>
      </w:r>
    </w:p>
    <w:p>
      <w:pPr>
        <w:snapToGrid w:val="0"/>
        <w:spacing w:line="400" w:lineRule="exact"/>
        <w:ind w:firstLine="480" w:firstLineChars="200"/>
        <w:rPr>
          <w:color w:val="auto"/>
          <w:sz w:val="24"/>
          <w:szCs w:val="24"/>
          <w:highlight w:val="none"/>
        </w:rPr>
      </w:pPr>
      <w:r>
        <w:rPr>
          <w:color w:val="auto"/>
          <w:sz w:val="24"/>
          <w:szCs w:val="24"/>
          <w:highlight w:val="none"/>
        </w:rPr>
        <w:t>2.2供应商在缴纳谈判文件购买费时，到款账户为上述指定的专用账户，来款账户必须为本公司基本账户。</w:t>
      </w:r>
    </w:p>
    <w:p>
      <w:pPr>
        <w:snapToGrid w:val="0"/>
        <w:spacing w:line="400" w:lineRule="exact"/>
        <w:ind w:firstLine="480" w:firstLineChars="200"/>
        <w:rPr>
          <w:color w:val="auto"/>
          <w:sz w:val="24"/>
          <w:szCs w:val="24"/>
          <w:highlight w:val="none"/>
        </w:rPr>
      </w:pPr>
      <w:r>
        <w:rPr>
          <w:color w:val="auto"/>
          <w:sz w:val="24"/>
          <w:szCs w:val="24"/>
          <w:highlight w:val="none"/>
        </w:rPr>
        <w:t>2.3谈判文件购买费电子发票链接由采购人财务处统一推送至</w:t>
      </w:r>
      <w:r>
        <w:rPr>
          <w:rFonts w:hint="eastAsia"/>
          <w:color w:val="auto"/>
          <w:sz w:val="24"/>
          <w:szCs w:val="24"/>
          <w:highlight w:val="none"/>
        </w:rPr>
        <w:t>供应商</w:t>
      </w:r>
      <w:r>
        <w:rPr>
          <w:color w:val="auto"/>
          <w:sz w:val="24"/>
          <w:szCs w:val="24"/>
          <w:highlight w:val="none"/>
        </w:rPr>
        <w:t>缴费时预留的手机号，请务必确保手机号码的正确性。</w:t>
      </w:r>
    </w:p>
    <w:p>
      <w:pPr>
        <w:spacing w:line="400" w:lineRule="exact"/>
        <w:ind w:firstLine="480" w:firstLineChars="200"/>
        <w:rPr>
          <w:b/>
          <w:color w:val="auto"/>
          <w:sz w:val="24"/>
          <w:szCs w:val="24"/>
          <w:highlight w:val="none"/>
        </w:rPr>
      </w:pPr>
      <w:r>
        <w:rPr>
          <w:color w:val="auto"/>
          <w:sz w:val="24"/>
          <w:szCs w:val="24"/>
          <w:highlight w:val="none"/>
        </w:rPr>
        <w:t>2.4供应商在银行转账（电汇）时，须充分考虑银行转账（电汇）的时间差风险，如同城转账、异地转账或汇款、跨行转账或电汇的时间要求。</w:t>
      </w:r>
    </w:p>
    <w:p>
      <w:pPr>
        <w:pStyle w:val="4"/>
        <w:spacing w:before="0" w:after="0" w:line="400" w:lineRule="exact"/>
        <w:rPr>
          <w:color w:val="auto"/>
          <w:sz w:val="24"/>
          <w:szCs w:val="24"/>
          <w:highlight w:val="none"/>
        </w:rPr>
      </w:pPr>
      <w:bookmarkStart w:id="16" w:name="_Toc373860294"/>
      <w:bookmarkStart w:id="17" w:name="_Toc17523"/>
      <w:bookmarkStart w:id="18" w:name="_Toc3835"/>
      <w:r>
        <w:rPr>
          <w:color w:val="auto"/>
          <w:sz w:val="24"/>
          <w:szCs w:val="24"/>
          <w:highlight w:val="none"/>
        </w:rPr>
        <w:t>五、</w:t>
      </w:r>
      <w:bookmarkEnd w:id="11"/>
      <w:bookmarkEnd w:id="16"/>
      <w:bookmarkEnd w:id="17"/>
      <w:bookmarkStart w:id="19" w:name="_Toc29197"/>
      <w:r>
        <w:rPr>
          <w:color w:val="auto"/>
          <w:sz w:val="24"/>
          <w:szCs w:val="24"/>
          <w:highlight w:val="none"/>
        </w:rPr>
        <w:t>其它有关规定</w:t>
      </w:r>
      <w:bookmarkEnd w:id="18"/>
      <w:bookmarkEnd w:id="19"/>
    </w:p>
    <w:p>
      <w:pPr>
        <w:snapToGrid w:val="0"/>
        <w:spacing w:line="400" w:lineRule="exact"/>
        <w:ind w:firstLine="480" w:firstLineChars="200"/>
        <w:rPr>
          <w:color w:val="auto"/>
          <w:sz w:val="24"/>
          <w:szCs w:val="24"/>
          <w:highlight w:val="none"/>
        </w:rPr>
      </w:pPr>
      <w:r>
        <w:rPr>
          <w:color w:val="auto"/>
          <w:sz w:val="24"/>
          <w:szCs w:val="24"/>
          <w:highlight w:val="none"/>
        </w:rPr>
        <w:t>（一）为采购项目提供整体设计、规范编制或者项目管理、监理、检测等服务的供应商，不得再参加该采购项目的其他采购活动。</w:t>
      </w:r>
    </w:p>
    <w:p>
      <w:pPr>
        <w:snapToGrid w:val="0"/>
        <w:spacing w:line="400" w:lineRule="exact"/>
        <w:ind w:firstLine="480" w:firstLineChars="200"/>
        <w:rPr>
          <w:color w:val="auto"/>
          <w:sz w:val="24"/>
          <w:szCs w:val="24"/>
          <w:highlight w:val="none"/>
        </w:rPr>
      </w:pPr>
      <w:r>
        <w:rPr>
          <w:color w:val="auto"/>
          <w:sz w:val="24"/>
          <w:szCs w:val="24"/>
          <w:highlight w:val="none"/>
        </w:rPr>
        <w:t>（二）本项目的补遗文件（如果有）一律在重庆工商大学招投标信息网（http://zbcg.ctbu.edu.cn）上发布，请各供应商注意下载；无论供应商下载与否，均视同供应商已知晓本项目补遗文件（如果有）的内容。</w:t>
      </w:r>
    </w:p>
    <w:p>
      <w:pPr>
        <w:snapToGrid w:val="0"/>
        <w:spacing w:line="400" w:lineRule="exact"/>
        <w:ind w:firstLine="480" w:firstLineChars="200"/>
        <w:rPr>
          <w:color w:val="auto"/>
          <w:sz w:val="24"/>
          <w:szCs w:val="24"/>
          <w:highlight w:val="none"/>
        </w:rPr>
      </w:pPr>
      <w:r>
        <w:rPr>
          <w:color w:val="auto"/>
          <w:sz w:val="24"/>
          <w:szCs w:val="24"/>
          <w:highlight w:val="none"/>
        </w:rPr>
        <w:t>（三）超过响应文件截止时间递交的响应文件，恕不接收。</w:t>
      </w:r>
    </w:p>
    <w:p>
      <w:pPr>
        <w:snapToGrid w:val="0"/>
        <w:spacing w:line="400" w:lineRule="exact"/>
        <w:ind w:firstLine="480" w:firstLineChars="200"/>
        <w:rPr>
          <w:color w:val="auto"/>
          <w:sz w:val="24"/>
          <w:szCs w:val="24"/>
          <w:highlight w:val="none"/>
        </w:rPr>
      </w:pPr>
      <w:r>
        <w:rPr>
          <w:color w:val="auto"/>
          <w:sz w:val="24"/>
          <w:szCs w:val="24"/>
          <w:highlight w:val="none"/>
        </w:rPr>
        <w:t>（四）谈判费用：无论谈判结果如何，供应商参与本项目谈判的所有费用均应由供应商自行承担。</w:t>
      </w:r>
    </w:p>
    <w:p>
      <w:pPr>
        <w:snapToGrid w:val="0"/>
        <w:spacing w:line="400" w:lineRule="exact"/>
        <w:ind w:firstLine="480" w:firstLineChars="200"/>
        <w:rPr>
          <w:bCs/>
          <w:color w:val="auto"/>
          <w:sz w:val="24"/>
          <w:szCs w:val="24"/>
          <w:highlight w:val="none"/>
        </w:rPr>
      </w:pPr>
      <w:r>
        <w:rPr>
          <w:color w:val="auto"/>
          <w:sz w:val="24"/>
          <w:szCs w:val="24"/>
          <w:highlight w:val="none"/>
        </w:rPr>
        <w:t>（五）</w:t>
      </w:r>
      <w:r>
        <w:rPr>
          <w:bCs/>
          <w:color w:val="auto"/>
          <w:sz w:val="24"/>
          <w:szCs w:val="24"/>
          <w:highlight w:val="none"/>
        </w:rPr>
        <w:t>本项目不接受联合体参与谈判。</w:t>
      </w:r>
    </w:p>
    <w:p>
      <w:pPr>
        <w:snapToGrid w:val="0"/>
        <w:spacing w:line="400" w:lineRule="exact"/>
        <w:ind w:firstLine="480" w:firstLineChars="200"/>
        <w:rPr>
          <w:color w:val="auto"/>
          <w:sz w:val="24"/>
          <w:szCs w:val="24"/>
          <w:highlight w:val="none"/>
        </w:rPr>
      </w:pPr>
      <w:r>
        <w:rPr>
          <w:color w:val="auto"/>
          <w:sz w:val="24"/>
          <w:szCs w:val="24"/>
          <w:highlight w:val="none"/>
        </w:rPr>
        <w:t>（六）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pPr>
        <w:pStyle w:val="4"/>
        <w:spacing w:before="0" w:after="0" w:line="400" w:lineRule="exact"/>
        <w:rPr>
          <w:color w:val="auto"/>
          <w:sz w:val="24"/>
          <w:szCs w:val="24"/>
          <w:highlight w:val="none"/>
        </w:rPr>
      </w:pPr>
      <w:bookmarkStart w:id="20" w:name="_Toc11197"/>
      <w:bookmarkStart w:id="21" w:name="_Toc24817"/>
      <w:r>
        <w:rPr>
          <w:rFonts w:hint="eastAsia"/>
          <w:color w:val="auto"/>
          <w:sz w:val="24"/>
          <w:szCs w:val="24"/>
          <w:highlight w:val="none"/>
        </w:rPr>
        <w:t>六</w:t>
      </w:r>
      <w:r>
        <w:rPr>
          <w:color w:val="auto"/>
          <w:sz w:val="24"/>
          <w:szCs w:val="24"/>
          <w:highlight w:val="none"/>
        </w:rPr>
        <w:t>、联系方式</w:t>
      </w:r>
      <w:bookmarkEnd w:id="20"/>
      <w:bookmarkEnd w:id="21"/>
    </w:p>
    <w:p>
      <w:pPr>
        <w:snapToGrid w:val="0"/>
        <w:spacing w:line="400" w:lineRule="exact"/>
        <w:ind w:firstLine="480" w:firstLineChars="200"/>
        <w:rPr>
          <w:color w:val="auto"/>
          <w:sz w:val="24"/>
          <w:szCs w:val="24"/>
          <w:highlight w:val="none"/>
        </w:rPr>
      </w:pPr>
      <w:bookmarkStart w:id="22" w:name="_Toc102227313"/>
      <w:r>
        <w:rPr>
          <w:color w:val="auto"/>
          <w:sz w:val="24"/>
          <w:szCs w:val="24"/>
          <w:highlight w:val="none"/>
        </w:rPr>
        <w:t>（一）采购人：重庆工商大学</w:t>
      </w:r>
    </w:p>
    <w:p>
      <w:pPr>
        <w:snapToGrid w:val="0"/>
        <w:spacing w:line="400" w:lineRule="exact"/>
        <w:ind w:firstLine="480" w:firstLineChars="200"/>
        <w:rPr>
          <w:color w:val="auto"/>
          <w:sz w:val="24"/>
          <w:szCs w:val="24"/>
          <w:highlight w:val="none"/>
        </w:rPr>
      </w:pPr>
      <w:r>
        <w:rPr>
          <w:color w:val="auto"/>
          <w:sz w:val="24"/>
          <w:szCs w:val="24"/>
          <w:highlight w:val="none"/>
        </w:rPr>
        <w:t>联系人：</w:t>
      </w:r>
      <w:r>
        <w:rPr>
          <w:rFonts w:hint="eastAsia"/>
          <w:color w:val="auto"/>
          <w:sz w:val="24"/>
          <w:szCs w:val="24"/>
          <w:highlight w:val="none"/>
        </w:rPr>
        <w:t>阎</w:t>
      </w:r>
      <w:r>
        <w:rPr>
          <w:color w:val="auto"/>
          <w:sz w:val="24"/>
          <w:szCs w:val="24"/>
          <w:highlight w:val="none"/>
        </w:rPr>
        <w:t>老师</w:t>
      </w:r>
    </w:p>
    <w:p>
      <w:pPr>
        <w:snapToGrid w:val="0"/>
        <w:spacing w:line="400" w:lineRule="exact"/>
        <w:ind w:firstLine="480" w:firstLineChars="200"/>
        <w:rPr>
          <w:color w:val="auto"/>
          <w:sz w:val="24"/>
          <w:szCs w:val="24"/>
          <w:highlight w:val="none"/>
        </w:rPr>
      </w:pPr>
      <w:r>
        <w:rPr>
          <w:color w:val="auto"/>
          <w:sz w:val="24"/>
          <w:szCs w:val="24"/>
          <w:highlight w:val="none"/>
        </w:rPr>
        <w:t>电  话：023-62769774</w:t>
      </w:r>
    </w:p>
    <w:p>
      <w:pPr>
        <w:snapToGrid w:val="0"/>
        <w:spacing w:line="400" w:lineRule="exact"/>
        <w:ind w:firstLine="480" w:firstLineChars="200"/>
        <w:rPr>
          <w:color w:val="auto"/>
          <w:sz w:val="24"/>
          <w:szCs w:val="24"/>
          <w:highlight w:val="none"/>
        </w:rPr>
      </w:pPr>
      <w:r>
        <w:rPr>
          <w:color w:val="auto"/>
          <w:sz w:val="24"/>
          <w:szCs w:val="24"/>
          <w:highlight w:val="none"/>
        </w:rPr>
        <w:t>传  真：023-62769774</w:t>
      </w:r>
    </w:p>
    <w:p>
      <w:pPr>
        <w:snapToGrid w:val="0"/>
        <w:spacing w:line="400" w:lineRule="exact"/>
        <w:ind w:firstLine="480" w:firstLineChars="200"/>
        <w:rPr>
          <w:color w:val="auto"/>
          <w:sz w:val="24"/>
          <w:szCs w:val="24"/>
          <w:highlight w:val="none"/>
        </w:rPr>
      </w:pPr>
      <w:r>
        <w:rPr>
          <w:color w:val="auto"/>
          <w:sz w:val="24"/>
          <w:szCs w:val="24"/>
          <w:highlight w:val="none"/>
        </w:rPr>
        <w:t>地  址：重庆市南岸区学府大道19号重庆工商大学厚德楼8016室</w:t>
      </w:r>
    </w:p>
    <w:p>
      <w:pPr>
        <w:snapToGrid w:val="0"/>
        <w:spacing w:line="400" w:lineRule="exact"/>
        <w:ind w:firstLine="480" w:firstLineChars="200"/>
        <w:rPr>
          <w:color w:val="auto"/>
          <w:sz w:val="24"/>
          <w:szCs w:val="24"/>
          <w:highlight w:val="none"/>
        </w:rPr>
      </w:pPr>
      <w:r>
        <w:rPr>
          <w:color w:val="auto"/>
          <w:sz w:val="24"/>
          <w:szCs w:val="24"/>
          <w:highlight w:val="none"/>
        </w:rPr>
        <w:t>（二）技术咨询</w:t>
      </w:r>
    </w:p>
    <w:p>
      <w:pPr>
        <w:snapToGrid w:val="0"/>
        <w:spacing w:line="400" w:lineRule="exact"/>
        <w:ind w:firstLine="480" w:firstLineChars="200"/>
        <w:rPr>
          <w:color w:val="auto"/>
          <w:sz w:val="24"/>
          <w:szCs w:val="24"/>
          <w:highlight w:val="none"/>
        </w:rPr>
      </w:pPr>
      <w:r>
        <w:rPr>
          <w:color w:val="auto"/>
          <w:sz w:val="24"/>
          <w:szCs w:val="24"/>
          <w:highlight w:val="none"/>
        </w:rPr>
        <w:t>联系人：</w:t>
      </w:r>
      <w:bookmarkEnd w:id="22"/>
      <w:r>
        <w:rPr>
          <w:rFonts w:hint="eastAsia"/>
          <w:color w:val="auto"/>
          <w:sz w:val="24"/>
          <w:szCs w:val="24"/>
          <w:highlight w:val="none"/>
        </w:rPr>
        <w:t>席</w:t>
      </w:r>
      <w:r>
        <w:rPr>
          <w:color w:val="auto"/>
          <w:sz w:val="24"/>
          <w:szCs w:val="24"/>
          <w:highlight w:val="none"/>
        </w:rPr>
        <w:t>老师</w:t>
      </w:r>
    </w:p>
    <w:p>
      <w:pPr>
        <w:snapToGrid w:val="0"/>
        <w:spacing w:line="400" w:lineRule="exact"/>
        <w:ind w:firstLine="480" w:firstLineChars="200"/>
        <w:rPr>
          <w:color w:val="auto"/>
          <w:sz w:val="24"/>
          <w:szCs w:val="24"/>
          <w:highlight w:val="none"/>
        </w:rPr>
      </w:pPr>
      <w:r>
        <w:rPr>
          <w:color w:val="auto"/>
          <w:sz w:val="24"/>
          <w:szCs w:val="24"/>
          <w:highlight w:val="none"/>
        </w:rPr>
        <w:t>电  话：13594205276</w:t>
      </w:r>
    </w:p>
    <w:p>
      <w:pPr>
        <w:snapToGrid w:val="0"/>
        <w:spacing w:line="400" w:lineRule="exact"/>
        <w:ind w:firstLine="560" w:firstLineChars="200"/>
        <w:rPr>
          <w:rFonts w:eastAsia="黑体"/>
          <w:color w:val="auto"/>
          <w:highlight w:val="none"/>
        </w:rPr>
      </w:pPr>
      <w:r>
        <w:rPr>
          <w:color w:val="auto"/>
          <w:highlight w:val="none"/>
        </w:rPr>
        <w:br w:type="page"/>
      </w:r>
    </w:p>
    <w:p>
      <w:pPr>
        <w:pStyle w:val="3"/>
        <w:spacing w:line="360" w:lineRule="auto"/>
        <w:jc w:val="center"/>
        <w:rPr>
          <w:rFonts w:ascii="Times New Roman" w:hAnsi="Times New Roman" w:eastAsia="宋体"/>
          <w:bCs/>
          <w:color w:val="auto"/>
          <w:sz w:val="36"/>
          <w:szCs w:val="30"/>
          <w:highlight w:val="none"/>
        </w:rPr>
      </w:pPr>
      <w:bookmarkStart w:id="23" w:name="_Toc31531"/>
      <w:bookmarkStart w:id="24" w:name="_Toc15966"/>
      <w:r>
        <w:rPr>
          <w:rFonts w:ascii="Times New Roman" w:hAnsi="Times New Roman" w:eastAsia="宋体"/>
          <w:bCs/>
          <w:color w:val="auto"/>
          <w:sz w:val="36"/>
          <w:szCs w:val="30"/>
          <w:highlight w:val="none"/>
        </w:rPr>
        <w:t>第二篇  谈判项目技术需求</w:t>
      </w:r>
      <w:bookmarkEnd w:id="23"/>
      <w:bookmarkEnd w:id="24"/>
    </w:p>
    <w:p>
      <w:pPr>
        <w:pStyle w:val="4"/>
        <w:spacing w:before="0" w:after="0" w:line="360" w:lineRule="auto"/>
        <w:jc w:val="left"/>
        <w:rPr>
          <w:color w:val="auto"/>
          <w:sz w:val="24"/>
          <w:szCs w:val="24"/>
          <w:highlight w:val="none"/>
        </w:rPr>
      </w:pPr>
      <w:bookmarkStart w:id="25" w:name="_Toc313536013"/>
      <w:bookmarkStart w:id="26" w:name="_Toc1940"/>
      <w:bookmarkStart w:id="27" w:name="_Toc344475116"/>
      <w:bookmarkStart w:id="28" w:name="_Toc13372"/>
      <w:bookmarkStart w:id="29" w:name="_Toc534359289"/>
      <w:bookmarkStart w:id="30" w:name="_Toc482115327"/>
      <w:bookmarkStart w:id="31" w:name="_Toc12789058"/>
      <w:r>
        <w:rPr>
          <w:color w:val="auto"/>
          <w:sz w:val="24"/>
          <w:szCs w:val="24"/>
          <w:highlight w:val="none"/>
        </w:rPr>
        <w:t>一、项目一览表</w:t>
      </w:r>
      <w:bookmarkEnd w:id="25"/>
      <w:bookmarkEnd w:id="26"/>
      <w:bookmarkEnd w:id="27"/>
      <w:bookmarkEnd w:id="28"/>
    </w:p>
    <w:tbl>
      <w:tblPr>
        <w:tblStyle w:val="18"/>
        <w:tblW w:w="9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8"/>
        <w:gridCol w:w="4244"/>
        <w:gridCol w:w="1889"/>
        <w:gridCol w:w="1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828" w:type="dxa"/>
            <w:tcBorders>
              <w:top w:val="single" w:color="auto" w:sz="4" w:space="0"/>
              <w:left w:val="single" w:color="auto" w:sz="4" w:space="0"/>
              <w:right w:val="single" w:color="auto" w:sz="4" w:space="0"/>
            </w:tcBorders>
            <w:vAlign w:val="center"/>
          </w:tcPr>
          <w:p>
            <w:pPr>
              <w:spacing w:line="400" w:lineRule="exact"/>
              <w:jc w:val="center"/>
              <w:rPr>
                <w:color w:val="auto"/>
                <w:sz w:val="24"/>
                <w:szCs w:val="24"/>
                <w:highlight w:val="none"/>
              </w:rPr>
            </w:pPr>
            <w:r>
              <w:rPr>
                <w:b/>
                <w:bCs/>
                <w:color w:val="auto"/>
                <w:kern w:val="0"/>
                <w:sz w:val="24"/>
                <w:szCs w:val="24"/>
                <w:highlight w:val="none"/>
              </w:rPr>
              <w:t>序号</w:t>
            </w:r>
          </w:p>
        </w:tc>
        <w:tc>
          <w:tcPr>
            <w:tcW w:w="4244" w:type="dxa"/>
            <w:tcBorders>
              <w:top w:val="single" w:color="auto" w:sz="4" w:space="0"/>
              <w:left w:val="single" w:color="auto" w:sz="4" w:space="0"/>
              <w:right w:val="single" w:color="auto" w:sz="4" w:space="0"/>
            </w:tcBorders>
            <w:vAlign w:val="center"/>
          </w:tcPr>
          <w:p>
            <w:pPr>
              <w:spacing w:line="400" w:lineRule="exact"/>
              <w:jc w:val="center"/>
              <w:rPr>
                <w:color w:val="auto"/>
                <w:sz w:val="24"/>
                <w:szCs w:val="24"/>
                <w:highlight w:val="none"/>
              </w:rPr>
            </w:pPr>
            <w:r>
              <w:rPr>
                <w:b/>
                <w:color w:val="auto"/>
                <w:sz w:val="24"/>
                <w:szCs w:val="24"/>
                <w:highlight w:val="none"/>
              </w:rPr>
              <w:t>产品名称</w:t>
            </w:r>
          </w:p>
        </w:tc>
        <w:tc>
          <w:tcPr>
            <w:tcW w:w="1889" w:type="dxa"/>
            <w:tcBorders>
              <w:top w:val="single" w:color="auto" w:sz="4" w:space="0"/>
              <w:left w:val="single" w:color="auto" w:sz="4" w:space="0"/>
              <w:right w:val="single" w:color="auto" w:sz="4" w:space="0"/>
            </w:tcBorders>
            <w:vAlign w:val="center"/>
          </w:tcPr>
          <w:p>
            <w:pPr>
              <w:spacing w:line="400" w:lineRule="exact"/>
              <w:jc w:val="center"/>
              <w:rPr>
                <w:b/>
                <w:bCs/>
                <w:color w:val="auto"/>
                <w:kern w:val="0"/>
                <w:sz w:val="24"/>
                <w:szCs w:val="24"/>
                <w:highlight w:val="none"/>
              </w:rPr>
            </w:pPr>
            <w:r>
              <w:rPr>
                <w:rFonts w:hint="eastAsia"/>
                <w:b/>
                <w:bCs/>
                <w:color w:val="auto"/>
                <w:kern w:val="0"/>
                <w:sz w:val="24"/>
                <w:szCs w:val="24"/>
                <w:highlight w:val="none"/>
              </w:rPr>
              <w:t>数量</w:t>
            </w:r>
          </w:p>
        </w:tc>
        <w:tc>
          <w:tcPr>
            <w:tcW w:w="1529" w:type="dxa"/>
            <w:tcBorders>
              <w:top w:val="single" w:color="auto" w:sz="4" w:space="0"/>
              <w:left w:val="single" w:color="auto" w:sz="4" w:space="0"/>
              <w:right w:val="single" w:color="auto" w:sz="4" w:space="0"/>
            </w:tcBorders>
            <w:vAlign w:val="center"/>
          </w:tcPr>
          <w:p>
            <w:pPr>
              <w:spacing w:line="400" w:lineRule="exact"/>
              <w:jc w:val="center"/>
              <w:rPr>
                <w:b/>
                <w:bCs/>
                <w:color w:val="auto"/>
                <w:kern w:val="0"/>
                <w:sz w:val="24"/>
                <w:szCs w:val="24"/>
                <w:highlight w:val="none"/>
              </w:rPr>
            </w:pPr>
            <w:r>
              <w:rPr>
                <w:rFonts w:hint="eastAsia"/>
                <w:b/>
                <w:bCs/>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1828"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eastAsia="等线"/>
                <w:color w:val="auto"/>
                <w:kern w:val="0"/>
                <w:sz w:val="22"/>
                <w:szCs w:val="22"/>
                <w:highlight w:val="none"/>
                <w:lang w:bidi="ar"/>
              </w:rPr>
            </w:pPr>
            <w:r>
              <w:rPr>
                <w:rFonts w:eastAsia="等线"/>
                <w:color w:val="auto"/>
                <w:kern w:val="0"/>
                <w:sz w:val="22"/>
                <w:szCs w:val="22"/>
                <w:highlight w:val="none"/>
                <w:lang w:bidi="ar"/>
              </w:rPr>
              <w:t>1</w:t>
            </w:r>
          </w:p>
        </w:tc>
        <w:tc>
          <w:tcPr>
            <w:tcW w:w="4244"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eastAsia="等线"/>
                <w:color w:val="auto"/>
                <w:kern w:val="0"/>
                <w:sz w:val="22"/>
                <w:szCs w:val="22"/>
                <w:highlight w:val="none"/>
                <w:lang w:bidi="ar"/>
              </w:rPr>
            </w:pPr>
            <w:r>
              <w:rPr>
                <w:color w:val="auto"/>
                <w:sz w:val="24"/>
                <w:szCs w:val="24"/>
                <w:highlight w:val="none"/>
              </w:rPr>
              <w:t>重庆工商大学Nanodcal 3.0量子电子运输计算平台</w:t>
            </w:r>
            <w:r>
              <w:rPr>
                <w:rFonts w:hint="eastAsia"/>
                <w:color w:val="auto"/>
                <w:sz w:val="24"/>
                <w:szCs w:val="24"/>
                <w:highlight w:val="none"/>
              </w:rPr>
              <w:t>项目</w:t>
            </w:r>
          </w:p>
        </w:tc>
        <w:tc>
          <w:tcPr>
            <w:tcW w:w="188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eastAsia="等线"/>
                <w:color w:val="auto"/>
                <w:kern w:val="0"/>
                <w:sz w:val="22"/>
                <w:szCs w:val="22"/>
                <w:highlight w:val="none"/>
                <w:lang w:bidi="ar"/>
              </w:rPr>
            </w:pPr>
            <w:r>
              <w:rPr>
                <w:rFonts w:hint="eastAsia" w:eastAsia="等线"/>
                <w:color w:val="auto"/>
                <w:kern w:val="0"/>
                <w:sz w:val="22"/>
                <w:szCs w:val="22"/>
                <w:highlight w:val="none"/>
                <w:lang w:bidi="ar"/>
              </w:rPr>
              <w:t>1套</w:t>
            </w:r>
          </w:p>
        </w:tc>
        <w:tc>
          <w:tcPr>
            <w:tcW w:w="15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eastAsia="等线"/>
                <w:color w:val="auto"/>
                <w:kern w:val="0"/>
                <w:sz w:val="22"/>
                <w:szCs w:val="22"/>
                <w:highlight w:val="none"/>
                <w:lang w:bidi="ar"/>
              </w:rPr>
            </w:pPr>
          </w:p>
        </w:tc>
      </w:tr>
      <w:bookmarkEnd w:id="29"/>
      <w:bookmarkEnd w:id="30"/>
    </w:tbl>
    <w:p>
      <w:pPr>
        <w:pStyle w:val="4"/>
        <w:spacing w:before="0" w:after="0" w:line="360" w:lineRule="auto"/>
        <w:jc w:val="left"/>
        <w:rPr>
          <w:color w:val="auto"/>
          <w:sz w:val="24"/>
          <w:szCs w:val="24"/>
          <w:highlight w:val="none"/>
        </w:rPr>
      </w:pPr>
      <w:r>
        <w:rPr>
          <w:rFonts w:hint="eastAsia"/>
          <w:color w:val="auto"/>
          <w:sz w:val="24"/>
          <w:szCs w:val="24"/>
          <w:highlight w:val="none"/>
        </w:rPr>
        <w:t>二、项目功能和质量要求</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该平台可以用于非平衡的量子电子运输的计算和模拟仿真，可以服务于本学院电子信息专业、物理等专业的老师开展电子、量子信息方面的科学研究，还可服务于其他学科和专业的教师进行材料物理性质研究，也可以作为研究生进行课题研究的平台。该平台可以开展材料或器件的电子能带、各种电子态密度、电荷密度，声子能带、声子态密度，电子自旋磁矩、电子自旋极化，电子空穴迁移率，电子器件的伏安特性（I-V）、光电流、热电流、电流密度，电子透射谱，空间散射波、空间电荷密度等的相关研究。目前主要用于:</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1、对材料中电子传输的计算；</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2、光电器件中的光电转换、电子传输及其运输性质进行分析；</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3、对光电器件在不同入射光功率的响应特性进行分析。</w:t>
      </w:r>
    </w:p>
    <w:p>
      <w:pPr>
        <w:pStyle w:val="4"/>
        <w:spacing w:line="360" w:lineRule="auto"/>
        <w:rPr>
          <w:color w:val="auto"/>
          <w:highlight w:val="none"/>
        </w:rPr>
      </w:pPr>
      <w:bookmarkStart w:id="32" w:name="_Toc27278"/>
      <w:r>
        <w:rPr>
          <w:rFonts w:hint="eastAsia"/>
          <w:color w:val="auto"/>
          <w:sz w:val="24"/>
          <w:szCs w:val="24"/>
          <w:highlight w:val="none"/>
        </w:rPr>
        <w:t>三、项目详细技术指标</w:t>
      </w:r>
    </w:p>
    <w:p>
      <w:pPr>
        <w:spacing w:line="360" w:lineRule="auto"/>
        <w:rPr>
          <w:rFonts w:ascii="宋体"/>
          <w:color w:val="auto"/>
          <w:sz w:val="24"/>
          <w:szCs w:val="24"/>
          <w:highlight w:val="none"/>
        </w:rPr>
      </w:pPr>
      <w:r>
        <w:rPr>
          <w:rFonts w:hint="eastAsia" w:ascii="宋体"/>
          <w:color w:val="auto"/>
          <w:sz w:val="24"/>
          <w:szCs w:val="24"/>
          <w:highlight w:val="none"/>
        </w:rPr>
        <w:t>（一）软件平台</w:t>
      </w:r>
    </w:p>
    <w:p>
      <w:pPr>
        <w:spacing w:line="360" w:lineRule="auto"/>
        <w:rPr>
          <w:rFonts w:ascii="宋体"/>
          <w:color w:val="auto"/>
          <w:sz w:val="24"/>
          <w:szCs w:val="24"/>
          <w:highlight w:val="none"/>
        </w:rPr>
      </w:pPr>
      <w:r>
        <w:rPr>
          <w:rFonts w:hint="eastAsia" w:ascii="宋体"/>
          <w:color w:val="auto"/>
          <w:sz w:val="24"/>
          <w:szCs w:val="24"/>
          <w:highlight w:val="none"/>
        </w:rPr>
        <w:t>1.基于实空间密度泛函（DFT）和 Keldysh 非平衡格林函数（NEGF）的方法，采用第一性原理对材料和纳米器件进行电学和电子输运性质的计算。</w:t>
      </w:r>
    </w:p>
    <w:p>
      <w:pPr>
        <w:spacing w:line="360" w:lineRule="auto"/>
        <w:rPr>
          <w:rFonts w:ascii="宋体"/>
          <w:color w:val="auto"/>
          <w:sz w:val="24"/>
          <w:szCs w:val="24"/>
          <w:highlight w:val="none"/>
        </w:rPr>
      </w:pPr>
      <w:r>
        <w:rPr>
          <w:rFonts w:hint="eastAsia" w:ascii="宋体"/>
          <w:color w:val="auto"/>
          <w:sz w:val="24"/>
          <w:szCs w:val="24"/>
          <w:highlight w:val="none"/>
        </w:rPr>
        <w:t>2.采用赝势和原子轨道线性组合(LCAO)的方法对体系模型进行自洽场的计算，程序包含完整的、经过验证的赝势和基函数。</w:t>
      </w:r>
    </w:p>
    <w:p>
      <w:pPr>
        <w:spacing w:line="360" w:lineRule="auto"/>
        <w:rPr>
          <w:rFonts w:ascii="宋体"/>
          <w:color w:val="auto"/>
          <w:sz w:val="24"/>
          <w:szCs w:val="24"/>
          <w:highlight w:val="none"/>
        </w:rPr>
      </w:pPr>
      <w:r>
        <w:rPr>
          <w:rFonts w:hint="eastAsia" w:ascii="宋体"/>
          <w:color w:val="auto"/>
          <w:sz w:val="24"/>
          <w:szCs w:val="24"/>
          <w:highlight w:val="none"/>
        </w:rPr>
        <w:t>3.可计算体系：孤立体系、周期性体系、电极系统的电子结构；自洽的非平衡密度矩阵和哈密顿量；散射态及其波函数、散射矩阵；电流-电压特性；自旋极化电流、电流密度；</w:t>
      </w:r>
    </w:p>
    <w:p>
      <w:pPr>
        <w:spacing w:line="360" w:lineRule="auto"/>
        <w:rPr>
          <w:rFonts w:ascii="宋体"/>
          <w:color w:val="auto"/>
          <w:sz w:val="24"/>
          <w:szCs w:val="24"/>
          <w:highlight w:val="none"/>
        </w:rPr>
      </w:pPr>
      <w:r>
        <w:rPr>
          <w:rFonts w:hint="eastAsia" w:ascii="宋体"/>
          <w:color w:val="auto"/>
          <w:sz w:val="24"/>
          <w:szCs w:val="24"/>
          <w:highlight w:val="none"/>
        </w:rPr>
        <w:t>电压降和外部电场分布；电导、微分电导、交流电导；电阻、磁阻；零或有限偏压下的电子透射谱；门电压与偏置电压下的透射谱；垂直于输运方向动量分辨的电子透射谱；</w:t>
      </w:r>
    </w:p>
    <w:p>
      <w:pPr>
        <w:spacing w:line="360" w:lineRule="auto"/>
        <w:rPr>
          <w:rFonts w:ascii="宋体"/>
          <w:color w:val="auto"/>
          <w:sz w:val="24"/>
          <w:szCs w:val="24"/>
          <w:highlight w:val="none"/>
        </w:rPr>
      </w:pPr>
      <w:r>
        <w:rPr>
          <w:rFonts w:hint="eastAsia" w:ascii="宋体"/>
          <w:color w:val="auto"/>
          <w:sz w:val="24"/>
          <w:szCs w:val="24"/>
          <w:highlight w:val="none"/>
        </w:rPr>
        <w:t>自旋分辨的透射谱；透射系数谱、透射本征值和本征通道、透射路径；电子态密度、分波和局域态密度 DOS、散射态密度(DOSS)；分波和局域散射态密度 DOSS；电子相关能处理(LDA+U)；总能、力和应力；</w:t>
      </w:r>
    </w:p>
    <w:p>
      <w:pPr>
        <w:spacing w:line="360" w:lineRule="auto"/>
        <w:rPr>
          <w:rFonts w:ascii="宋体"/>
          <w:color w:val="auto"/>
          <w:sz w:val="24"/>
          <w:szCs w:val="24"/>
          <w:highlight w:val="none"/>
        </w:rPr>
      </w:pPr>
      <w:r>
        <w:rPr>
          <w:rFonts w:hint="eastAsia" w:ascii="宋体"/>
          <w:color w:val="auto"/>
          <w:sz w:val="24"/>
          <w:szCs w:val="24"/>
          <w:highlight w:val="none"/>
        </w:rPr>
        <w:t>4.可计算性质：基于 NEGF-DFT 的量子输运计算；共线自旋极化系统；非共线自旋极化系统；散射矩阵及其本征态；散射态和实空间波函数；散射态和原子轨道空间波函数；反常霍尔效应；光电流；自旋轨道耦合。</w:t>
      </w:r>
    </w:p>
    <w:p>
      <w:pPr>
        <w:spacing w:line="360" w:lineRule="auto"/>
        <w:rPr>
          <w:rFonts w:ascii="宋体"/>
          <w:color w:val="auto"/>
          <w:sz w:val="24"/>
          <w:szCs w:val="24"/>
          <w:highlight w:val="none"/>
        </w:rPr>
      </w:pPr>
      <w:r>
        <w:rPr>
          <w:rFonts w:hint="eastAsia" w:ascii="宋体"/>
          <w:color w:val="auto"/>
          <w:sz w:val="24"/>
          <w:szCs w:val="24"/>
          <w:highlight w:val="none"/>
        </w:rPr>
        <w:t>5.计算对象：</w:t>
      </w:r>
    </w:p>
    <w:p>
      <w:pPr>
        <w:spacing w:line="360" w:lineRule="auto"/>
        <w:rPr>
          <w:rFonts w:ascii="宋体"/>
          <w:color w:val="auto"/>
          <w:sz w:val="24"/>
          <w:szCs w:val="24"/>
          <w:highlight w:val="none"/>
        </w:rPr>
      </w:pPr>
      <w:r>
        <w:rPr>
          <w:rFonts w:hint="eastAsia" w:ascii="宋体"/>
          <w:color w:val="auto"/>
          <w:sz w:val="24"/>
          <w:szCs w:val="24"/>
          <w:highlight w:val="none"/>
        </w:rPr>
        <w:t>分子、团簇、固体、表面、界面、两极体系、多极体系（4端开放体系）、石墨烯、纳</w:t>
      </w:r>
    </w:p>
    <w:p>
      <w:pPr>
        <w:spacing w:line="360" w:lineRule="auto"/>
        <w:rPr>
          <w:rFonts w:ascii="宋体"/>
          <w:color w:val="auto"/>
          <w:sz w:val="24"/>
          <w:szCs w:val="24"/>
          <w:highlight w:val="none"/>
        </w:rPr>
      </w:pPr>
      <w:r>
        <w:rPr>
          <w:rFonts w:hint="eastAsia" w:ascii="宋体"/>
          <w:color w:val="auto"/>
          <w:sz w:val="24"/>
          <w:szCs w:val="24"/>
          <w:highlight w:val="none"/>
        </w:rPr>
        <w:t>米管、金属-金属接触、磁隧道结、物理和拓扑绝缘体、自旋注入现象、STM成像、分子电子学、分子自旋电子学、微电子晶体管、半导体、集成电路</w:t>
      </w:r>
    </w:p>
    <w:p>
      <w:pPr>
        <w:spacing w:line="360" w:lineRule="auto"/>
        <w:rPr>
          <w:rFonts w:ascii="宋体"/>
          <w:color w:val="auto"/>
          <w:sz w:val="24"/>
          <w:szCs w:val="24"/>
          <w:highlight w:val="none"/>
        </w:rPr>
      </w:pPr>
      <w:r>
        <w:rPr>
          <w:rFonts w:hint="eastAsia" w:ascii="宋体"/>
          <w:color w:val="auto"/>
          <w:sz w:val="24"/>
          <w:szCs w:val="24"/>
          <w:highlight w:val="none"/>
        </w:rPr>
        <w:t>6.基于Matlab语言开发，数据密集计算部分采用C语言。Matlab-C组合保证Nanodcal的计算效率。</w:t>
      </w:r>
    </w:p>
    <w:p>
      <w:pPr>
        <w:spacing w:line="360" w:lineRule="auto"/>
        <w:rPr>
          <w:rFonts w:ascii="宋体"/>
          <w:color w:val="auto"/>
          <w:sz w:val="24"/>
          <w:szCs w:val="24"/>
          <w:highlight w:val="none"/>
        </w:rPr>
      </w:pPr>
      <w:r>
        <w:rPr>
          <w:rFonts w:hint="eastAsia" w:ascii="宋体"/>
          <w:color w:val="auto"/>
          <w:sz w:val="24"/>
          <w:szCs w:val="24"/>
          <w:highlight w:val="none"/>
        </w:rPr>
        <w:t>7.准确计算一维、二维、三维体系的电子结构性质，可以精确计算多种复杂体系的量子输运性质，可以进行高效地并行计算。</w:t>
      </w:r>
    </w:p>
    <w:p>
      <w:pPr>
        <w:spacing w:line="360" w:lineRule="auto"/>
        <w:rPr>
          <w:rFonts w:ascii="宋体"/>
          <w:color w:val="auto"/>
          <w:sz w:val="24"/>
          <w:szCs w:val="24"/>
          <w:highlight w:val="none"/>
        </w:rPr>
      </w:pPr>
      <w:r>
        <w:rPr>
          <w:rFonts w:hint="eastAsia" w:ascii="宋体"/>
          <w:color w:val="auto"/>
          <w:sz w:val="24"/>
          <w:szCs w:val="24"/>
          <w:highlight w:val="none"/>
        </w:rPr>
        <w:t>8.提供优秀的建模和分析工具Device Studio，对多种复杂模型进行高精尖的科学研究。</w:t>
      </w:r>
    </w:p>
    <w:p>
      <w:pPr>
        <w:spacing w:line="360" w:lineRule="auto"/>
        <w:rPr>
          <w:rFonts w:ascii="宋体"/>
          <w:color w:val="auto"/>
          <w:sz w:val="24"/>
          <w:szCs w:val="24"/>
          <w:highlight w:val="none"/>
        </w:rPr>
      </w:pPr>
      <w:r>
        <w:rPr>
          <w:rFonts w:hint="eastAsia" w:ascii="宋体"/>
          <w:color w:val="auto"/>
          <w:sz w:val="24"/>
          <w:szCs w:val="24"/>
          <w:highlight w:val="none"/>
        </w:rPr>
        <w:t>9.Device Studio (DS)可以运行于Windows和Linux (SUSE) 系统；</w:t>
      </w:r>
    </w:p>
    <w:p>
      <w:pPr>
        <w:spacing w:line="360" w:lineRule="auto"/>
        <w:rPr>
          <w:rFonts w:ascii="宋体"/>
          <w:color w:val="auto"/>
          <w:sz w:val="24"/>
          <w:szCs w:val="24"/>
          <w:highlight w:val="none"/>
        </w:rPr>
      </w:pPr>
      <w:r>
        <w:rPr>
          <w:rFonts w:hint="eastAsia" w:ascii="宋体"/>
          <w:color w:val="auto"/>
          <w:sz w:val="24"/>
          <w:szCs w:val="24"/>
          <w:highlight w:val="none"/>
        </w:rPr>
        <w:t>10.不限制并行核数；</w:t>
      </w:r>
    </w:p>
    <w:p>
      <w:pPr>
        <w:spacing w:line="360" w:lineRule="auto"/>
        <w:rPr>
          <w:rFonts w:ascii="宋体"/>
          <w:color w:val="auto"/>
          <w:sz w:val="24"/>
          <w:szCs w:val="24"/>
          <w:highlight w:val="none"/>
        </w:rPr>
      </w:pPr>
      <w:r>
        <w:rPr>
          <w:rFonts w:hint="eastAsia" w:ascii="宋体"/>
          <w:color w:val="auto"/>
          <w:sz w:val="24"/>
          <w:szCs w:val="24"/>
          <w:highlight w:val="none"/>
        </w:rPr>
        <w:t>11.提供远程安装指导，永久免费的电话、邮件等远程技术支持服务；</w:t>
      </w:r>
    </w:p>
    <w:p>
      <w:pPr>
        <w:spacing w:line="360" w:lineRule="auto"/>
        <w:rPr>
          <w:rFonts w:ascii="宋体"/>
          <w:color w:val="auto"/>
          <w:sz w:val="24"/>
          <w:szCs w:val="24"/>
          <w:highlight w:val="none"/>
        </w:rPr>
      </w:pPr>
      <w:r>
        <w:rPr>
          <w:rFonts w:hint="eastAsia" w:ascii="宋体"/>
          <w:color w:val="auto"/>
          <w:sz w:val="24"/>
          <w:szCs w:val="24"/>
          <w:highlight w:val="none"/>
        </w:rPr>
        <w:t>12.永久使用许可；</w:t>
      </w:r>
    </w:p>
    <w:p>
      <w:pPr>
        <w:spacing w:line="360" w:lineRule="auto"/>
        <w:rPr>
          <w:rFonts w:ascii="宋体"/>
          <w:color w:val="auto"/>
          <w:sz w:val="24"/>
          <w:szCs w:val="24"/>
          <w:highlight w:val="none"/>
        </w:rPr>
      </w:pPr>
      <w:r>
        <w:rPr>
          <w:rFonts w:hint="eastAsia" w:ascii="宋体"/>
          <w:color w:val="auto"/>
          <w:sz w:val="24"/>
          <w:szCs w:val="24"/>
          <w:highlight w:val="none"/>
        </w:rPr>
        <w:t>13.十年内免费升级到最新版本；</w:t>
      </w:r>
    </w:p>
    <w:p>
      <w:pPr>
        <w:spacing w:line="360" w:lineRule="auto"/>
        <w:rPr>
          <w:rFonts w:ascii="宋体"/>
          <w:color w:val="auto"/>
          <w:sz w:val="24"/>
          <w:szCs w:val="24"/>
          <w:highlight w:val="none"/>
        </w:rPr>
      </w:pPr>
      <w:r>
        <w:rPr>
          <w:rFonts w:hint="eastAsia" w:ascii="宋体"/>
          <w:color w:val="auto"/>
          <w:sz w:val="24"/>
          <w:szCs w:val="24"/>
          <w:highlight w:val="none"/>
        </w:rPr>
        <w:t>14.提供完整的、经过验证的贋势数据库和基函数；</w:t>
      </w:r>
    </w:p>
    <w:p>
      <w:pPr>
        <w:spacing w:line="360" w:lineRule="auto"/>
        <w:rPr>
          <w:rFonts w:ascii="宋体"/>
          <w:color w:val="auto"/>
          <w:sz w:val="24"/>
          <w:szCs w:val="24"/>
          <w:highlight w:val="none"/>
        </w:rPr>
      </w:pPr>
      <w:r>
        <w:rPr>
          <w:rFonts w:hint="eastAsia" w:ascii="宋体"/>
          <w:color w:val="auto"/>
          <w:sz w:val="24"/>
          <w:szCs w:val="24"/>
          <w:highlight w:val="none"/>
        </w:rPr>
        <w:t>15.提供工具包使用户可自行产生贋势和基函数。</w:t>
      </w:r>
    </w:p>
    <w:p>
      <w:pPr>
        <w:spacing w:line="360" w:lineRule="auto"/>
        <w:rPr>
          <w:rFonts w:ascii="宋体"/>
          <w:color w:val="auto"/>
          <w:sz w:val="24"/>
          <w:szCs w:val="24"/>
          <w:highlight w:val="none"/>
        </w:rPr>
      </w:pPr>
      <w:r>
        <w:rPr>
          <w:rFonts w:hint="eastAsia" w:ascii="宋体"/>
          <w:color w:val="auto"/>
          <w:sz w:val="24"/>
          <w:szCs w:val="24"/>
          <w:highlight w:val="none"/>
        </w:rPr>
        <w:t>（二）硬件平台</w:t>
      </w:r>
    </w:p>
    <w:p>
      <w:pPr>
        <w:spacing w:line="360" w:lineRule="auto"/>
        <w:rPr>
          <w:rFonts w:ascii="宋体"/>
          <w:color w:val="auto"/>
          <w:sz w:val="24"/>
          <w:szCs w:val="24"/>
          <w:highlight w:val="none"/>
        </w:rPr>
      </w:pPr>
      <w:r>
        <w:rPr>
          <w:rFonts w:hint="eastAsia" w:ascii="宋体"/>
          <w:color w:val="auto"/>
          <w:sz w:val="24"/>
          <w:szCs w:val="24"/>
          <w:highlight w:val="none"/>
        </w:rPr>
        <w:t>高性能服务器硬件平台基本参数：</w:t>
      </w:r>
    </w:p>
    <w:p>
      <w:pPr>
        <w:spacing w:line="360" w:lineRule="auto"/>
        <w:rPr>
          <w:rFonts w:ascii="宋体"/>
          <w:color w:val="auto"/>
          <w:sz w:val="24"/>
          <w:szCs w:val="24"/>
          <w:highlight w:val="none"/>
        </w:rPr>
      </w:pPr>
      <w:r>
        <w:rPr>
          <w:rFonts w:hint="eastAsia" w:ascii="宋体"/>
          <w:color w:val="auto"/>
          <w:sz w:val="24"/>
          <w:szCs w:val="24"/>
          <w:highlight w:val="none"/>
        </w:rPr>
        <w:t xml:space="preserve">1. 内存容量256GB（8*32G，最低DDR4-2933MHz，RECC）； </w:t>
      </w:r>
    </w:p>
    <w:p>
      <w:pPr>
        <w:spacing w:line="360" w:lineRule="auto"/>
        <w:rPr>
          <w:rFonts w:ascii="宋体"/>
          <w:color w:val="auto"/>
          <w:sz w:val="24"/>
          <w:szCs w:val="24"/>
          <w:highlight w:val="none"/>
        </w:rPr>
      </w:pPr>
      <w:r>
        <w:rPr>
          <w:rFonts w:hint="eastAsia" w:ascii="宋体"/>
          <w:color w:val="auto"/>
          <w:sz w:val="24"/>
          <w:szCs w:val="24"/>
          <w:highlight w:val="none"/>
        </w:rPr>
        <w:t>2. CPU（双）： ADM-EPYC 7R32（主频不低于2.6GHz）；</w:t>
      </w:r>
    </w:p>
    <w:p>
      <w:pPr>
        <w:spacing w:line="360" w:lineRule="auto"/>
        <w:rPr>
          <w:rFonts w:ascii="宋体"/>
          <w:color w:val="auto"/>
          <w:sz w:val="24"/>
          <w:szCs w:val="24"/>
          <w:highlight w:val="none"/>
        </w:rPr>
      </w:pPr>
      <w:r>
        <w:rPr>
          <w:rFonts w:hint="eastAsia" w:ascii="宋体"/>
          <w:color w:val="auto"/>
          <w:sz w:val="24"/>
          <w:szCs w:val="24"/>
          <w:highlight w:val="none"/>
        </w:rPr>
        <w:t>3. 2TB NVME M.2 PCIE4.0固态硬盘+8TB SATA企业级机械硬盘；</w:t>
      </w:r>
    </w:p>
    <w:p>
      <w:pPr>
        <w:spacing w:line="360" w:lineRule="auto"/>
        <w:rPr>
          <w:rFonts w:ascii="宋体"/>
          <w:color w:val="auto"/>
          <w:sz w:val="24"/>
          <w:szCs w:val="24"/>
          <w:highlight w:val="none"/>
        </w:rPr>
      </w:pPr>
      <w:r>
        <w:rPr>
          <w:rFonts w:hint="eastAsia" w:ascii="宋体"/>
          <w:color w:val="auto"/>
          <w:sz w:val="24"/>
          <w:szCs w:val="24"/>
          <w:highlight w:val="none"/>
        </w:rPr>
        <w:t>4.超微H12DSI-N6双路服务器主版（BMC功能）；</w:t>
      </w:r>
    </w:p>
    <w:p>
      <w:pPr>
        <w:spacing w:line="360" w:lineRule="auto"/>
        <w:rPr>
          <w:rFonts w:ascii="宋体"/>
          <w:color w:val="auto"/>
          <w:sz w:val="24"/>
          <w:szCs w:val="24"/>
          <w:highlight w:val="none"/>
        </w:rPr>
      </w:pPr>
      <w:r>
        <w:rPr>
          <w:rFonts w:hint="eastAsia" w:ascii="宋体"/>
          <w:color w:val="auto"/>
          <w:sz w:val="24"/>
          <w:szCs w:val="24"/>
          <w:highlight w:val="none"/>
        </w:rPr>
        <w:t>5. GEFORCE RTX 3090，24GB，涡轮公版；</w:t>
      </w:r>
    </w:p>
    <w:p>
      <w:pPr>
        <w:spacing w:line="360" w:lineRule="auto"/>
        <w:rPr>
          <w:rFonts w:ascii="宋体"/>
          <w:color w:val="auto"/>
          <w:sz w:val="24"/>
          <w:szCs w:val="24"/>
          <w:highlight w:val="none"/>
        </w:rPr>
      </w:pPr>
      <w:r>
        <w:rPr>
          <w:rFonts w:hint="eastAsia" w:ascii="宋体"/>
          <w:color w:val="auto"/>
          <w:sz w:val="24"/>
          <w:szCs w:val="24"/>
          <w:highlight w:val="none"/>
        </w:rPr>
        <w:t>6. 显示器不小于27吋，2K；</w:t>
      </w:r>
    </w:p>
    <w:p>
      <w:pPr>
        <w:spacing w:line="360" w:lineRule="auto"/>
        <w:rPr>
          <w:rFonts w:ascii="宋体"/>
          <w:color w:val="auto"/>
          <w:sz w:val="24"/>
          <w:szCs w:val="24"/>
          <w:highlight w:val="none"/>
        </w:rPr>
      </w:pPr>
      <w:r>
        <w:rPr>
          <w:rFonts w:hint="eastAsia" w:ascii="宋体"/>
          <w:color w:val="auto"/>
          <w:sz w:val="24"/>
          <w:szCs w:val="24"/>
          <w:highlight w:val="none"/>
        </w:rPr>
        <w:t>7. 两个GbE电口 ，一个远程管理口；4散热风扇；</w:t>
      </w:r>
    </w:p>
    <w:p>
      <w:pPr>
        <w:spacing w:line="360" w:lineRule="auto"/>
        <w:rPr>
          <w:rFonts w:ascii="宋体"/>
          <w:color w:val="auto"/>
          <w:sz w:val="24"/>
          <w:szCs w:val="24"/>
          <w:highlight w:val="none"/>
        </w:rPr>
      </w:pPr>
      <w:r>
        <w:rPr>
          <w:rFonts w:hint="eastAsia" w:ascii="宋体"/>
          <w:color w:val="auto"/>
          <w:sz w:val="24"/>
          <w:szCs w:val="24"/>
          <w:highlight w:val="none"/>
        </w:rPr>
        <w:t xml:space="preserve">8. </w:t>
      </w:r>
      <w:r>
        <w:rPr>
          <w:rFonts w:ascii="宋体" w:hAnsi="宋体" w:eastAsia="宋体" w:cs="宋体"/>
          <w:color w:val="auto"/>
          <w:sz w:val="24"/>
          <w:szCs w:val="24"/>
          <w:highlight w:val="none"/>
        </w:rPr>
        <w:t>1650W金牌全模组服务器电源</w:t>
      </w:r>
      <w:r>
        <w:rPr>
          <w:rFonts w:hint="eastAsia" w:ascii="宋体"/>
          <w:color w:val="auto"/>
          <w:sz w:val="24"/>
          <w:szCs w:val="24"/>
          <w:highlight w:val="none"/>
        </w:rPr>
        <w:t>；</w:t>
      </w:r>
    </w:p>
    <w:p>
      <w:pPr>
        <w:spacing w:line="360" w:lineRule="auto"/>
        <w:rPr>
          <w:rFonts w:ascii="宋体"/>
          <w:color w:val="auto"/>
          <w:sz w:val="24"/>
          <w:szCs w:val="24"/>
          <w:highlight w:val="none"/>
        </w:rPr>
      </w:pPr>
      <w:r>
        <w:rPr>
          <w:rFonts w:hint="eastAsia" w:ascii="宋体"/>
          <w:color w:val="auto"/>
          <w:sz w:val="24"/>
          <w:szCs w:val="24"/>
          <w:highlight w:val="none"/>
        </w:rPr>
        <w:t>9. 输入设备鼠标有线鼠标；键盘有线键盘；前(侧)面接口USB2;有音频接口；读卡器有后面接口视频接口VGA\HDMI接口；音频接口有USB4 RJ45；4个散热风扇；交流电，50–60Hz。</w:t>
      </w:r>
    </w:p>
    <w:p>
      <w:pPr>
        <w:pStyle w:val="4"/>
        <w:spacing w:line="360" w:lineRule="auto"/>
        <w:rPr>
          <w:color w:val="auto"/>
          <w:sz w:val="24"/>
          <w:szCs w:val="24"/>
          <w:highlight w:val="none"/>
        </w:rPr>
      </w:pPr>
      <w:r>
        <w:rPr>
          <w:rFonts w:hint="eastAsia"/>
          <w:color w:val="auto"/>
          <w:sz w:val="24"/>
          <w:szCs w:val="24"/>
          <w:highlight w:val="none"/>
        </w:rPr>
        <w:t>四、其它技术要求</w:t>
      </w:r>
      <w:bookmarkEnd w:id="32"/>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1.根据采购人数据共享和开放的要求，供应商须提供系统所有数据字典</w:t>
      </w:r>
      <w:r>
        <w:rPr>
          <w:rFonts w:hint="eastAsia" w:ascii="宋体" w:hAnsi="宋体"/>
          <w:color w:val="auto"/>
          <w:sz w:val="24"/>
          <w:szCs w:val="24"/>
          <w:highlight w:val="none"/>
        </w:rPr>
        <w:t>；能</w:t>
      </w:r>
      <w:r>
        <w:rPr>
          <w:rFonts w:hint="eastAsia" w:ascii="宋体" w:hAnsi="宋体"/>
          <w:color w:val="auto"/>
          <w:sz w:val="24"/>
          <w:szCs w:val="24"/>
          <w:highlight w:val="none"/>
          <w:lang w:eastAsia="zh-Hans"/>
        </w:rPr>
        <w:t>实现与采购人其他相关系统对接，并配合采购人完成数据采集。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2.供应商在质保期内、外都应当免费提供系统数据接口。</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3.</w:t>
      </w:r>
      <w:r>
        <w:rPr>
          <w:rFonts w:hint="eastAsia" w:ascii="宋体" w:hAnsi="宋体"/>
          <w:color w:val="auto"/>
          <w:sz w:val="24"/>
          <w:szCs w:val="24"/>
          <w:highlight w:val="none"/>
        </w:rPr>
        <w:t>系统参照</w:t>
      </w:r>
      <w:r>
        <w:rPr>
          <w:rFonts w:hint="eastAsia" w:ascii="宋体" w:hAnsi="宋体"/>
          <w:color w:val="auto"/>
          <w:sz w:val="24"/>
          <w:szCs w:val="24"/>
          <w:highlight w:val="none"/>
          <w:lang w:eastAsia="zh-Hans"/>
        </w:rPr>
        <w:t>等保二级</w:t>
      </w:r>
      <w:r>
        <w:rPr>
          <w:rFonts w:hint="eastAsia" w:ascii="宋体" w:hAnsi="宋体"/>
          <w:color w:val="auto"/>
          <w:sz w:val="24"/>
          <w:szCs w:val="24"/>
          <w:highlight w:val="none"/>
        </w:rPr>
        <w:t>规范建设</w:t>
      </w:r>
      <w:r>
        <w:rPr>
          <w:rFonts w:hint="eastAsia" w:ascii="宋体" w:hAnsi="宋体"/>
          <w:color w:val="auto"/>
          <w:sz w:val="24"/>
          <w:szCs w:val="24"/>
          <w:highlight w:val="none"/>
          <w:lang w:eastAsia="zh-Hans"/>
        </w:rPr>
        <w:t>，未来如果确定为二级，应参照等保二级技术及管理规范；根据采购人确定的系统信息安全保护等级，供应商配合采购人完成信息系统安全等级保护备案、测评和整改工作。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落实网络安全法、个人信息保护法等，按照“谁主管、谁负责，谁使用、谁负责，谁运维、谁负责”原则，完善网络安全保护措施，执行系统运行相关管理制度；不得在服务器上存放、安装与业务无关的任何文件、软件；在软件及相关组件的任何环节，不得使用弱口令，系统中所有身份角色用户登录页面应具备防暴力破解口令、口令强度校验功能；软件系统应具备完善的日志记录功能；不得安装任何远程控制软件，系统运维应通过采购人VPN、堡垒机进行；不得禁用操作系统防火墙、杀毒软件及其他安全软件。</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5.供应商不得通过硬件加密狗提供软件授权。</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6.项目所投产品必须能在中国关境内合法销售、与软件无冲突、与采购人现有智慧校园系统无兼容性问题并能提供相应服务。为保证系统的安全性和保密性，平台或软件系统原则上须独立部署于采购人指定的校园网络环境中（信息办数据中心机房IT环境）；如只能提供云账号访问的，云端系统产生的数据所有权归采购人所有，供应商无条件提供数据下载、数据共享等服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7.</w:t>
      </w:r>
      <w:r>
        <w:rPr>
          <w:rFonts w:hint="eastAsia" w:ascii="宋体" w:hAnsi="宋体"/>
          <w:color w:val="auto"/>
          <w:sz w:val="24"/>
          <w:szCs w:val="24"/>
          <w:highlight w:val="none"/>
        </w:rPr>
        <w:t>供应商</w:t>
      </w:r>
      <w:r>
        <w:rPr>
          <w:rFonts w:hint="eastAsia" w:ascii="宋体" w:hAnsi="宋体"/>
          <w:color w:val="auto"/>
          <w:sz w:val="24"/>
          <w:szCs w:val="24"/>
          <w:highlight w:val="none"/>
          <w:lang w:eastAsia="zh-Hans"/>
        </w:rPr>
        <w:t>须完全同意并遵守《重庆工商大学信息系统项目建设通用技术规范》。</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8</w:t>
      </w:r>
      <w:r>
        <w:rPr>
          <w:rFonts w:hint="eastAsia" w:ascii="宋体" w:hAnsi="宋体"/>
          <w:color w:val="auto"/>
          <w:sz w:val="24"/>
          <w:szCs w:val="24"/>
          <w:highlight w:val="none"/>
          <w:lang w:eastAsia="zh-Hans"/>
        </w:rPr>
        <w:t>.</w:t>
      </w:r>
      <w:r>
        <w:rPr>
          <w:rFonts w:hint="eastAsia" w:ascii="宋体" w:hAnsi="宋体"/>
          <w:color w:val="auto"/>
          <w:sz w:val="24"/>
          <w:szCs w:val="24"/>
          <w:highlight w:val="none"/>
        </w:rPr>
        <w:t>按技术要求实现</w:t>
      </w:r>
      <w:r>
        <w:rPr>
          <w:rFonts w:hint="eastAsia" w:ascii="宋体" w:hAnsi="宋体"/>
          <w:color w:val="auto"/>
          <w:sz w:val="24"/>
          <w:szCs w:val="24"/>
          <w:highlight w:val="none"/>
          <w:lang w:eastAsia="zh-Hans"/>
        </w:rPr>
        <w:t>与其他平台对接，</w:t>
      </w:r>
      <w:r>
        <w:rPr>
          <w:rFonts w:hint="eastAsia" w:ascii="宋体" w:hAnsi="宋体"/>
          <w:color w:val="auto"/>
          <w:sz w:val="24"/>
          <w:szCs w:val="24"/>
          <w:highlight w:val="none"/>
        </w:rPr>
        <w:t>实现数据上报和数据交换。</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9</w:t>
      </w:r>
      <w:r>
        <w:rPr>
          <w:rFonts w:hint="eastAsia" w:ascii="宋体" w:hAnsi="宋体"/>
          <w:color w:val="auto"/>
          <w:sz w:val="24"/>
          <w:szCs w:val="24"/>
          <w:highlight w:val="none"/>
          <w:lang w:eastAsia="zh-Hans"/>
        </w:rPr>
        <w:t>.版权与知识保护</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（1）数据产权归采购人所有，供应商不得泄露采购人内部数据，也不得将采购人内部数据用于商业用途。</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供应商需郑重承诺并保证在世界范围的任何法域内使用、销售、许诺销售、进口、出口合同产品不会侵犯任何第三方知识产权，供应商需保证不存在任何悬而未决的或潜在的关于合同产品可能侵犯第三方知识产权的诉讼、警示通知或纠纷程序。</w:t>
      </w:r>
    </w:p>
    <w:p>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w:t>
      </w:r>
      <w:r>
        <w:rPr>
          <w:rFonts w:ascii="宋体" w:hAnsi="宋体" w:cs="宋体"/>
          <w:color w:val="auto"/>
          <w:sz w:val="24"/>
          <w:highlight w:val="none"/>
        </w:rPr>
        <w:t>系统安全：网络安全和数据安全达到国家安全技术标准；</w:t>
      </w:r>
      <w:r>
        <w:rPr>
          <w:rFonts w:hint="eastAsia" w:ascii="宋体" w:hAnsi="宋体" w:cs="宋体"/>
          <w:color w:val="auto"/>
          <w:sz w:val="24"/>
          <w:highlight w:val="none"/>
        </w:rPr>
        <w:t>供应商依照合同为采购人定制开发的功能产品（包括源码、程序、文件、文档资料等），其所有权和版权属采购人，需完整交付与采购人。未经采购人许可，供应商不得公布相关数据、文件、源码，不得复制、传播、反编译、出售、出租或者许可他人使用其相关的程序、文件、源码和反编译等；所提供的的软件产品均不存在收集或泄露采购人保密信息（包括但不限于：采购人信息、重要资料等）的行为，不以任何目的（包括学习或研究等目的），以任何方式和媒介复制、利用或供第三方使用采购人数据库中数据。</w:t>
      </w:r>
    </w:p>
    <w:p>
      <w:pPr>
        <w:spacing w:line="400" w:lineRule="exact"/>
        <w:ind w:firstLine="573"/>
        <w:jc w:val="left"/>
        <w:rPr>
          <w:b/>
          <w:bCs/>
          <w:color w:val="auto"/>
          <w:sz w:val="24"/>
          <w:szCs w:val="24"/>
          <w:highlight w:val="none"/>
          <w:u w:val="single"/>
        </w:rPr>
      </w:pPr>
    </w:p>
    <w:p>
      <w:pPr>
        <w:rPr>
          <w:color w:val="auto"/>
          <w:sz w:val="36"/>
          <w:szCs w:val="30"/>
          <w:highlight w:val="none"/>
        </w:rPr>
      </w:pPr>
      <w:r>
        <w:rPr>
          <w:color w:val="auto"/>
          <w:sz w:val="36"/>
          <w:szCs w:val="30"/>
          <w:highlight w:val="none"/>
        </w:rPr>
        <w:br w:type="page"/>
      </w:r>
    </w:p>
    <w:p>
      <w:pPr>
        <w:pStyle w:val="3"/>
        <w:spacing w:before="240" w:beforeLines="100" w:after="0" w:line="360" w:lineRule="auto"/>
        <w:jc w:val="center"/>
        <w:rPr>
          <w:rFonts w:ascii="Times New Roman" w:hAnsi="Times New Roman" w:eastAsia="宋体"/>
          <w:bCs/>
          <w:color w:val="auto"/>
          <w:sz w:val="36"/>
          <w:szCs w:val="30"/>
          <w:highlight w:val="none"/>
        </w:rPr>
      </w:pPr>
      <w:bookmarkStart w:id="33" w:name="_Toc32126"/>
      <w:bookmarkStart w:id="34" w:name="_Toc1539"/>
      <w:r>
        <w:rPr>
          <w:rFonts w:ascii="Times New Roman" w:hAnsi="Times New Roman" w:eastAsia="宋体"/>
          <w:bCs/>
          <w:color w:val="auto"/>
          <w:sz w:val="36"/>
          <w:szCs w:val="30"/>
          <w:highlight w:val="none"/>
        </w:rPr>
        <w:t>第三篇  谈判项目商务需求</w:t>
      </w:r>
      <w:bookmarkEnd w:id="31"/>
      <w:bookmarkEnd w:id="33"/>
      <w:bookmarkEnd w:id="34"/>
    </w:p>
    <w:p>
      <w:pPr>
        <w:pStyle w:val="4"/>
        <w:spacing w:line="360" w:lineRule="auto"/>
        <w:rPr>
          <w:color w:val="auto"/>
          <w:sz w:val="24"/>
          <w:szCs w:val="24"/>
          <w:highlight w:val="none"/>
        </w:rPr>
      </w:pPr>
      <w:bookmarkStart w:id="35" w:name="_Toc115877696"/>
      <w:bookmarkStart w:id="36" w:name="_Toc130806205"/>
      <w:bookmarkStart w:id="37" w:name="_Toc24204"/>
      <w:bookmarkStart w:id="38" w:name="_Toc19083"/>
      <w:bookmarkStart w:id="39" w:name="_Toc129178871"/>
      <w:bookmarkStart w:id="40" w:name="_Toc11641055"/>
      <w:bookmarkStart w:id="41" w:name="_Toc12789059"/>
      <w:r>
        <w:rPr>
          <w:rFonts w:hint="eastAsia"/>
          <w:color w:val="auto"/>
          <w:sz w:val="24"/>
          <w:szCs w:val="24"/>
          <w:highlight w:val="none"/>
        </w:rPr>
        <w:t>一、交货期、交货地点及验收方式</w:t>
      </w:r>
      <w:bookmarkEnd w:id="35"/>
      <w:bookmarkEnd w:id="36"/>
      <w:bookmarkEnd w:id="37"/>
      <w:bookmarkEnd w:id="38"/>
      <w:bookmarkEnd w:id="39"/>
    </w:p>
    <w:p>
      <w:pPr>
        <w:snapToGrid w:val="0"/>
        <w:spacing w:line="400" w:lineRule="exact"/>
        <w:ind w:firstLine="540"/>
        <w:rPr>
          <w:color w:val="auto"/>
          <w:sz w:val="24"/>
          <w:szCs w:val="24"/>
          <w:highlight w:val="none"/>
        </w:rPr>
      </w:pPr>
      <w:r>
        <w:rPr>
          <w:rFonts w:hint="eastAsia"/>
          <w:color w:val="auto"/>
          <w:sz w:val="24"/>
          <w:szCs w:val="24"/>
          <w:highlight w:val="none"/>
        </w:rPr>
        <w:t>（一）</w:t>
      </w:r>
      <w:bookmarkStart w:id="42" w:name="_Hlk74928453"/>
      <w:r>
        <w:rPr>
          <w:rFonts w:hint="eastAsia"/>
          <w:color w:val="auto"/>
          <w:sz w:val="24"/>
          <w:szCs w:val="24"/>
          <w:highlight w:val="none"/>
        </w:rPr>
        <w:t>实施（交货）时间</w:t>
      </w:r>
    </w:p>
    <w:bookmarkEnd w:id="42"/>
    <w:p>
      <w:pPr>
        <w:snapToGrid w:val="0"/>
        <w:spacing w:line="440" w:lineRule="exact"/>
        <w:ind w:firstLine="480" w:firstLineChars="200"/>
        <w:rPr>
          <w:bCs/>
          <w:color w:val="auto"/>
          <w:sz w:val="24"/>
          <w:szCs w:val="24"/>
          <w:highlight w:val="none"/>
        </w:rPr>
      </w:pPr>
      <w:r>
        <w:rPr>
          <w:rFonts w:hint="eastAsia"/>
          <w:color w:val="auto"/>
          <w:sz w:val="24"/>
          <w:szCs w:val="24"/>
          <w:highlight w:val="none"/>
        </w:rPr>
        <w:t>1.供应商应在采购合同签订之日起，</w:t>
      </w:r>
      <w:r>
        <w:rPr>
          <w:rFonts w:hint="eastAsia"/>
          <w:color w:val="auto"/>
          <w:sz w:val="24"/>
          <w:szCs w:val="24"/>
          <w:highlight w:val="none"/>
          <w:lang w:val="en-US" w:eastAsia="zh-CN"/>
        </w:rPr>
        <w:t>10</w:t>
      </w:r>
      <w:r>
        <w:rPr>
          <w:rFonts w:hint="eastAsia"/>
          <w:color w:val="auto"/>
          <w:sz w:val="24"/>
          <w:szCs w:val="24"/>
          <w:highlight w:val="none"/>
        </w:rPr>
        <w:t>个</w:t>
      </w:r>
      <w:r>
        <w:rPr>
          <w:bCs/>
          <w:color w:val="auto"/>
          <w:sz w:val="24"/>
          <w:szCs w:val="24"/>
          <w:highlight w:val="none"/>
        </w:rPr>
        <w:t>日历日内完成系统安装部署、上线，并达到试运行条件</w:t>
      </w:r>
      <w:r>
        <w:rPr>
          <w:rFonts w:hint="eastAsia"/>
          <w:bCs/>
          <w:color w:val="auto"/>
          <w:sz w:val="24"/>
          <w:szCs w:val="24"/>
          <w:highlight w:val="none"/>
        </w:rPr>
        <w:t>；</w:t>
      </w:r>
    </w:p>
    <w:p>
      <w:pPr>
        <w:snapToGrid w:val="0"/>
        <w:spacing w:line="440" w:lineRule="exact"/>
        <w:ind w:firstLine="480" w:firstLineChars="200"/>
        <w:rPr>
          <w:rFonts w:ascii="宋体" w:hAnsi="宋体"/>
          <w:bCs/>
          <w:color w:val="auto"/>
          <w:sz w:val="24"/>
          <w:szCs w:val="24"/>
          <w:highlight w:val="none"/>
        </w:rPr>
      </w:pPr>
      <w:r>
        <w:rPr>
          <w:rFonts w:hint="eastAsia"/>
          <w:bCs/>
          <w:color w:val="auto"/>
          <w:sz w:val="24"/>
          <w:szCs w:val="24"/>
          <w:highlight w:val="none"/>
        </w:rPr>
        <w:t>2.采购人需求部门同意开始试运行，</w:t>
      </w:r>
      <w:r>
        <w:rPr>
          <w:rFonts w:hint="eastAsia" w:ascii="宋体" w:hAnsi="宋体"/>
          <w:bCs/>
          <w:color w:val="auto"/>
          <w:sz w:val="24"/>
          <w:szCs w:val="24"/>
          <w:highlight w:val="none"/>
        </w:rPr>
        <w:t>整个系统须试运</w:t>
      </w:r>
      <w:r>
        <w:rPr>
          <w:rFonts w:hint="eastAsia"/>
          <w:color w:val="auto"/>
          <w:sz w:val="24"/>
          <w:szCs w:val="24"/>
          <w:highlight w:val="none"/>
        </w:rPr>
        <w:t>行</w:t>
      </w:r>
      <w:r>
        <w:rPr>
          <w:rFonts w:hint="eastAsia"/>
          <w:color w:val="auto"/>
          <w:sz w:val="24"/>
          <w:szCs w:val="24"/>
          <w:highlight w:val="none"/>
          <w:lang w:val="en-US" w:eastAsia="zh-CN"/>
        </w:rPr>
        <w:t>30</w:t>
      </w:r>
      <w:r>
        <w:rPr>
          <w:rFonts w:hint="eastAsia"/>
          <w:color w:val="auto"/>
          <w:sz w:val="24"/>
          <w:szCs w:val="24"/>
          <w:highlight w:val="none"/>
        </w:rPr>
        <w:t>个日历</w:t>
      </w:r>
      <w:r>
        <w:rPr>
          <w:rFonts w:hint="eastAsia" w:ascii="宋体" w:hAnsi="宋体"/>
          <w:bCs/>
          <w:color w:val="auto"/>
          <w:sz w:val="24"/>
          <w:szCs w:val="24"/>
          <w:highlight w:val="none"/>
        </w:rPr>
        <w:t>日后进行试运行验收；</w:t>
      </w:r>
    </w:p>
    <w:p>
      <w:pPr>
        <w:snapToGrid w:val="0"/>
        <w:spacing w:line="400" w:lineRule="exact"/>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自试运行验收合格之日起，整个系统稳定运行</w:t>
      </w:r>
      <w:r>
        <w:rPr>
          <w:rFonts w:hint="eastAsia"/>
          <w:color w:val="auto"/>
          <w:sz w:val="24"/>
          <w:szCs w:val="24"/>
          <w:highlight w:val="none"/>
          <w:lang w:val="en-US" w:eastAsia="zh-CN"/>
        </w:rPr>
        <w:t>30</w:t>
      </w:r>
      <w:r>
        <w:rPr>
          <w:rFonts w:hint="eastAsia"/>
          <w:color w:val="auto"/>
          <w:sz w:val="24"/>
          <w:szCs w:val="24"/>
          <w:highlight w:val="none"/>
        </w:rPr>
        <w:t>个日历日</w:t>
      </w:r>
      <w:r>
        <w:rPr>
          <w:rFonts w:hint="eastAsia"/>
          <w:bCs/>
          <w:color w:val="auto"/>
          <w:sz w:val="24"/>
          <w:szCs w:val="24"/>
          <w:highlight w:val="none"/>
        </w:rPr>
        <w:t>，在无任何运行问题的情况下进行正式验收。</w:t>
      </w:r>
    </w:p>
    <w:p>
      <w:pPr>
        <w:snapToGrid w:val="0"/>
        <w:spacing w:line="400" w:lineRule="exact"/>
        <w:ind w:firstLine="540"/>
        <w:rPr>
          <w:color w:val="auto"/>
          <w:sz w:val="24"/>
          <w:szCs w:val="24"/>
          <w:highlight w:val="none"/>
        </w:rPr>
      </w:pPr>
      <w:r>
        <w:rPr>
          <w:rFonts w:hint="eastAsia"/>
          <w:color w:val="auto"/>
          <w:sz w:val="24"/>
          <w:szCs w:val="24"/>
          <w:highlight w:val="none"/>
        </w:rPr>
        <w:t>（二）实施（交货）地点</w:t>
      </w:r>
    </w:p>
    <w:p>
      <w:pPr>
        <w:snapToGrid w:val="0"/>
        <w:spacing w:line="400" w:lineRule="exact"/>
        <w:ind w:firstLine="540"/>
        <w:rPr>
          <w:color w:val="auto"/>
          <w:sz w:val="24"/>
          <w:szCs w:val="24"/>
          <w:highlight w:val="none"/>
        </w:rPr>
      </w:pPr>
      <w:r>
        <w:rPr>
          <w:rFonts w:hint="eastAsia"/>
          <w:color w:val="auto"/>
          <w:sz w:val="24"/>
          <w:szCs w:val="24"/>
          <w:highlight w:val="none"/>
        </w:rPr>
        <w:t>重庆工商大学慧智楼405室。</w:t>
      </w:r>
    </w:p>
    <w:p>
      <w:pPr>
        <w:snapToGrid w:val="0"/>
        <w:spacing w:line="400" w:lineRule="exact"/>
        <w:ind w:firstLine="540"/>
        <w:rPr>
          <w:color w:val="auto"/>
          <w:sz w:val="24"/>
          <w:szCs w:val="24"/>
          <w:highlight w:val="none"/>
        </w:rPr>
      </w:pPr>
      <w:r>
        <w:rPr>
          <w:rFonts w:hint="eastAsia"/>
          <w:color w:val="auto"/>
          <w:sz w:val="24"/>
          <w:szCs w:val="24"/>
          <w:highlight w:val="none"/>
        </w:rPr>
        <w:t>（三）硬件验收方式</w:t>
      </w:r>
    </w:p>
    <w:p>
      <w:pPr>
        <w:snapToGrid w:val="0"/>
        <w:spacing w:line="400" w:lineRule="exact"/>
        <w:ind w:firstLine="540"/>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zh-TW"/>
        </w:rPr>
        <w:t>出厂核验：供应商</w:t>
      </w:r>
      <w:r>
        <w:rPr>
          <w:color w:val="auto"/>
          <w:sz w:val="24"/>
          <w:szCs w:val="24"/>
          <w:highlight w:val="none"/>
          <w:lang w:val="zh-TW" w:eastAsia="zh-TW"/>
        </w:rPr>
        <w:t>供货前，</w:t>
      </w:r>
      <w:r>
        <w:rPr>
          <w:rFonts w:hint="eastAsia"/>
          <w:color w:val="auto"/>
          <w:sz w:val="24"/>
          <w:szCs w:val="24"/>
          <w:highlight w:val="none"/>
          <w:lang w:val="zh-TW" w:eastAsia="zh-TW"/>
        </w:rPr>
        <w:t>做好所投产品的出厂核验，确保其技术参数</w:t>
      </w:r>
      <w:r>
        <w:rPr>
          <w:rFonts w:hint="eastAsia"/>
          <w:color w:val="auto"/>
          <w:sz w:val="24"/>
          <w:szCs w:val="24"/>
          <w:highlight w:val="none"/>
          <w:lang w:val="zh-TW"/>
        </w:rPr>
        <w:t>和</w:t>
      </w:r>
      <w:r>
        <w:rPr>
          <w:rFonts w:hint="eastAsia"/>
          <w:color w:val="auto"/>
          <w:sz w:val="24"/>
          <w:szCs w:val="24"/>
          <w:highlight w:val="none"/>
          <w:lang w:val="zh-TW" w:eastAsia="zh-TW"/>
        </w:rPr>
        <w:t>规格型号完全满足采购文件的相关要求。</w:t>
      </w:r>
    </w:p>
    <w:p>
      <w:pPr>
        <w:snapToGrid w:val="0"/>
        <w:spacing w:line="400" w:lineRule="exact"/>
        <w:ind w:firstLine="540"/>
        <w:rPr>
          <w:color w:val="auto"/>
          <w:sz w:val="24"/>
          <w:szCs w:val="24"/>
          <w:highlight w:val="none"/>
        </w:rPr>
      </w:pPr>
      <w:r>
        <w:rPr>
          <w:rFonts w:hint="eastAsia"/>
          <w:color w:val="auto"/>
          <w:sz w:val="24"/>
          <w:szCs w:val="24"/>
          <w:highlight w:val="none"/>
        </w:rPr>
        <w:t>2.到货验收。</w:t>
      </w:r>
      <w:r>
        <w:rPr>
          <w:rFonts w:hint="eastAsia"/>
          <w:color w:val="auto"/>
          <w:sz w:val="24"/>
          <w:szCs w:val="24"/>
          <w:highlight w:val="none"/>
          <w:lang w:val="zh-TW" w:eastAsia="zh-TW"/>
        </w:rPr>
        <w:t>由</w:t>
      </w:r>
      <w:r>
        <w:rPr>
          <w:rFonts w:hint="eastAsia"/>
          <w:color w:val="auto"/>
          <w:sz w:val="24"/>
          <w:szCs w:val="24"/>
          <w:highlight w:val="none"/>
          <w:lang w:val="zh-TW"/>
        </w:rPr>
        <w:t>采购人需求部门</w:t>
      </w:r>
      <w:r>
        <w:rPr>
          <w:rFonts w:hint="eastAsia"/>
          <w:color w:val="auto"/>
          <w:sz w:val="24"/>
          <w:szCs w:val="24"/>
          <w:highlight w:val="none"/>
          <w:lang w:val="zh-TW" w:eastAsia="zh-TW"/>
        </w:rPr>
        <w:t>牵头进行。</w:t>
      </w:r>
      <w:r>
        <w:rPr>
          <w:rFonts w:hint="eastAsia"/>
          <w:color w:val="auto"/>
          <w:sz w:val="24"/>
          <w:szCs w:val="24"/>
          <w:highlight w:val="none"/>
        </w:rPr>
        <w:t>货物到达现场后，采购人需求部门应做好到货验收，严格按照合同及招标文件的产品清单核实查验到货产品的品牌、型号及规格参数。供应商应在采购人需求部门在场情况下当面开箱，共同清点、检查外观，作出开箱记录，双方签字确认。若到货产品品牌、型号及规格参数等与合同及招标文件的规定不符的，供应商不得进行设备安装，采购人需求部门应及时告知采购人采购管理部门与归口管理部门。</w:t>
      </w:r>
    </w:p>
    <w:p>
      <w:pPr>
        <w:snapToGrid w:val="0"/>
        <w:spacing w:line="400" w:lineRule="exact"/>
        <w:ind w:firstLine="540"/>
        <w:rPr>
          <w:color w:val="auto"/>
          <w:sz w:val="24"/>
          <w:szCs w:val="24"/>
          <w:highlight w:val="none"/>
        </w:rPr>
      </w:pPr>
      <w:r>
        <w:rPr>
          <w:rFonts w:hint="eastAsia"/>
          <w:color w:val="auto"/>
          <w:sz w:val="24"/>
          <w:szCs w:val="24"/>
          <w:highlight w:val="none"/>
        </w:rPr>
        <w:t>3.供应商应保证货物到达采购人所在地完好无损，如有缺漏、损坏，由供应商负责调换、补齐或赔偿。</w:t>
      </w:r>
    </w:p>
    <w:p>
      <w:pPr>
        <w:snapToGrid w:val="0"/>
        <w:spacing w:line="400" w:lineRule="exact"/>
        <w:ind w:firstLine="540"/>
        <w:rPr>
          <w:color w:val="auto"/>
          <w:sz w:val="24"/>
          <w:szCs w:val="24"/>
          <w:highlight w:val="none"/>
        </w:rPr>
      </w:pPr>
      <w:r>
        <w:rPr>
          <w:rFonts w:hint="eastAsia"/>
          <w:color w:val="auto"/>
          <w:sz w:val="24"/>
          <w:szCs w:val="24"/>
          <w:highlight w:val="none"/>
        </w:rPr>
        <w:t>4.供应商应提供完备的技术资料、装箱单和合格证等，并派遣专业技术人员进行现场安装调试。验收合格条件如下：</w:t>
      </w:r>
    </w:p>
    <w:p>
      <w:pPr>
        <w:snapToGrid w:val="0"/>
        <w:spacing w:line="400" w:lineRule="exact"/>
        <w:ind w:firstLine="540"/>
        <w:rPr>
          <w:color w:val="auto"/>
          <w:sz w:val="24"/>
          <w:szCs w:val="24"/>
          <w:highlight w:val="none"/>
        </w:rPr>
      </w:pPr>
      <w:r>
        <w:rPr>
          <w:rFonts w:hint="eastAsia"/>
          <w:color w:val="auto"/>
          <w:sz w:val="24"/>
          <w:szCs w:val="24"/>
          <w:highlight w:val="none"/>
        </w:rPr>
        <w:t>4.1设备品种、规格、数量、技术参数以及商品品牌、生产厂家等与采购合同一致，性能指标达到采购文件规定的标准。</w:t>
      </w:r>
    </w:p>
    <w:p>
      <w:pPr>
        <w:snapToGrid w:val="0"/>
        <w:spacing w:line="400" w:lineRule="exact"/>
        <w:ind w:firstLine="540"/>
        <w:rPr>
          <w:color w:val="auto"/>
          <w:sz w:val="24"/>
          <w:szCs w:val="24"/>
          <w:highlight w:val="none"/>
        </w:rPr>
      </w:pPr>
      <w:r>
        <w:rPr>
          <w:rFonts w:hint="eastAsia"/>
          <w:color w:val="auto"/>
          <w:sz w:val="24"/>
          <w:szCs w:val="24"/>
          <w:highlight w:val="none"/>
        </w:rPr>
        <w:t>4.2货物技术资料、装箱单、合格证等资料齐全。</w:t>
      </w:r>
    </w:p>
    <w:p>
      <w:pPr>
        <w:snapToGrid w:val="0"/>
        <w:spacing w:line="400" w:lineRule="exact"/>
        <w:ind w:firstLine="540"/>
        <w:rPr>
          <w:color w:val="auto"/>
          <w:sz w:val="24"/>
          <w:szCs w:val="24"/>
          <w:highlight w:val="none"/>
        </w:rPr>
      </w:pPr>
      <w:r>
        <w:rPr>
          <w:rFonts w:hint="eastAsia"/>
          <w:color w:val="auto"/>
          <w:sz w:val="24"/>
          <w:szCs w:val="24"/>
          <w:highlight w:val="none"/>
        </w:rPr>
        <w:t>4.3在系统试运行期间所出现的问题得到解决，并运行正常。</w:t>
      </w:r>
    </w:p>
    <w:p>
      <w:pPr>
        <w:snapToGrid w:val="0"/>
        <w:spacing w:line="400" w:lineRule="exact"/>
        <w:ind w:firstLine="540"/>
        <w:rPr>
          <w:color w:val="auto"/>
          <w:sz w:val="24"/>
          <w:szCs w:val="24"/>
          <w:highlight w:val="none"/>
        </w:rPr>
      </w:pPr>
      <w:r>
        <w:rPr>
          <w:rFonts w:hint="eastAsia"/>
          <w:color w:val="auto"/>
          <w:sz w:val="24"/>
          <w:szCs w:val="24"/>
          <w:highlight w:val="none"/>
        </w:rPr>
        <w:t>4.4在规定时间内完成交货并验收，并经采购人确认。</w:t>
      </w:r>
    </w:p>
    <w:p>
      <w:pPr>
        <w:snapToGrid w:val="0"/>
        <w:spacing w:line="400" w:lineRule="exact"/>
        <w:ind w:firstLine="540"/>
        <w:rPr>
          <w:color w:val="auto"/>
          <w:sz w:val="24"/>
          <w:szCs w:val="24"/>
          <w:highlight w:val="none"/>
        </w:rPr>
      </w:pPr>
      <w:r>
        <w:rPr>
          <w:rFonts w:hint="eastAsia"/>
          <w:color w:val="auto"/>
          <w:sz w:val="24"/>
          <w:szCs w:val="24"/>
          <w:highlight w:val="none"/>
        </w:rPr>
        <w:t>5.产品在安装调试并试运行符合合同及招标文件相关要求后，方可进行最终验收。</w:t>
      </w:r>
    </w:p>
    <w:p>
      <w:pPr>
        <w:snapToGrid w:val="0"/>
        <w:spacing w:line="400" w:lineRule="exact"/>
        <w:ind w:firstLine="540"/>
        <w:rPr>
          <w:color w:val="auto"/>
          <w:sz w:val="24"/>
          <w:szCs w:val="24"/>
          <w:highlight w:val="none"/>
        </w:rPr>
      </w:pPr>
      <w:r>
        <w:rPr>
          <w:rFonts w:hint="eastAsia"/>
          <w:color w:val="auto"/>
          <w:sz w:val="24"/>
          <w:szCs w:val="24"/>
          <w:highlight w:val="none"/>
        </w:rPr>
        <w:t>6.供应商提供的货物未达到招标文件规定要求，且对采购人造成损失的，由供应商承担一切责任，并赔偿所造成的损失。</w:t>
      </w:r>
    </w:p>
    <w:p>
      <w:pPr>
        <w:snapToGrid w:val="0"/>
        <w:spacing w:line="400" w:lineRule="exact"/>
        <w:ind w:firstLine="540"/>
        <w:rPr>
          <w:color w:val="auto"/>
          <w:sz w:val="24"/>
          <w:szCs w:val="24"/>
          <w:highlight w:val="none"/>
        </w:rPr>
      </w:pPr>
      <w:r>
        <w:rPr>
          <w:rFonts w:hint="eastAsia"/>
          <w:color w:val="auto"/>
          <w:sz w:val="24"/>
          <w:szCs w:val="24"/>
          <w:highlight w:val="none"/>
        </w:rPr>
        <w:t>7.大型或者复杂的政府采购项目，采购人应当邀请国家认可的质量检测机构参加验收工作。</w:t>
      </w:r>
    </w:p>
    <w:p>
      <w:pPr>
        <w:snapToGrid w:val="0"/>
        <w:spacing w:line="400" w:lineRule="exact"/>
        <w:ind w:firstLine="540"/>
        <w:rPr>
          <w:color w:val="auto"/>
          <w:sz w:val="24"/>
          <w:szCs w:val="24"/>
          <w:highlight w:val="none"/>
        </w:rPr>
      </w:pPr>
      <w:r>
        <w:rPr>
          <w:rFonts w:hint="eastAsia"/>
          <w:color w:val="auto"/>
          <w:sz w:val="24"/>
          <w:szCs w:val="24"/>
          <w:highlight w:val="none"/>
        </w:rPr>
        <w:t>7.采购人需要制造商对供应商交付的产品（包括质量、技术参数等）进行确认的，制造商应予以配合，并出具书面意见。</w:t>
      </w:r>
    </w:p>
    <w:p>
      <w:pPr>
        <w:snapToGrid w:val="0"/>
        <w:spacing w:line="400" w:lineRule="exact"/>
        <w:ind w:firstLine="540"/>
        <w:rPr>
          <w:color w:val="auto"/>
          <w:sz w:val="24"/>
          <w:szCs w:val="24"/>
          <w:highlight w:val="none"/>
        </w:rPr>
      </w:pPr>
      <w:r>
        <w:rPr>
          <w:rFonts w:hint="eastAsia"/>
          <w:color w:val="auto"/>
          <w:sz w:val="24"/>
          <w:szCs w:val="24"/>
          <w:highlight w:val="none"/>
        </w:rPr>
        <w:t>8.产品包装材料归采购人所有。</w:t>
      </w:r>
    </w:p>
    <w:p>
      <w:pPr>
        <w:snapToGrid w:val="0"/>
        <w:spacing w:line="400" w:lineRule="exact"/>
        <w:ind w:firstLine="540"/>
        <w:rPr>
          <w:color w:val="auto"/>
          <w:sz w:val="24"/>
          <w:szCs w:val="24"/>
          <w:highlight w:val="none"/>
        </w:rPr>
      </w:pPr>
      <w:r>
        <w:rPr>
          <w:rFonts w:hint="eastAsia"/>
          <w:color w:val="auto"/>
          <w:sz w:val="24"/>
          <w:szCs w:val="24"/>
          <w:highlight w:val="none"/>
        </w:rPr>
        <w:t>（四）软件平台验收方式</w:t>
      </w:r>
    </w:p>
    <w:p>
      <w:pPr>
        <w:snapToGrid w:val="0"/>
        <w:spacing w:line="440" w:lineRule="exact"/>
        <w:ind w:firstLine="540"/>
        <w:rPr>
          <w:color w:val="auto"/>
          <w:sz w:val="24"/>
          <w:szCs w:val="24"/>
          <w:highlight w:val="none"/>
        </w:rPr>
      </w:pPr>
      <w:r>
        <w:rPr>
          <w:color w:val="auto"/>
          <w:sz w:val="24"/>
          <w:szCs w:val="24"/>
          <w:highlight w:val="none"/>
        </w:rPr>
        <w:t>1.系统按合同要求安装部署后，</w:t>
      </w:r>
      <w:r>
        <w:rPr>
          <w:rFonts w:hint="eastAsia"/>
          <w:color w:val="auto"/>
          <w:sz w:val="24"/>
          <w:szCs w:val="24"/>
          <w:highlight w:val="none"/>
        </w:rPr>
        <w:t>供应商</w:t>
      </w:r>
      <w:r>
        <w:rPr>
          <w:color w:val="auto"/>
          <w:sz w:val="24"/>
          <w:szCs w:val="24"/>
          <w:highlight w:val="none"/>
        </w:rPr>
        <w:t>以书面形式向采购人需求部门提交系统试运行申请、系统功能、性能指标等采购合同要求的内容，经采购人需求部门同意后开始试运行，试运行过程中满足该服务平台的软、硬件功能和性能要求。</w:t>
      </w:r>
      <w:r>
        <w:rPr>
          <w:rFonts w:hint="eastAsia"/>
          <w:color w:val="auto"/>
          <w:sz w:val="24"/>
          <w:szCs w:val="24"/>
          <w:highlight w:val="none"/>
        </w:rPr>
        <w:t>试运行前，</w:t>
      </w:r>
      <w:r>
        <w:rPr>
          <w:rFonts w:hint="eastAsia"/>
          <w:color w:val="auto"/>
          <w:sz w:val="24"/>
          <w:szCs w:val="24"/>
          <w:highlight w:val="none"/>
          <w:lang w:eastAsia="zh-CN"/>
        </w:rPr>
        <w:t>如有需要，</w:t>
      </w:r>
      <w:r>
        <w:rPr>
          <w:rFonts w:hint="eastAsia"/>
          <w:color w:val="auto"/>
          <w:sz w:val="24"/>
          <w:szCs w:val="24"/>
          <w:highlight w:val="none"/>
        </w:rPr>
        <w:t>采购人信息化办公室将对系统进行安全检测，</w:t>
      </w:r>
      <w:r>
        <w:rPr>
          <w:rFonts w:hint="eastAsia"/>
          <w:bCs/>
          <w:color w:val="auto"/>
          <w:sz w:val="24"/>
          <w:szCs w:val="24"/>
          <w:highlight w:val="none"/>
        </w:rPr>
        <w:t>供应商</w:t>
      </w:r>
      <w:r>
        <w:rPr>
          <w:bCs/>
          <w:color w:val="auto"/>
          <w:sz w:val="24"/>
          <w:szCs w:val="24"/>
          <w:highlight w:val="none"/>
        </w:rPr>
        <w:t>应配合并完成整改。</w:t>
      </w:r>
    </w:p>
    <w:p>
      <w:pPr>
        <w:spacing w:line="440" w:lineRule="exact"/>
        <w:ind w:firstLine="540"/>
        <w:rPr>
          <w:color w:val="auto"/>
          <w:sz w:val="24"/>
          <w:szCs w:val="24"/>
          <w:highlight w:val="none"/>
        </w:rPr>
      </w:pPr>
      <w:r>
        <w:rPr>
          <w:color w:val="auto"/>
          <w:sz w:val="24"/>
          <w:szCs w:val="24"/>
          <w:highlight w:val="none"/>
        </w:rPr>
        <w:t>2.试运行期间</w:t>
      </w:r>
      <w:r>
        <w:rPr>
          <w:rFonts w:hint="eastAsia"/>
          <w:color w:val="auto"/>
          <w:sz w:val="24"/>
          <w:szCs w:val="24"/>
          <w:highlight w:val="none"/>
        </w:rPr>
        <w:t>供应商</w:t>
      </w:r>
      <w:r>
        <w:rPr>
          <w:color w:val="auto"/>
          <w:sz w:val="24"/>
          <w:szCs w:val="24"/>
          <w:highlight w:val="none"/>
        </w:rPr>
        <w:t>应对系统发生的所有问题，及时地做出有效响应，必要时应保证有足够的人员在现场支持。</w:t>
      </w:r>
    </w:p>
    <w:p>
      <w:pPr>
        <w:spacing w:line="440" w:lineRule="exact"/>
        <w:ind w:firstLine="540"/>
        <w:rPr>
          <w:bCs/>
          <w:color w:val="auto"/>
          <w:sz w:val="24"/>
          <w:szCs w:val="24"/>
          <w:highlight w:val="none"/>
        </w:rPr>
      </w:pPr>
      <w:r>
        <w:rPr>
          <w:color w:val="auto"/>
          <w:sz w:val="24"/>
          <w:szCs w:val="24"/>
          <w:highlight w:val="none"/>
        </w:rPr>
        <w:t>3.试运行期间正常运行主要是指：系统的运行稳定、可靠，未出现严重系统故障；平台的整体性能和功能满足采购文件要求。</w:t>
      </w:r>
    </w:p>
    <w:p>
      <w:pPr>
        <w:snapToGrid w:val="0"/>
        <w:spacing w:line="440" w:lineRule="exact"/>
        <w:ind w:left="12" w:firstLine="472" w:firstLineChars="197"/>
        <w:rPr>
          <w:rFonts w:ascii="宋体" w:hAnsi="宋体" w:cs="宋体"/>
          <w:color w:val="auto"/>
          <w:sz w:val="24"/>
          <w:szCs w:val="24"/>
          <w:highlight w:val="none"/>
        </w:rPr>
      </w:pPr>
      <w:r>
        <w:rPr>
          <w:bCs/>
          <w:color w:val="auto"/>
          <w:sz w:val="24"/>
          <w:szCs w:val="24"/>
          <w:highlight w:val="none"/>
        </w:rPr>
        <w:t>4.试运行验收。</w:t>
      </w:r>
      <w:r>
        <w:rPr>
          <w:color w:val="auto"/>
          <w:sz w:val="24"/>
          <w:szCs w:val="24"/>
          <w:highlight w:val="none"/>
        </w:rPr>
        <w:t>由采购人需求部门牵头组织进行试运行验收</w:t>
      </w:r>
      <w:r>
        <w:rPr>
          <w:rFonts w:hint="eastAsia"/>
          <w:color w:val="auto"/>
          <w:sz w:val="24"/>
          <w:szCs w:val="24"/>
          <w:highlight w:val="none"/>
        </w:rPr>
        <w:t>。</w:t>
      </w:r>
      <w:r>
        <w:rPr>
          <w:color w:val="auto"/>
          <w:sz w:val="24"/>
          <w:szCs w:val="24"/>
          <w:highlight w:val="none"/>
        </w:rPr>
        <w:t>试运行正常结束后，由</w:t>
      </w:r>
      <w:r>
        <w:rPr>
          <w:rFonts w:hint="eastAsia"/>
          <w:color w:val="auto"/>
          <w:sz w:val="24"/>
          <w:szCs w:val="24"/>
          <w:highlight w:val="none"/>
        </w:rPr>
        <w:t>供应商</w:t>
      </w:r>
      <w:r>
        <w:rPr>
          <w:color w:val="auto"/>
          <w:sz w:val="24"/>
          <w:szCs w:val="24"/>
          <w:highlight w:val="none"/>
        </w:rPr>
        <w:t>以书面形式提交平台试运行验收申请及验收所需的试运行情况报告（包含但不限于系统功能、技术指标、技术文档、技术支持</w:t>
      </w:r>
      <w:r>
        <w:rPr>
          <w:rFonts w:hint="eastAsia"/>
          <w:color w:val="auto"/>
          <w:sz w:val="24"/>
          <w:szCs w:val="24"/>
          <w:highlight w:val="none"/>
        </w:rPr>
        <w:t>、</w:t>
      </w:r>
      <w:r>
        <w:rPr>
          <w:bCs/>
          <w:color w:val="auto"/>
          <w:sz w:val="24"/>
          <w:szCs w:val="24"/>
          <w:highlight w:val="none"/>
        </w:rPr>
        <w:t>接口资料</w:t>
      </w:r>
      <w:r>
        <w:rPr>
          <w:rFonts w:hint="eastAsia"/>
          <w:bCs/>
          <w:color w:val="auto"/>
          <w:sz w:val="24"/>
          <w:szCs w:val="24"/>
          <w:highlight w:val="none"/>
        </w:rPr>
        <w:t>、</w:t>
      </w:r>
      <w:r>
        <w:rPr>
          <w:rFonts w:hint="eastAsia"/>
          <w:color w:val="auto"/>
          <w:sz w:val="24"/>
          <w:szCs w:val="24"/>
          <w:highlight w:val="none"/>
        </w:rPr>
        <w:t>系统安全测试</w:t>
      </w:r>
      <w:r>
        <w:rPr>
          <w:rFonts w:hint="eastAsia"/>
          <w:color w:val="auto"/>
          <w:sz w:val="24"/>
          <w:szCs w:val="24"/>
          <w:highlight w:val="none"/>
          <w:lang w:eastAsia="zh-CN"/>
        </w:rPr>
        <w:t>（如有）</w:t>
      </w:r>
      <w:r>
        <w:rPr>
          <w:color w:val="auto"/>
          <w:sz w:val="24"/>
          <w:szCs w:val="24"/>
          <w:highlight w:val="none"/>
        </w:rPr>
        <w:t>等内容）和其他相关资料。</w:t>
      </w:r>
      <w:r>
        <w:rPr>
          <w:rFonts w:hint="eastAsia" w:ascii="宋体" w:hAnsi="宋体" w:cs="宋体"/>
          <w:color w:val="auto"/>
          <w:sz w:val="24"/>
          <w:szCs w:val="24"/>
          <w:highlight w:val="none"/>
        </w:rPr>
        <w:t>需求部门</w:t>
      </w:r>
      <w:r>
        <w:rPr>
          <w:rFonts w:ascii="宋体" w:hAnsi="宋体" w:cs="宋体"/>
          <w:color w:val="auto"/>
          <w:sz w:val="24"/>
          <w:szCs w:val="24"/>
          <w:highlight w:val="none"/>
        </w:rPr>
        <w:t>在真实环境中将实际数据导入后试用，测试系统的</w:t>
      </w:r>
      <w:r>
        <w:rPr>
          <w:rFonts w:hint="eastAsia" w:ascii="宋体" w:hAnsi="宋体" w:cs="宋体"/>
          <w:color w:val="auto"/>
          <w:sz w:val="24"/>
          <w:szCs w:val="24"/>
          <w:highlight w:val="none"/>
        </w:rPr>
        <w:t>所有</w:t>
      </w:r>
      <w:r>
        <w:rPr>
          <w:rFonts w:ascii="宋体" w:hAnsi="宋体" w:cs="宋体"/>
          <w:color w:val="auto"/>
          <w:sz w:val="24"/>
          <w:szCs w:val="24"/>
          <w:highlight w:val="none"/>
        </w:rPr>
        <w:t>功能</w:t>
      </w:r>
      <w:r>
        <w:rPr>
          <w:rFonts w:hint="eastAsia" w:ascii="宋体" w:hAnsi="宋体" w:cs="宋体"/>
          <w:color w:val="auto"/>
          <w:sz w:val="24"/>
          <w:szCs w:val="24"/>
          <w:highlight w:val="none"/>
        </w:rPr>
        <w:t>模块</w:t>
      </w:r>
      <w:r>
        <w:rPr>
          <w:rFonts w:ascii="宋体" w:hAnsi="宋体" w:cs="宋体"/>
          <w:color w:val="auto"/>
          <w:sz w:val="24"/>
          <w:szCs w:val="24"/>
          <w:highlight w:val="none"/>
        </w:rPr>
        <w:t>，</w:t>
      </w:r>
      <w:r>
        <w:rPr>
          <w:rFonts w:hint="eastAsia" w:ascii="宋体" w:hAnsi="宋体" w:cs="宋体"/>
          <w:color w:val="auto"/>
          <w:sz w:val="24"/>
          <w:szCs w:val="24"/>
          <w:highlight w:val="none"/>
        </w:rPr>
        <w:t>并对各类数据分析报告进行验证，确认满足功能和技术需求。</w:t>
      </w:r>
    </w:p>
    <w:p>
      <w:pPr>
        <w:snapToGrid w:val="0"/>
        <w:spacing w:line="440" w:lineRule="exact"/>
        <w:ind w:left="12" w:firstLine="472" w:firstLineChars="197"/>
        <w:rPr>
          <w:rFonts w:ascii="宋体" w:hAnsi="宋体" w:cs="宋体"/>
          <w:color w:val="auto"/>
          <w:sz w:val="24"/>
          <w:szCs w:val="24"/>
          <w:highlight w:val="none"/>
        </w:rPr>
      </w:pPr>
      <w:r>
        <w:rPr>
          <w:rFonts w:hint="eastAsia" w:ascii="宋体" w:hAnsi="宋体" w:cs="宋体"/>
          <w:color w:val="auto"/>
          <w:sz w:val="24"/>
          <w:szCs w:val="24"/>
          <w:highlight w:val="none"/>
        </w:rPr>
        <w:t>（五）正式验收</w:t>
      </w:r>
    </w:p>
    <w:p>
      <w:pPr>
        <w:snapToGrid w:val="0"/>
        <w:spacing w:line="440" w:lineRule="exact"/>
        <w:ind w:left="12" w:firstLine="472" w:firstLineChars="197"/>
        <w:rPr>
          <w:rFonts w:ascii="宋体" w:hAnsi="宋体" w:cs="宋体"/>
          <w:color w:val="auto"/>
          <w:sz w:val="24"/>
          <w:szCs w:val="24"/>
          <w:highlight w:val="none"/>
        </w:rPr>
      </w:pPr>
      <w:r>
        <w:rPr>
          <w:color w:val="auto"/>
          <w:sz w:val="24"/>
          <w:szCs w:val="24"/>
          <w:highlight w:val="none"/>
        </w:rPr>
        <w:t>自试运行验收合格之日起，整个</w:t>
      </w:r>
      <w:r>
        <w:rPr>
          <w:rFonts w:hint="eastAsia"/>
          <w:color w:val="auto"/>
          <w:sz w:val="24"/>
          <w:szCs w:val="24"/>
          <w:highlight w:val="none"/>
        </w:rPr>
        <w:t>平台</w:t>
      </w:r>
      <w:r>
        <w:rPr>
          <w:color w:val="auto"/>
          <w:sz w:val="24"/>
          <w:szCs w:val="24"/>
          <w:highlight w:val="none"/>
        </w:rPr>
        <w:t>稳定运行</w:t>
      </w:r>
      <w:r>
        <w:rPr>
          <w:rFonts w:hint="eastAsia"/>
          <w:color w:val="auto"/>
          <w:sz w:val="24"/>
          <w:szCs w:val="24"/>
          <w:highlight w:val="none"/>
          <w:lang w:val="en-US" w:eastAsia="zh-CN"/>
        </w:rPr>
        <w:t>30</w:t>
      </w:r>
      <w:r>
        <w:rPr>
          <w:rFonts w:hint="eastAsia"/>
          <w:color w:val="auto"/>
          <w:sz w:val="24"/>
          <w:szCs w:val="24"/>
          <w:highlight w:val="none"/>
        </w:rPr>
        <w:t>个日历日</w:t>
      </w:r>
      <w:r>
        <w:rPr>
          <w:bCs/>
          <w:color w:val="auto"/>
          <w:sz w:val="24"/>
          <w:szCs w:val="24"/>
          <w:highlight w:val="none"/>
        </w:rPr>
        <w:t>且无遗留问题的前提下，</w:t>
      </w:r>
      <w:r>
        <w:rPr>
          <w:rFonts w:hint="eastAsia"/>
          <w:bCs/>
          <w:color w:val="auto"/>
          <w:sz w:val="24"/>
          <w:szCs w:val="24"/>
          <w:highlight w:val="none"/>
        </w:rPr>
        <w:t>供应商</w:t>
      </w:r>
      <w:r>
        <w:rPr>
          <w:bCs/>
          <w:color w:val="auto"/>
          <w:sz w:val="24"/>
          <w:szCs w:val="24"/>
          <w:highlight w:val="none"/>
        </w:rPr>
        <w:t>以书面形式向采购人资产处管理处提交正式验收申请，并同时提供试运行情况报告、书面的培训记录表、培训电子文档</w:t>
      </w:r>
      <w:r>
        <w:rPr>
          <w:rFonts w:hint="eastAsia"/>
          <w:bCs/>
          <w:color w:val="auto"/>
          <w:sz w:val="24"/>
          <w:szCs w:val="24"/>
          <w:highlight w:val="none"/>
        </w:rPr>
        <w:t>及相关</w:t>
      </w:r>
      <w:r>
        <w:rPr>
          <w:bCs/>
          <w:color w:val="auto"/>
          <w:sz w:val="24"/>
          <w:szCs w:val="24"/>
          <w:highlight w:val="none"/>
        </w:rPr>
        <w:t>资料等，才能进入验收程序，平台的整体性能和功能须满足采购文件和采购合同的要求</w:t>
      </w:r>
      <w:r>
        <w:rPr>
          <w:rFonts w:hint="eastAsia"/>
          <w:bCs/>
          <w:color w:val="auto"/>
          <w:sz w:val="24"/>
          <w:szCs w:val="24"/>
          <w:highlight w:val="none"/>
        </w:rPr>
        <w:t>。</w:t>
      </w:r>
    </w:p>
    <w:p>
      <w:pPr>
        <w:snapToGrid w:val="0"/>
        <w:spacing w:line="400" w:lineRule="exact"/>
        <w:ind w:firstLine="540"/>
        <w:rPr>
          <w:color w:val="auto"/>
          <w:sz w:val="24"/>
          <w:szCs w:val="24"/>
          <w:highlight w:val="none"/>
        </w:rPr>
      </w:pPr>
      <w:r>
        <w:rPr>
          <w:b/>
          <w:color w:val="auto"/>
          <w:sz w:val="24"/>
          <w:szCs w:val="24"/>
          <w:highlight w:val="none"/>
        </w:rPr>
        <w:t>注：</w:t>
      </w:r>
      <w:r>
        <w:rPr>
          <w:rFonts w:hint="eastAsia"/>
          <w:color w:val="auto"/>
          <w:sz w:val="24"/>
          <w:szCs w:val="24"/>
          <w:highlight w:val="none"/>
        </w:rPr>
        <w:t>供应商</w:t>
      </w:r>
      <w:r>
        <w:rPr>
          <w:bCs/>
          <w:color w:val="auto"/>
          <w:sz w:val="24"/>
          <w:szCs w:val="24"/>
          <w:highlight w:val="none"/>
        </w:rPr>
        <w:t>须配合</w:t>
      </w:r>
      <w:r>
        <w:rPr>
          <w:rFonts w:hint="eastAsia"/>
          <w:bCs/>
          <w:color w:val="auto"/>
          <w:sz w:val="24"/>
          <w:szCs w:val="24"/>
          <w:highlight w:val="none"/>
        </w:rPr>
        <w:t>采购人</w:t>
      </w:r>
      <w:r>
        <w:rPr>
          <w:bCs/>
          <w:color w:val="auto"/>
          <w:sz w:val="24"/>
          <w:szCs w:val="24"/>
          <w:highlight w:val="none"/>
        </w:rPr>
        <w:t>完成资产交接、入库等流程工作，以确保项目达到验收条件</w:t>
      </w:r>
      <w:r>
        <w:rPr>
          <w:rFonts w:hint="eastAsia"/>
          <w:color w:val="auto"/>
          <w:sz w:val="24"/>
          <w:szCs w:val="24"/>
          <w:highlight w:val="none"/>
        </w:rPr>
        <w:t>。</w:t>
      </w:r>
    </w:p>
    <w:p>
      <w:pPr>
        <w:pStyle w:val="4"/>
        <w:spacing w:line="360" w:lineRule="auto"/>
        <w:rPr>
          <w:color w:val="auto"/>
          <w:sz w:val="24"/>
          <w:szCs w:val="24"/>
          <w:highlight w:val="none"/>
        </w:rPr>
      </w:pPr>
      <w:bookmarkStart w:id="43" w:name="_Toc130806206"/>
      <w:bookmarkStart w:id="44" w:name="_Toc115877697"/>
      <w:bookmarkStart w:id="45" w:name="_Toc29739"/>
      <w:bookmarkStart w:id="46" w:name="_Toc3966"/>
      <w:bookmarkStart w:id="47" w:name="_Toc129178872"/>
      <w:r>
        <w:rPr>
          <w:rFonts w:hint="eastAsia"/>
          <w:color w:val="auto"/>
          <w:sz w:val="24"/>
          <w:szCs w:val="24"/>
          <w:highlight w:val="none"/>
        </w:rPr>
        <w:t>二、报价要求</w:t>
      </w:r>
      <w:bookmarkEnd w:id="43"/>
      <w:bookmarkEnd w:id="44"/>
      <w:bookmarkEnd w:id="45"/>
      <w:bookmarkEnd w:id="46"/>
      <w:bookmarkEnd w:id="47"/>
    </w:p>
    <w:p>
      <w:pPr>
        <w:snapToGrid w:val="0"/>
        <w:spacing w:line="400" w:lineRule="exact"/>
        <w:ind w:firstLine="540"/>
        <w:rPr>
          <w:color w:val="auto"/>
          <w:sz w:val="24"/>
          <w:szCs w:val="24"/>
          <w:highlight w:val="none"/>
        </w:rPr>
      </w:pPr>
      <w:r>
        <w:rPr>
          <w:rFonts w:hint="eastAsia"/>
          <w:color w:val="auto"/>
          <w:sz w:val="24"/>
          <w:szCs w:val="24"/>
          <w:highlight w:val="none"/>
        </w:rPr>
        <w:t>报价须为人民币报价，包括完成本项目所确定的全部工作内容的包干价。包含：建设费、服务费、数据接口费、调研费、劳务费、安装调试费、质保期内免费升级、税费、培训费、耗材费、加班费、劳动保险费、劳保用品、易耗工具、机械使用费、服务地点内垃圾清运、安全措施费、交通组织费、管理费、政策性文件规定及合同包含的所有风险费，利润、税金等履行完本项目的所有费用，采购人不再追加其他费用。</w:t>
      </w:r>
      <w:bookmarkStart w:id="48" w:name="_Toc267320050"/>
    </w:p>
    <w:p>
      <w:pPr>
        <w:pStyle w:val="4"/>
        <w:spacing w:line="360" w:lineRule="auto"/>
        <w:rPr>
          <w:color w:val="auto"/>
          <w:sz w:val="24"/>
          <w:szCs w:val="24"/>
          <w:highlight w:val="none"/>
        </w:rPr>
      </w:pPr>
      <w:bookmarkStart w:id="49" w:name="_Toc72311757"/>
      <w:bookmarkStart w:id="50" w:name="_Toc129178873"/>
      <w:bookmarkStart w:id="51" w:name="_Toc130806207"/>
      <w:bookmarkStart w:id="52" w:name="_Toc13775"/>
      <w:bookmarkStart w:id="53" w:name="_Toc115877698"/>
      <w:bookmarkStart w:id="54" w:name="_Toc27589"/>
      <w:r>
        <w:rPr>
          <w:rFonts w:hint="eastAsia"/>
          <w:color w:val="auto"/>
          <w:sz w:val="24"/>
          <w:szCs w:val="24"/>
          <w:highlight w:val="none"/>
        </w:rPr>
        <w:t>三、质量保证及售后服务</w:t>
      </w:r>
      <w:bookmarkEnd w:id="49"/>
      <w:bookmarkEnd w:id="50"/>
      <w:bookmarkEnd w:id="51"/>
      <w:bookmarkEnd w:id="52"/>
      <w:bookmarkEnd w:id="53"/>
      <w:bookmarkEnd w:id="54"/>
    </w:p>
    <w:p>
      <w:pPr>
        <w:snapToGrid w:val="0"/>
        <w:spacing w:line="400" w:lineRule="exact"/>
        <w:ind w:firstLine="540"/>
        <w:rPr>
          <w:color w:val="auto"/>
          <w:sz w:val="24"/>
          <w:szCs w:val="24"/>
          <w:highlight w:val="none"/>
        </w:rPr>
      </w:pPr>
      <w:r>
        <w:rPr>
          <w:rFonts w:hint="eastAsia"/>
          <w:color w:val="auto"/>
          <w:sz w:val="24"/>
          <w:szCs w:val="24"/>
          <w:highlight w:val="none"/>
        </w:rPr>
        <w:t>（一）产品质量保证期</w:t>
      </w:r>
    </w:p>
    <w:p>
      <w:pPr>
        <w:snapToGrid w:val="0"/>
        <w:spacing w:line="400" w:lineRule="exact"/>
        <w:ind w:firstLine="540"/>
        <w:rPr>
          <w:color w:val="auto"/>
          <w:sz w:val="24"/>
          <w:szCs w:val="24"/>
          <w:highlight w:val="none"/>
        </w:rPr>
      </w:pPr>
      <w:r>
        <w:rPr>
          <w:rFonts w:hint="eastAsia"/>
          <w:color w:val="auto"/>
          <w:sz w:val="24"/>
          <w:szCs w:val="24"/>
          <w:highlight w:val="none"/>
        </w:rPr>
        <w:t>1.</w:t>
      </w:r>
      <w:r>
        <w:rPr>
          <w:rFonts w:hint="eastAsia"/>
          <w:color w:val="auto"/>
          <w:kern w:val="0"/>
          <w:sz w:val="24"/>
          <w:szCs w:val="24"/>
          <w:highlight w:val="none"/>
        </w:rPr>
        <w:t>供应商</w:t>
      </w:r>
      <w:r>
        <w:rPr>
          <w:color w:val="auto"/>
          <w:kern w:val="0"/>
          <w:sz w:val="24"/>
          <w:szCs w:val="24"/>
          <w:highlight w:val="none"/>
        </w:rPr>
        <w:t>对本项目所投</w:t>
      </w:r>
      <w:r>
        <w:rPr>
          <w:rFonts w:hint="eastAsia"/>
          <w:color w:val="auto"/>
          <w:kern w:val="0"/>
          <w:sz w:val="24"/>
          <w:szCs w:val="24"/>
          <w:highlight w:val="none"/>
        </w:rPr>
        <w:t>软件</w:t>
      </w:r>
      <w:r>
        <w:rPr>
          <w:color w:val="auto"/>
          <w:kern w:val="0"/>
          <w:sz w:val="24"/>
          <w:szCs w:val="24"/>
          <w:highlight w:val="none"/>
        </w:rPr>
        <w:t>产品提供</w:t>
      </w:r>
      <w:r>
        <w:rPr>
          <w:rFonts w:hint="eastAsia"/>
          <w:color w:val="auto"/>
          <w:kern w:val="0"/>
          <w:sz w:val="24"/>
          <w:szCs w:val="24"/>
          <w:highlight w:val="none"/>
        </w:rPr>
        <w:t>10</w:t>
      </w:r>
      <w:r>
        <w:rPr>
          <w:b/>
          <w:bCs/>
          <w:color w:val="auto"/>
          <w:kern w:val="0"/>
          <w:sz w:val="24"/>
          <w:szCs w:val="24"/>
          <w:highlight w:val="none"/>
        </w:rPr>
        <w:t>年</w:t>
      </w:r>
      <w:r>
        <w:rPr>
          <w:rFonts w:hint="eastAsia"/>
          <w:color w:val="auto"/>
          <w:kern w:val="0"/>
          <w:sz w:val="24"/>
          <w:szCs w:val="24"/>
          <w:highlight w:val="none"/>
        </w:rPr>
        <w:t>原厂制造商</w:t>
      </w:r>
      <w:r>
        <w:rPr>
          <w:color w:val="auto"/>
          <w:kern w:val="0"/>
          <w:sz w:val="24"/>
          <w:szCs w:val="24"/>
          <w:highlight w:val="none"/>
        </w:rPr>
        <w:t>免费质保期</w:t>
      </w:r>
      <w:r>
        <w:rPr>
          <w:rFonts w:hint="eastAsia"/>
          <w:color w:val="auto"/>
          <w:kern w:val="0"/>
          <w:sz w:val="24"/>
          <w:szCs w:val="24"/>
          <w:highlight w:val="none"/>
        </w:rPr>
        <w:t>，</w:t>
      </w:r>
      <w:r>
        <w:rPr>
          <w:color w:val="auto"/>
          <w:kern w:val="0"/>
          <w:sz w:val="24"/>
          <w:szCs w:val="24"/>
          <w:highlight w:val="none"/>
        </w:rPr>
        <w:t>对本项目所投</w:t>
      </w:r>
      <w:r>
        <w:rPr>
          <w:rFonts w:hint="eastAsia"/>
          <w:color w:val="auto"/>
          <w:kern w:val="0"/>
          <w:sz w:val="24"/>
          <w:szCs w:val="24"/>
          <w:highlight w:val="none"/>
        </w:rPr>
        <w:t>硬件</w:t>
      </w:r>
      <w:r>
        <w:rPr>
          <w:color w:val="auto"/>
          <w:kern w:val="0"/>
          <w:sz w:val="24"/>
          <w:szCs w:val="24"/>
          <w:highlight w:val="none"/>
        </w:rPr>
        <w:t>产品提供</w:t>
      </w:r>
      <w:r>
        <w:rPr>
          <w:rFonts w:hint="eastAsia"/>
          <w:color w:val="auto"/>
          <w:kern w:val="0"/>
          <w:sz w:val="24"/>
          <w:szCs w:val="24"/>
          <w:highlight w:val="none"/>
        </w:rPr>
        <w:t>5</w:t>
      </w:r>
      <w:r>
        <w:rPr>
          <w:b/>
          <w:bCs/>
          <w:color w:val="auto"/>
          <w:kern w:val="0"/>
          <w:sz w:val="24"/>
          <w:szCs w:val="24"/>
          <w:highlight w:val="none"/>
        </w:rPr>
        <w:t>年</w:t>
      </w:r>
      <w:r>
        <w:rPr>
          <w:rFonts w:hint="eastAsia"/>
          <w:color w:val="auto"/>
          <w:kern w:val="0"/>
          <w:sz w:val="24"/>
          <w:szCs w:val="24"/>
          <w:highlight w:val="none"/>
        </w:rPr>
        <w:t>原厂制造商免费质保期</w:t>
      </w:r>
      <w:r>
        <w:rPr>
          <w:rFonts w:hint="eastAsia"/>
          <w:color w:val="auto"/>
          <w:sz w:val="24"/>
          <w:szCs w:val="24"/>
          <w:highlight w:val="none"/>
        </w:rPr>
        <w:t>。免费质保期自项目验收合格之日起计算。</w:t>
      </w:r>
      <w:r>
        <w:rPr>
          <w:rFonts w:hint="eastAsia" w:ascii="宋体" w:hAnsi="宋体" w:cs="宋体"/>
          <w:color w:val="auto"/>
          <w:sz w:val="24"/>
          <w:szCs w:val="24"/>
          <w:highlight w:val="none"/>
        </w:rPr>
        <w:t>免费质保期内，维护和售后服务形成的风险和费用由供应商承担。</w:t>
      </w:r>
      <w:r>
        <w:rPr>
          <w:rFonts w:hint="eastAsia"/>
          <w:color w:val="auto"/>
          <w:sz w:val="24"/>
          <w:szCs w:val="24"/>
          <w:highlight w:val="none"/>
        </w:rPr>
        <w:t>若供应商有更优惠的质保期，请在响应文件中明确应答。</w:t>
      </w:r>
    </w:p>
    <w:p>
      <w:pPr>
        <w:snapToGrid w:val="0"/>
        <w:spacing w:line="400" w:lineRule="exact"/>
        <w:ind w:firstLine="540"/>
        <w:rPr>
          <w:color w:val="auto"/>
          <w:sz w:val="24"/>
          <w:szCs w:val="24"/>
          <w:highlight w:val="none"/>
        </w:rPr>
      </w:pPr>
      <w:r>
        <w:rPr>
          <w:rFonts w:hint="eastAsia"/>
          <w:color w:val="auto"/>
          <w:sz w:val="24"/>
          <w:szCs w:val="24"/>
          <w:highlight w:val="none"/>
        </w:rPr>
        <w:t>2.投标产品属于国家规定“三包”范围的，其产品质量保证期不得低于“三包”规定。</w:t>
      </w:r>
    </w:p>
    <w:p>
      <w:pPr>
        <w:snapToGrid w:val="0"/>
        <w:spacing w:line="400" w:lineRule="exact"/>
        <w:ind w:firstLine="540"/>
        <w:rPr>
          <w:color w:val="auto"/>
          <w:sz w:val="24"/>
          <w:szCs w:val="24"/>
          <w:highlight w:val="none"/>
        </w:rPr>
      </w:pPr>
      <w:r>
        <w:rPr>
          <w:rFonts w:hint="eastAsia"/>
          <w:color w:val="auto"/>
          <w:sz w:val="24"/>
          <w:szCs w:val="24"/>
          <w:highlight w:val="none"/>
        </w:rPr>
        <w:t>3.供应商的质量保证期承诺优于国家“三包”规定的，按供应商实际承诺执行。</w:t>
      </w:r>
    </w:p>
    <w:p>
      <w:pPr>
        <w:snapToGrid w:val="0"/>
        <w:spacing w:line="400" w:lineRule="exact"/>
        <w:ind w:firstLine="540"/>
        <w:rPr>
          <w:color w:val="auto"/>
          <w:sz w:val="24"/>
          <w:szCs w:val="24"/>
          <w:highlight w:val="none"/>
        </w:rPr>
      </w:pPr>
      <w:r>
        <w:rPr>
          <w:rFonts w:hint="eastAsia"/>
          <w:color w:val="auto"/>
          <w:sz w:val="24"/>
          <w:szCs w:val="24"/>
          <w:highlight w:val="none"/>
        </w:rPr>
        <w:t>4.</w:t>
      </w:r>
      <w:r>
        <w:rPr>
          <w:rFonts w:hint="eastAsia"/>
          <w:color w:val="auto"/>
          <w:sz w:val="24"/>
          <w:szCs w:val="24"/>
          <w:highlight w:val="none"/>
          <w:lang w:val="zh-TW"/>
        </w:rPr>
        <w:t>供应商</w:t>
      </w:r>
      <w:r>
        <w:rPr>
          <w:rFonts w:hint="eastAsia"/>
          <w:color w:val="auto"/>
          <w:sz w:val="24"/>
          <w:szCs w:val="24"/>
          <w:highlight w:val="none"/>
        </w:rPr>
        <w:t>在结果公告之日（不含）起7日内提供加盖原厂制造商公章的对本项目的质量及售后服务承诺书并作为合同附件。承诺书的内容包含但不限于：</w:t>
      </w:r>
    </w:p>
    <w:p>
      <w:pPr>
        <w:snapToGrid w:val="0"/>
        <w:spacing w:line="400" w:lineRule="exact"/>
        <w:ind w:firstLine="540"/>
        <w:rPr>
          <w:color w:val="auto"/>
          <w:sz w:val="24"/>
          <w:szCs w:val="24"/>
          <w:highlight w:val="none"/>
        </w:rPr>
      </w:pPr>
      <w:r>
        <w:rPr>
          <w:rFonts w:hint="eastAsia"/>
          <w:color w:val="auto"/>
          <w:sz w:val="24"/>
          <w:szCs w:val="24"/>
          <w:highlight w:val="none"/>
        </w:rPr>
        <w:t>（1）所提供的设备完全满足本项目的相关技术要求；</w:t>
      </w:r>
    </w:p>
    <w:p>
      <w:pPr>
        <w:snapToGrid w:val="0"/>
        <w:spacing w:line="400" w:lineRule="exact"/>
        <w:ind w:firstLine="540"/>
        <w:rPr>
          <w:color w:val="auto"/>
          <w:sz w:val="24"/>
          <w:szCs w:val="24"/>
          <w:highlight w:val="none"/>
        </w:rPr>
      </w:pPr>
      <w:r>
        <w:rPr>
          <w:rFonts w:hint="eastAsia"/>
          <w:color w:val="auto"/>
          <w:sz w:val="24"/>
          <w:szCs w:val="24"/>
          <w:highlight w:val="none"/>
        </w:rPr>
        <w:t>（2）自项目验收合格之日起，提供</w:t>
      </w:r>
      <w:r>
        <w:rPr>
          <w:rFonts w:hint="eastAsia"/>
          <w:b/>
          <w:bCs/>
          <w:color w:val="auto"/>
          <w:sz w:val="24"/>
          <w:szCs w:val="24"/>
          <w:highlight w:val="none"/>
        </w:rPr>
        <w:t>软/硬件产品</w:t>
      </w:r>
      <w:r>
        <w:rPr>
          <w:rFonts w:hint="eastAsia"/>
          <w:color w:val="auto"/>
          <w:sz w:val="24"/>
          <w:szCs w:val="24"/>
          <w:highlight w:val="none"/>
        </w:rPr>
        <w:t>原厂制造商免费质保期（按谈判后的最终质保期限），且售后服务完全满足格式合同内容；</w:t>
      </w:r>
    </w:p>
    <w:p>
      <w:pPr>
        <w:snapToGrid w:val="0"/>
        <w:spacing w:line="400" w:lineRule="exact"/>
        <w:ind w:firstLine="540"/>
        <w:rPr>
          <w:color w:val="auto"/>
          <w:sz w:val="24"/>
          <w:szCs w:val="24"/>
          <w:highlight w:val="none"/>
        </w:rPr>
      </w:pPr>
      <w:r>
        <w:rPr>
          <w:rFonts w:hint="eastAsia"/>
          <w:color w:val="auto"/>
          <w:sz w:val="24"/>
          <w:szCs w:val="24"/>
          <w:highlight w:val="none"/>
        </w:rPr>
        <w:t>（3）承诺书内须含有本项目名称。</w:t>
      </w:r>
    </w:p>
    <w:p>
      <w:pPr>
        <w:snapToGrid w:val="0"/>
        <w:spacing w:line="400" w:lineRule="exact"/>
        <w:ind w:firstLine="540"/>
        <w:rPr>
          <w:color w:val="auto"/>
          <w:sz w:val="24"/>
          <w:szCs w:val="24"/>
          <w:highlight w:val="none"/>
        </w:rPr>
      </w:pPr>
      <w:r>
        <w:rPr>
          <w:rFonts w:hint="eastAsia"/>
          <w:color w:val="auto"/>
          <w:sz w:val="24"/>
          <w:szCs w:val="24"/>
          <w:highlight w:val="none"/>
        </w:rPr>
        <w:t>（二）硬件售后服务内容</w:t>
      </w:r>
    </w:p>
    <w:p>
      <w:pPr>
        <w:snapToGrid w:val="0"/>
        <w:spacing w:line="400" w:lineRule="exact"/>
        <w:ind w:firstLine="540"/>
        <w:rPr>
          <w:color w:val="auto"/>
          <w:sz w:val="24"/>
          <w:szCs w:val="24"/>
          <w:highlight w:val="none"/>
        </w:rPr>
      </w:pPr>
      <w:r>
        <w:rPr>
          <w:rFonts w:hint="eastAsia"/>
          <w:color w:val="auto"/>
          <w:sz w:val="24"/>
          <w:szCs w:val="24"/>
          <w:highlight w:val="none"/>
        </w:rPr>
        <w:t>1.供应商和制造商在质量保证期内应当为采购人提供以下技术支持和服务：</w:t>
      </w:r>
    </w:p>
    <w:p>
      <w:pPr>
        <w:snapToGrid w:val="0"/>
        <w:spacing w:line="400" w:lineRule="exact"/>
        <w:ind w:firstLine="540"/>
        <w:rPr>
          <w:color w:val="auto"/>
          <w:sz w:val="24"/>
          <w:szCs w:val="24"/>
          <w:highlight w:val="none"/>
        </w:rPr>
      </w:pPr>
      <w:r>
        <w:rPr>
          <w:rFonts w:hint="eastAsia"/>
          <w:color w:val="auto"/>
          <w:sz w:val="24"/>
          <w:szCs w:val="24"/>
          <w:highlight w:val="none"/>
        </w:rPr>
        <w:t>1.1电话咨询</w:t>
      </w:r>
    </w:p>
    <w:p>
      <w:pPr>
        <w:snapToGrid w:val="0"/>
        <w:spacing w:line="400" w:lineRule="exact"/>
        <w:ind w:firstLine="540"/>
        <w:rPr>
          <w:color w:val="auto"/>
          <w:sz w:val="24"/>
          <w:szCs w:val="24"/>
          <w:highlight w:val="none"/>
        </w:rPr>
      </w:pPr>
      <w:r>
        <w:rPr>
          <w:rFonts w:hint="eastAsia"/>
          <w:color w:val="auto"/>
          <w:sz w:val="24"/>
          <w:szCs w:val="24"/>
          <w:highlight w:val="none"/>
        </w:rPr>
        <w:t>供应商和制造商应当为采购人提供技术援助电话，解答采购人在使用中遇到的问题，及时为采购人提出解决问题的建议。</w:t>
      </w:r>
    </w:p>
    <w:p>
      <w:pPr>
        <w:snapToGrid w:val="0"/>
        <w:spacing w:line="400" w:lineRule="exact"/>
        <w:ind w:firstLine="540"/>
        <w:rPr>
          <w:color w:val="auto"/>
          <w:sz w:val="24"/>
          <w:szCs w:val="24"/>
          <w:highlight w:val="none"/>
        </w:rPr>
      </w:pPr>
      <w:r>
        <w:rPr>
          <w:rFonts w:hint="eastAsia"/>
          <w:color w:val="auto"/>
          <w:sz w:val="24"/>
          <w:szCs w:val="24"/>
          <w:highlight w:val="none"/>
        </w:rPr>
        <w:t>1.2现场响应</w:t>
      </w:r>
    </w:p>
    <w:p>
      <w:pPr>
        <w:snapToGrid w:val="0"/>
        <w:spacing w:line="400" w:lineRule="exact"/>
        <w:ind w:firstLine="540"/>
        <w:rPr>
          <w:color w:val="auto"/>
          <w:sz w:val="24"/>
          <w:szCs w:val="24"/>
          <w:highlight w:val="none"/>
        </w:rPr>
      </w:pPr>
      <w:r>
        <w:rPr>
          <w:rFonts w:hint="eastAsia"/>
          <w:color w:val="auto"/>
          <w:sz w:val="24"/>
          <w:szCs w:val="24"/>
          <w:highlight w:val="none"/>
        </w:rPr>
        <w:t>采购人遇到使用及技术问题，电话咨询不能解决的，供应商和制造商应在24小时内到达现场进行处理，确保产品正常工作；无法在24小时内解决的，应在48小时内提供备用产品，使采购人能够正常使用。</w:t>
      </w:r>
    </w:p>
    <w:p>
      <w:pPr>
        <w:snapToGrid w:val="0"/>
        <w:spacing w:line="400" w:lineRule="exact"/>
        <w:ind w:firstLine="540"/>
        <w:rPr>
          <w:color w:val="auto"/>
          <w:sz w:val="24"/>
          <w:szCs w:val="24"/>
          <w:highlight w:val="none"/>
        </w:rPr>
      </w:pPr>
      <w:r>
        <w:rPr>
          <w:rFonts w:hint="eastAsia"/>
          <w:color w:val="auto"/>
          <w:sz w:val="24"/>
          <w:szCs w:val="24"/>
          <w:highlight w:val="none"/>
        </w:rPr>
        <w:t>1.3技术升级</w:t>
      </w:r>
    </w:p>
    <w:p>
      <w:pPr>
        <w:snapToGrid w:val="0"/>
        <w:spacing w:line="400" w:lineRule="exact"/>
        <w:ind w:firstLine="540"/>
        <w:rPr>
          <w:color w:val="auto"/>
          <w:sz w:val="24"/>
          <w:szCs w:val="24"/>
          <w:highlight w:val="none"/>
        </w:rPr>
      </w:pPr>
      <w:r>
        <w:rPr>
          <w:rFonts w:hint="eastAsia"/>
          <w:color w:val="auto"/>
          <w:sz w:val="24"/>
          <w:szCs w:val="24"/>
          <w:highlight w:val="none"/>
        </w:rPr>
        <w:t>在质保期内，如果供应商和制造商的产品技术升级，供应商应及时通知采购人，如采购人有相应要求，供应商和制造商应对采购人购买的产品进行升级服务。</w:t>
      </w:r>
    </w:p>
    <w:p>
      <w:pPr>
        <w:snapToGrid w:val="0"/>
        <w:spacing w:line="400" w:lineRule="exact"/>
        <w:ind w:firstLine="540"/>
        <w:rPr>
          <w:color w:val="auto"/>
          <w:sz w:val="24"/>
          <w:szCs w:val="24"/>
          <w:highlight w:val="none"/>
        </w:rPr>
      </w:pPr>
      <w:r>
        <w:rPr>
          <w:rFonts w:hint="eastAsia"/>
          <w:color w:val="auto"/>
          <w:sz w:val="24"/>
          <w:szCs w:val="24"/>
          <w:highlight w:val="none"/>
        </w:rPr>
        <w:t>2.质保期外服务要求</w:t>
      </w:r>
    </w:p>
    <w:p>
      <w:pPr>
        <w:snapToGrid w:val="0"/>
        <w:spacing w:line="400" w:lineRule="exact"/>
        <w:ind w:firstLine="540"/>
        <w:rPr>
          <w:color w:val="auto"/>
          <w:sz w:val="24"/>
          <w:szCs w:val="24"/>
          <w:highlight w:val="none"/>
        </w:rPr>
      </w:pPr>
      <w:r>
        <w:rPr>
          <w:rFonts w:hint="eastAsia"/>
          <w:color w:val="auto"/>
          <w:sz w:val="24"/>
          <w:szCs w:val="24"/>
          <w:highlight w:val="none"/>
        </w:rPr>
        <w:t>2.1质量保证期过后，供应商和制造商应同样提供免费电话咨询服务，并应承诺提供产品上门维护服务。</w:t>
      </w:r>
    </w:p>
    <w:p>
      <w:pPr>
        <w:snapToGrid w:val="0"/>
        <w:spacing w:line="400" w:lineRule="exact"/>
        <w:ind w:firstLine="540"/>
        <w:rPr>
          <w:color w:val="auto"/>
          <w:sz w:val="24"/>
          <w:szCs w:val="24"/>
          <w:highlight w:val="none"/>
        </w:rPr>
      </w:pPr>
      <w:r>
        <w:rPr>
          <w:rFonts w:hint="eastAsia"/>
          <w:color w:val="auto"/>
          <w:sz w:val="24"/>
          <w:szCs w:val="24"/>
          <w:highlight w:val="none"/>
        </w:rPr>
        <w:t>2.2质量保证期过后，采购人需要继续由原供应商和制造商提供售后服务的，该供应商和制造商应以优惠价格提供售后服务。</w:t>
      </w:r>
    </w:p>
    <w:p>
      <w:pPr>
        <w:snapToGrid w:val="0"/>
        <w:spacing w:line="400" w:lineRule="exact"/>
        <w:ind w:firstLine="540"/>
        <w:rPr>
          <w:color w:val="auto"/>
          <w:sz w:val="24"/>
          <w:szCs w:val="24"/>
          <w:highlight w:val="none"/>
        </w:rPr>
      </w:pPr>
      <w:r>
        <w:rPr>
          <w:rFonts w:hint="eastAsia"/>
          <w:color w:val="auto"/>
          <w:sz w:val="24"/>
          <w:szCs w:val="24"/>
          <w:highlight w:val="none"/>
        </w:rPr>
        <w:t>3.备品备件及易损件</w:t>
      </w:r>
    </w:p>
    <w:p>
      <w:pPr>
        <w:snapToGrid w:val="0"/>
        <w:spacing w:line="400" w:lineRule="exact"/>
        <w:ind w:firstLine="540"/>
        <w:rPr>
          <w:color w:val="auto"/>
          <w:sz w:val="24"/>
          <w:szCs w:val="24"/>
          <w:highlight w:val="none"/>
        </w:rPr>
      </w:pPr>
      <w:r>
        <w:rPr>
          <w:rFonts w:hint="eastAsia"/>
          <w:color w:val="auto"/>
          <w:sz w:val="24"/>
          <w:szCs w:val="24"/>
          <w:highlight w:val="none"/>
        </w:rPr>
        <w:t>供应商和制造商售后服务中，维修使用的备品备件及易损件应为原厂配件，未经采购人同意不得使用非原厂配件，常用的、容易损坏的备品备件及易损件的价格清单须在响应文件中列出</w:t>
      </w:r>
    </w:p>
    <w:p>
      <w:pPr>
        <w:snapToGrid w:val="0"/>
        <w:spacing w:line="400" w:lineRule="exact"/>
        <w:ind w:firstLine="540"/>
        <w:rPr>
          <w:color w:val="auto"/>
          <w:sz w:val="24"/>
          <w:szCs w:val="24"/>
          <w:highlight w:val="none"/>
        </w:rPr>
      </w:pPr>
      <w:r>
        <w:rPr>
          <w:rFonts w:hint="eastAsia"/>
          <w:color w:val="auto"/>
          <w:sz w:val="24"/>
          <w:szCs w:val="24"/>
          <w:highlight w:val="none"/>
        </w:rPr>
        <w:t>（三）软件售后服务内容</w:t>
      </w:r>
    </w:p>
    <w:p>
      <w:pPr>
        <w:snapToGrid w:val="0"/>
        <w:spacing w:line="400" w:lineRule="exact"/>
        <w:ind w:firstLine="540"/>
        <w:rPr>
          <w:color w:val="auto"/>
          <w:sz w:val="24"/>
          <w:szCs w:val="24"/>
          <w:highlight w:val="none"/>
        </w:rPr>
      </w:pPr>
      <w:r>
        <w:rPr>
          <w:rFonts w:hint="eastAsia"/>
          <w:color w:val="auto"/>
          <w:sz w:val="24"/>
          <w:szCs w:val="24"/>
          <w:highlight w:val="none"/>
        </w:rPr>
        <w:t>1、质保期内服务要求</w:t>
      </w:r>
    </w:p>
    <w:p>
      <w:pPr>
        <w:snapToGrid w:val="0"/>
        <w:spacing w:line="400" w:lineRule="exact"/>
        <w:ind w:firstLine="540"/>
        <w:rPr>
          <w:color w:val="auto"/>
          <w:sz w:val="24"/>
          <w:szCs w:val="24"/>
          <w:highlight w:val="none"/>
        </w:rPr>
      </w:pPr>
      <w:r>
        <w:rPr>
          <w:rFonts w:hint="eastAsia"/>
          <w:color w:val="auto"/>
          <w:sz w:val="24"/>
          <w:szCs w:val="24"/>
          <w:highlight w:val="none"/>
        </w:rPr>
        <w:t>（1）在质保期内，负责对其实施的项目提供24小时不间断技术支持服务，提供电话、传真、电子邮件、现场多种方式技术支持服务，全方位响应需求。须2小时内响应，并最迟在第2个工作日内排除错误，2个工作日内不能解决的，必须采取临时应急等措施，最大可能地保证系统的正常使用。根据采购人问题的情况转由专业的系统维护工程师进行支持和维护，保证采购人的问题在任何时间都能得到及时的响应。</w:t>
      </w:r>
    </w:p>
    <w:p>
      <w:pPr>
        <w:snapToGrid w:val="0"/>
        <w:spacing w:line="400" w:lineRule="exact"/>
        <w:ind w:firstLine="540"/>
        <w:rPr>
          <w:color w:val="auto"/>
          <w:sz w:val="24"/>
          <w:szCs w:val="24"/>
          <w:highlight w:val="none"/>
        </w:rPr>
      </w:pPr>
      <w:r>
        <w:rPr>
          <w:rFonts w:hint="eastAsia"/>
          <w:color w:val="auto"/>
          <w:sz w:val="24"/>
          <w:szCs w:val="24"/>
          <w:highlight w:val="none"/>
        </w:rPr>
        <w:t>（2）通过驻场人员或远程接入等方式解决日常维护中的问题。维护内容包括但不限于功能完善性和改进性维护、操作使用、技术讲解和问题排故等。面向该系统的使用相关人员常态化在线提供系统使用过程中的技术咨询和答疑服务，供应商需指派专职售后服务负责人与采购人的系统负责人商定后，组建技术指导群，可依托于企业微信或其他工具群进行在线答疑指导等。</w:t>
      </w:r>
    </w:p>
    <w:p>
      <w:pPr>
        <w:snapToGrid w:val="0"/>
        <w:spacing w:line="400" w:lineRule="exact"/>
        <w:ind w:firstLine="540"/>
        <w:rPr>
          <w:color w:val="auto"/>
          <w:sz w:val="24"/>
          <w:szCs w:val="24"/>
          <w:highlight w:val="none"/>
        </w:rPr>
      </w:pPr>
      <w:r>
        <w:rPr>
          <w:rFonts w:hint="eastAsia"/>
          <w:color w:val="auto"/>
          <w:sz w:val="24"/>
          <w:szCs w:val="24"/>
          <w:highlight w:val="none"/>
        </w:rPr>
        <w:t>（3）在系统验收后每月一次的巡检服务（远程结合现场方式），定期对系统进行检查、维护、诊断，倾听采购人反馈，及时发现系统问题及安全隐患，通过系统调整等手段，保持系统安全、稳定、高效运行。</w:t>
      </w:r>
    </w:p>
    <w:p>
      <w:pPr>
        <w:snapToGrid w:val="0"/>
        <w:spacing w:line="400" w:lineRule="exact"/>
        <w:ind w:firstLine="540"/>
        <w:rPr>
          <w:color w:val="auto"/>
          <w:sz w:val="24"/>
          <w:szCs w:val="24"/>
          <w:highlight w:val="none"/>
        </w:rPr>
      </w:pPr>
      <w:r>
        <w:rPr>
          <w:rFonts w:hint="eastAsia"/>
          <w:color w:val="auto"/>
          <w:sz w:val="24"/>
          <w:szCs w:val="24"/>
          <w:highlight w:val="none"/>
        </w:rPr>
        <w:t>（4）如出现系统瘫痪或服务中断，导致产品的基本功能不能实现或全面退化的故障，将立即启动系统紧急恢复应急预案，提供替代平台产品，使用日常冗余备份的数据库数据，一个工作日之内部署新系统保障服务。</w:t>
      </w:r>
    </w:p>
    <w:p>
      <w:pPr>
        <w:snapToGrid w:val="0"/>
        <w:spacing w:line="400" w:lineRule="exact"/>
        <w:ind w:firstLine="540"/>
        <w:rPr>
          <w:color w:val="auto"/>
          <w:sz w:val="24"/>
          <w:szCs w:val="24"/>
          <w:highlight w:val="none"/>
        </w:rPr>
      </w:pPr>
      <w:r>
        <w:rPr>
          <w:rFonts w:hint="eastAsia"/>
          <w:color w:val="auto"/>
          <w:sz w:val="24"/>
          <w:szCs w:val="24"/>
          <w:highlight w:val="none"/>
        </w:rPr>
        <w:t>（5）确保平台上线后的数据的保密性，做好数据泄漏防护措施，不向任何单位和个人泄露采购人的任何资料信息，如未经采购人许可披露给他人，所造成对采购人的直接损失，经证实，采购人有权通过法律途径向供应商索赔。</w:t>
      </w:r>
    </w:p>
    <w:p>
      <w:pPr>
        <w:snapToGrid w:val="0"/>
        <w:spacing w:line="400" w:lineRule="exact"/>
        <w:ind w:firstLine="540"/>
        <w:rPr>
          <w:color w:val="auto"/>
          <w:sz w:val="24"/>
          <w:szCs w:val="24"/>
          <w:highlight w:val="none"/>
        </w:rPr>
      </w:pPr>
      <w:r>
        <w:rPr>
          <w:rFonts w:hint="eastAsia"/>
          <w:color w:val="auto"/>
          <w:sz w:val="24"/>
          <w:szCs w:val="24"/>
          <w:highlight w:val="none"/>
        </w:rPr>
        <w:t>（6）提供互联网化产品免费更新服务，在系统维保期内，软件产品提供持续的免费升级服务，满足不断变化的业务需要。若在质保期内其他系统需对接本软件，供应商应免费提供接口并配合采购人完成对接；如有后台管理平台或账号，提供相应的后台服务，方便采购人数据统计和平台管理。</w:t>
      </w:r>
    </w:p>
    <w:p>
      <w:pPr>
        <w:snapToGrid w:val="0"/>
        <w:spacing w:line="400" w:lineRule="exact"/>
        <w:ind w:firstLine="540"/>
        <w:rPr>
          <w:color w:val="auto"/>
          <w:sz w:val="24"/>
          <w:szCs w:val="24"/>
          <w:highlight w:val="none"/>
        </w:rPr>
      </w:pPr>
      <w:r>
        <w:rPr>
          <w:rFonts w:hint="eastAsia"/>
          <w:color w:val="auto"/>
          <w:sz w:val="24"/>
          <w:szCs w:val="24"/>
          <w:highlight w:val="none"/>
        </w:rPr>
        <w:t>2、质保期外服务要求</w:t>
      </w:r>
    </w:p>
    <w:p>
      <w:pPr>
        <w:snapToGrid w:val="0"/>
        <w:spacing w:line="400" w:lineRule="exact"/>
        <w:ind w:firstLine="540"/>
        <w:rPr>
          <w:color w:val="auto"/>
          <w:sz w:val="24"/>
          <w:szCs w:val="24"/>
          <w:highlight w:val="none"/>
        </w:rPr>
      </w:pPr>
      <w:r>
        <w:rPr>
          <w:rFonts w:hint="eastAsia"/>
          <w:color w:val="auto"/>
          <w:sz w:val="24"/>
          <w:szCs w:val="24"/>
          <w:highlight w:val="none"/>
        </w:rPr>
        <w:t>（1）质量保证期过后，供应商应同样提供免费电话咨询服务，并应承诺提供运行、功能故障的及时解决、上门维护等服务。</w:t>
      </w:r>
    </w:p>
    <w:p>
      <w:pPr>
        <w:snapToGrid w:val="0"/>
        <w:spacing w:line="400" w:lineRule="exact"/>
        <w:ind w:firstLine="540"/>
        <w:rPr>
          <w:color w:val="auto"/>
          <w:sz w:val="24"/>
          <w:szCs w:val="24"/>
          <w:highlight w:val="none"/>
        </w:rPr>
      </w:pPr>
      <w:r>
        <w:rPr>
          <w:rFonts w:hint="eastAsia"/>
          <w:color w:val="auto"/>
          <w:sz w:val="24"/>
          <w:szCs w:val="24"/>
          <w:highlight w:val="none"/>
        </w:rPr>
        <w:t>（2）质量保证期过后，如采购人希望供应商继续提供年度维保技术服务和软件版本升级服务，供应商需协调软件原厂商继续提供软件版本升级服务（软件原厂商倒闭除外），修复系统出现的问题漏洞，确保系统正常运行，且采购人不再支付正常的版本升级迭代费用；若需供应商继续提供年度维保技术服务的，则年度技术维保服务费控制在合同总价的6%以内，并可根据合同金额大小下调服务费比例；</w:t>
      </w:r>
    </w:p>
    <w:p>
      <w:pPr>
        <w:snapToGrid w:val="0"/>
        <w:spacing w:line="400" w:lineRule="exact"/>
        <w:ind w:firstLine="540"/>
        <w:rPr>
          <w:color w:val="auto"/>
          <w:sz w:val="24"/>
          <w:szCs w:val="24"/>
          <w:highlight w:val="none"/>
        </w:rPr>
      </w:pPr>
      <w:r>
        <w:rPr>
          <w:rFonts w:hint="eastAsia"/>
          <w:color w:val="auto"/>
          <w:sz w:val="24"/>
          <w:szCs w:val="24"/>
          <w:highlight w:val="none"/>
        </w:rPr>
        <w:t>（3）质量保证期过后，若采购人希望继续使用原有软件，但又有新增功能模块需求的，若采用单一来源方式采购，供应商报价不得高于同类型产品相关功能模块的市场价格。</w:t>
      </w:r>
    </w:p>
    <w:p>
      <w:pPr>
        <w:snapToGrid w:val="0"/>
        <w:spacing w:line="400" w:lineRule="exact"/>
        <w:ind w:firstLine="540"/>
        <w:rPr>
          <w:color w:val="auto"/>
          <w:sz w:val="24"/>
          <w:szCs w:val="24"/>
          <w:highlight w:val="none"/>
        </w:rPr>
      </w:pPr>
      <w:r>
        <w:rPr>
          <w:rFonts w:hint="eastAsia"/>
          <w:color w:val="auto"/>
          <w:sz w:val="24"/>
          <w:szCs w:val="24"/>
          <w:highlight w:val="none"/>
        </w:rPr>
        <w:t>3、供应商提供完善的培训体系，并提供培训手册、培训资料技术资料、参考材料等纸质和电子版材料。一是结合项目实施要求，供应商应为采购人培训日常管理、技术跟踪与运维监控等工作的人员；二是根据采购人需要，每年提供不少于1次的系统现场培训，同时提供远程培训服务（电话、E-mail、以及QQ、微信等即时通讯工具提供远程培训）。若系统功能模块进行升级则需要在全校范围内为相关使用人员提供线上或者现场指导，直至平台操作人员熟练操作掌握为准。</w:t>
      </w:r>
    </w:p>
    <w:p>
      <w:pPr>
        <w:snapToGrid w:val="0"/>
        <w:spacing w:line="400" w:lineRule="exact"/>
        <w:ind w:firstLine="540"/>
        <w:rPr>
          <w:color w:val="auto"/>
          <w:sz w:val="24"/>
          <w:szCs w:val="24"/>
          <w:highlight w:val="none"/>
        </w:rPr>
      </w:pPr>
      <w:r>
        <w:rPr>
          <w:rFonts w:hint="eastAsia"/>
          <w:color w:val="auto"/>
          <w:sz w:val="24"/>
          <w:szCs w:val="24"/>
          <w:highlight w:val="none"/>
        </w:rPr>
        <w:t>4、若供应商有更优惠的售后服务，应当在响应文件中说明。</w:t>
      </w:r>
    </w:p>
    <w:p>
      <w:pPr>
        <w:pStyle w:val="4"/>
        <w:spacing w:line="360" w:lineRule="auto"/>
        <w:rPr>
          <w:color w:val="auto"/>
          <w:sz w:val="24"/>
          <w:szCs w:val="24"/>
          <w:highlight w:val="none"/>
        </w:rPr>
      </w:pPr>
      <w:bookmarkStart w:id="55" w:name="_Toc129178875"/>
      <w:bookmarkStart w:id="56" w:name="_Toc130806208"/>
      <w:bookmarkStart w:id="57" w:name="_Toc2256"/>
      <w:r>
        <w:rPr>
          <w:rFonts w:hint="eastAsia"/>
          <w:color w:val="auto"/>
          <w:sz w:val="24"/>
          <w:szCs w:val="24"/>
          <w:highlight w:val="none"/>
        </w:rPr>
        <w:t>四、付款方式</w:t>
      </w:r>
      <w:bookmarkEnd w:id="55"/>
      <w:bookmarkEnd w:id="56"/>
      <w:bookmarkEnd w:id="57"/>
    </w:p>
    <w:p>
      <w:pPr>
        <w:snapToGrid w:val="0"/>
        <w:spacing w:line="400" w:lineRule="exact"/>
        <w:ind w:firstLine="540"/>
        <w:rPr>
          <w:color w:val="auto"/>
          <w:sz w:val="24"/>
          <w:szCs w:val="24"/>
          <w:highlight w:val="none"/>
        </w:rPr>
      </w:pPr>
      <w:r>
        <w:rPr>
          <w:rFonts w:hint="eastAsia"/>
          <w:color w:val="auto"/>
          <w:sz w:val="24"/>
          <w:szCs w:val="24"/>
          <w:highlight w:val="none"/>
        </w:rPr>
        <w:t>（一）供应商按采购合同完成交货并安装调并完成试运行（试运行验收合格），经需方正式验收合格后出具项目验收报告。</w:t>
      </w:r>
    </w:p>
    <w:p>
      <w:pPr>
        <w:snapToGrid w:val="0"/>
        <w:spacing w:line="400" w:lineRule="exact"/>
        <w:ind w:firstLine="540"/>
        <w:rPr>
          <w:color w:val="auto"/>
          <w:sz w:val="24"/>
          <w:szCs w:val="24"/>
          <w:highlight w:val="none"/>
        </w:rPr>
      </w:pPr>
      <w:r>
        <w:rPr>
          <w:rFonts w:hint="eastAsia"/>
          <w:color w:val="auto"/>
          <w:sz w:val="24"/>
          <w:szCs w:val="24"/>
          <w:highlight w:val="none"/>
        </w:rPr>
        <w:t>（二）验收通过后，供应商向采购人开具增值税专用发票含抵扣联和发票联（若项目为硬件和软件一体的，应分别开具硬件、软件（服务）的发票），采购人以转账方式向供应商一次性支付合同全款。</w:t>
      </w:r>
    </w:p>
    <w:p>
      <w:pPr>
        <w:pStyle w:val="4"/>
        <w:spacing w:line="360" w:lineRule="auto"/>
        <w:rPr>
          <w:color w:val="auto"/>
          <w:sz w:val="24"/>
          <w:szCs w:val="24"/>
          <w:highlight w:val="none"/>
        </w:rPr>
      </w:pPr>
      <w:bookmarkStart w:id="58" w:name="_Toc129178876"/>
      <w:bookmarkStart w:id="59" w:name="_Toc7392"/>
      <w:bookmarkStart w:id="60" w:name="_Toc72311759"/>
      <w:bookmarkStart w:id="61" w:name="_Toc115877700"/>
      <w:bookmarkStart w:id="62" w:name="_Toc130806209"/>
      <w:bookmarkStart w:id="63" w:name="_Toc10678"/>
      <w:r>
        <w:rPr>
          <w:rFonts w:hint="eastAsia"/>
          <w:color w:val="auto"/>
          <w:sz w:val="24"/>
          <w:szCs w:val="24"/>
          <w:highlight w:val="none"/>
        </w:rPr>
        <w:t>五、履约保证金（缴至重庆工商大学指定账户）</w:t>
      </w:r>
      <w:bookmarkEnd w:id="58"/>
      <w:bookmarkEnd w:id="59"/>
      <w:bookmarkEnd w:id="60"/>
      <w:bookmarkEnd w:id="61"/>
      <w:bookmarkEnd w:id="62"/>
      <w:bookmarkEnd w:id="63"/>
    </w:p>
    <w:p>
      <w:pPr>
        <w:snapToGrid w:val="0"/>
        <w:spacing w:line="400" w:lineRule="exact"/>
        <w:ind w:firstLine="540"/>
        <w:rPr>
          <w:color w:val="auto"/>
          <w:sz w:val="24"/>
          <w:szCs w:val="24"/>
          <w:highlight w:val="none"/>
        </w:rPr>
      </w:pPr>
      <w:r>
        <w:rPr>
          <w:rFonts w:hint="eastAsia"/>
          <w:color w:val="auto"/>
          <w:sz w:val="24"/>
          <w:szCs w:val="24"/>
          <w:highlight w:val="none"/>
        </w:rPr>
        <w:t>（一）供应商</w:t>
      </w:r>
      <w:r>
        <w:rPr>
          <w:color w:val="auto"/>
          <w:sz w:val="24"/>
          <w:szCs w:val="24"/>
          <w:highlight w:val="none"/>
        </w:rPr>
        <w:t>须在采购人签订合同前向采购人</w:t>
      </w:r>
      <w:r>
        <w:rPr>
          <w:rFonts w:hint="eastAsia"/>
          <w:color w:val="auto"/>
          <w:sz w:val="24"/>
          <w:szCs w:val="24"/>
          <w:highlight w:val="none"/>
        </w:rPr>
        <w:t>指定银行账户</w:t>
      </w:r>
      <w:r>
        <w:rPr>
          <w:color w:val="auto"/>
          <w:sz w:val="24"/>
          <w:szCs w:val="24"/>
          <w:highlight w:val="none"/>
        </w:rPr>
        <w:t>汇入合同总金额5%的履约保证金，确保项目按期、按质进行。</w:t>
      </w:r>
      <w:r>
        <w:rPr>
          <w:rFonts w:hint="eastAsia"/>
          <w:color w:val="auto"/>
          <w:sz w:val="24"/>
          <w:szCs w:val="24"/>
          <w:highlight w:val="none"/>
        </w:rPr>
        <w:t>供应商</w:t>
      </w:r>
      <w:r>
        <w:rPr>
          <w:color w:val="auto"/>
          <w:sz w:val="24"/>
          <w:szCs w:val="24"/>
          <w:highlight w:val="none"/>
        </w:rPr>
        <w:t>若发生部分违约现象，采购人从履约保证金中扣除相应金额的违约金；若发现严重违约现象，采购人有充分理由没收其全额保证金。</w:t>
      </w:r>
    </w:p>
    <w:p>
      <w:pPr>
        <w:snapToGrid w:val="0"/>
        <w:spacing w:line="400" w:lineRule="exact"/>
        <w:ind w:firstLine="540"/>
        <w:rPr>
          <w:color w:val="auto"/>
          <w:sz w:val="24"/>
          <w:szCs w:val="24"/>
          <w:highlight w:val="none"/>
        </w:rPr>
      </w:pPr>
      <w:r>
        <w:rPr>
          <w:rFonts w:hint="eastAsia"/>
          <w:color w:val="auto"/>
          <w:sz w:val="24"/>
          <w:szCs w:val="24"/>
          <w:highlight w:val="none"/>
        </w:rPr>
        <w:t>（二）</w:t>
      </w:r>
      <w:r>
        <w:rPr>
          <w:color w:val="auto"/>
          <w:sz w:val="24"/>
          <w:szCs w:val="24"/>
          <w:highlight w:val="none"/>
        </w:rPr>
        <w:t>履约保证金缴纳方式：以转账、电汇等方式交到重庆工商大学指定银行账户，不得以现金或其他方式划入任何个人账户，否则由此产生的所有损失由</w:t>
      </w:r>
      <w:r>
        <w:rPr>
          <w:rFonts w:hint="eastAsia"/>
          <w:color w:val="auto"/>
          <w:sz w:val="24"/>
          <w:szCs w:val="24"/>
          <w:highlight w:val="none"/>
        </w:rPr>
        <w:t>供应商</w:t>
      </w:r>
      <w:r>
        <w:rPr>
          <w:color w:val="auto"/>
          <w:sz w:val="24"/>
          <w:szCs w:val="24"/>
          <w:highlight w:val="none"/>
        </w:rPr>
        <w:t>自行承担。</w:t>
      </w:r>
      <w:r>
        <w:rPr>
          <w:rFonts w:hint="eastAsia"/>
          <w:color w:val="auto"/>
          <w:sz w:val="24"/>
          <w:szCs w:val="24"/>
          <w:highlight w:val="none"/>
        </w:rPr>
        <w:t>供应商</w:t>
      </w:r>
      <w:r>
        <w:rPr>
          <w:color w:val="auto"/>
          <w:sz w:val="24"/>
          <w:szCs w:val="24"/>
          <w:highlight w:val="none"/>
        </w:rPr>
        <w:t>务必在汇款凭证上注明投“CTBU-JZ2023</w:t>
      </w:r>
      <w:r>
        <w:rPr>
          <w:rFonts w:hint="eastAsia"/>
          <w:color w:val="auto"/>
          <w:sz w:val="24"/>
          <w:szCs w:val="24"/>
          <w:highlight w:val="none"/>
        </w:rPr>
        <w:t>107</w:t>
      </w:r>
      <w:r>
        <w:rPr>
          <w:color w:val="auto"/>
          <w:sz w:val="24"/>
          <w:szCs w:val="24"/>
          <w:highlight w:val="none"/>
        </w:rPr>
        <w:t>”。</w:t>
      </w:r>
    </w:p>
    <w:p>
      <w:pPr>
        <w:snapToGrid w:val="0"/>
        <w:spacing w:line="400" w:lineRule="exact"/>
        <w:ind w:firstLine="540"/>
        <w:rPr>
          <w:color w:val="auto"/>
          <w:sz w:val="24"/>
          <w:szCs w:val="24"/>
          <w:highlight w:val="none"/>
        </w:rPr>
      </w:pPr>
      <w:r>
        <w:rPr>
          <w:rFonts w:hint="eastAsia"/>
          <w:color w:val="auto"/>
          <w:sz w:val="24"/>
          <w:szCs w:val="24"/>
          <w:highlight w:val="none"/>
        </w:rPr>
        <w:t>（三）</w:t>
      </w:r>
      <w:r>
        <w:rPr>
          <w:color w:val="auto"/>
          <w:sz w:val="24"/>
          <w:szCs w:val="24"/>
          <w:highlight w:val="none"/>
        </w:rPr>
        <w:t>履约保证金指定收取账户</w:t>
      </w:r>
    </w:p>
    <w:p>
      <w:pPr>
        <w:snapToGrid w:val="0"/>
        <w:spacing w:line="400" w:lineRule="exact"/>
        <w:ind w:firstLine="540"/>
        <w:rPr>
          <w:color w:val="auto"/>
          <w:sz w:val="24"/>
          <w:szCs w:val="24"/>
          <w:highlight w:val="none"/>
        </w:rPr>
      </w:pPr>
      <w:r>
        <w:rPr>
          <w:color w:val="auto"/>
          <w:sz w:val="24"/>
          <w:szCs w:val="24"/>
          <w:highlight w:val="none"/>
        </w:rPr>
        <w:t>户名：重庆工商大学</w:t>
      </w:r>
    </w:p>
    <w:p>
      <w:pPr>
        <w:snapToGrid w:val="0"/>
        <w:spacing w:line="400" w:lineRule="exact"/>
        <w:ind w:firstLine="540"/>
        <w:rPr>
          <w:color w:val="auto"/>
          <w:sz w:val="24"/>
          <w:szCs w:val="24"/>
          <w:highlight w:val="none"/>
        </w:rPr>
      </w:pPr>
      <w:r>
        <w:rPr>
          <w:color w:val="auto"/>
          <w:sz w:val="24"/>
          <w:szCs w:val="24"/>
          <w:highlight w:val="none"/>
        </w:rPr>
        <w:t>开户行：工行重庆南岸学府支行</w:t>
      </w:r>
    </w:p>
    <w:p>
      <w:pPr>
        <w:snapToGrid w:val="0"/>
        <w:spacing w:line="400" w:lineRule="exact"/>
        <w:ind w:firstLine="540"/>
        <w:rPr>
          <w:color w:val="auto"/>
          <w:sz w:val="24"/>
          <w:szCs w:val="24"/>
          <w:highlight w:val="none"/>
        </w:rPr>
      </w:pPr>
      <w:r>
        <w:rPr>
          <w:color w:val="auto"/>
          <w:sz w:val="24"/>
          <w:szCs w:val="24"/>
          <w:highlight w:val="none"/>
        </w:rPr>
        <w:t>账号：9558 8531 0075 3300 031</w:t>
      </w:r>
    </w:p>
    <w:p>
      <w:pPr>
        <w:snapToGrid w:val="0"/>
        <w:spacing w:line="400" w:lineRule="exact"/>
        <w:ind w:firstLine="540"/>
        <w:rPr>
          <w:color w:val="auto"/>
          <w:sz w:val="24"/>
          <w:szCs w:val="24"/>
          <w:highlight w:val="none"/>
        </w:rPr>
      </w:pPr>
      <w:r>
        <w:rPr>
          <w:color w:val="auto"/>
          <w:sz w:val="24"/>
          <w:szCs w:val="24"/>
          <w:highlight w:val="none"/>
        </w:rPr>
        <w:t>统一社会信用代码</w:t>
      </w:r>
      <w:r>
        <w:rPr>
          <w:rFonts w:hint="eastAsia"/>
          <w:color w:val="auto"/>
          <w:sz w:val="24"/>
          <w:szCs w:val="24"/>
          <w:highlight w:val="none"/>
        </w:rPr>
        <w:t>：</w:t>
      </w:r>
      <w:r>
        <w:rPr>
          <w:color w:val="auto"/>
          <w:sz w:val="24"/>
          <w:szCs w:val="24"/>
          <w:highlight w:val="none"/>
        </w:rPr>
        <w:t>125000007428748822</w:t>
      </w:r>
    </w:p>
    <w:p>
      <w:pPr>
        <w:snapToGrid w:val="0"/>
        <w:spacing w:line="400" w:lineRule="exact"/>
        <w:ind w:firstLine="540"/>
        <w:rPr>
          <w:color w:val="auto"/>
          <w:sz w:val="24"/>
          <w:szCs w:val="24"/>
          <w:highlight w:val="none"/>
        </w:rPr>
      </w:pPr>
      <w:r>
        <w:rPr>
          <w:rFonts w:hint="eastAsia"/>
          <w:color w:val="auto"/>
          <w:sz w:val="24"/>
          <w:szCs w:val="24"/>
          <w:highlight w:val="none"/>
        </w:rPr>
        <w:t>（四）</w:t>
      </w:r>
      <w:r>
        <w:rPr>
          <w:color w:val="auto"/>
          <w:sz w:val="24"/>
          <w:szCs w:val="24"/>
          <w:highlight w:val="none"/>
        </w:rPr>
        <w:t>履约保证金退还方式</w:t>
      </w:r>
    </w:p>
    <w:p>
      <w:pPr>
        <w:snapToGrid w:val="0"/>
        <w:spacing w:line="400" w:lineRule="exact"/>
        <w:ind w:firstLine="540"/>
        <w:rPr>
          <w:color w:val="auto"/>
          <w:sz w:val="24"/>
          <w:szCs w:val="24"/>
          <w:highlight w:val="none"/>
        </w:rPr>
      </w:pPr>
      <w:r>
        <w:rPr>
          <w:color w:val="auto"/>
          <w:sz w:val="24"/>
          <w:szCs w:val="24"/>
          <w:highlight w:val="none"/>
        </w:rPr>
        <w:t>1</w:t>
      </w:r>
      <w:r>
        <w:rPr>
          <w:rFonts w:hint="eastAsia"/>
          <w:color w:val="auto"/>
          <w:sz w:val="24"/>
          <w:szCs w:val="24"/>
          <w:highlight w:val="none"/>
        </w:rPr>
        <w:t>.</w:t>
      </w:r>
      <w:r>
        <w:rPr>
          <w:color w:val="auto"/>
          <w:sz w:val="24"/>
          <w:szCs w:val="24"/>
          <w:highlight w:val="none"/>
        </w:rPr>
        <w:t>在验收合格后且无遗留问题的前提下，质保期满</w:t>
      </w:r>
      <w:r>
        <w:rPr>
          <w:rFonts w:hint="eastAsia"/>
          <w:color w:val="auto"/>
          <w:sz w:val="24"/>
          <w:szCs w:val="24"/>
          <w:highlight w:val="none"/>
          <w:lang w:val="en-US" w:eastAsia="zh-CN"/>
        </w:rPr>
        <w:t>5</w:t>
      </w:r>
      <w:r>
        <w:rPr>
          <w:rFonts w:hint="eastAsia"/>
          <w:color w:val="auto"/>
          <w:sz w:val="24"/>
          <w:szCs w:val="24"/>
          <w:highlight w:val="none"/>
        </w:rPr>
        <w:t>年</w:t>
      </w:r>
      <w:r>
        <w:rPr>
          <w:color w:val="auto"/>
          <w:sz w:val="24"/>
          <w:szCs w:val="24"/>
          <w:highlight w:val="none"/>
        </w:rPr>
        <w:t>且无遗留问题的前提下退还</w:t>
      </w:r>
      <w:r>
        <w:rPr>
          <w:rFonts w:hint="eastAsia"/>
          <w:color w:val="auto"/>
          <w:sz w:val="24"/>
          <w:szCs w:val="24"/>
          <w:highlight w:val="none"/>
        </w:rPr>
        <w:t>全额</w:t>
      </w:r>
      <w:r>
        <w:rPr>
          <w:color w:val="auto"/>
          <w:sz w:val="24"/>
          <w:szCs w:val="24"/>
          <w:highlight w:val="none"/>
        </w:rPr>
        <w:t>履约保证金（不计利息）。</w:t>
      </w:r>
    </w:p>
    <w:p>
      <w:pPr>
        <w:snapToGrid w:val="0"/>
        <w:spacing w:line="400" w:lineRule="exact"/>
        <w:ind w:firstLine="540"/>
        <w:rPr>
          <w:color w:val="auto"/>
          <w:sz w:val="24"/>
          <w:szCs w:val="24"/>
          <w:highlight w:val="none"/>
        </w:rPr>
      </w:pPr>
      <w:r>
        <w:rPr>
          <w:color w:val="auto"/>
          <w:sz w:val="24"/>
          <w:szCs w:val="24"/>
          <w:highlight w:val="none"/>
        </w:rPr>
        <w:t>2</w:t>
      </w:r>
      <w:r>
        <w:rPr>
          <w:rFonts w:hint="eastAsia"/>
          <w:color w:val="auto"/>
          <w:sz w:val="24"/>
          <w:szCs w:val="24"/>
          <w:highlight w:val="none"/>
        </w:rPr>
        <w:t>.供应商</w:t>
      </w:r>
      <w:r>
        <w:rPr>
          <w:color w:val="auto"/>
          <w:sz w:val="24"/>
          <w:szCs w:val="24"/>
          <w:highlight w:val="none"/>
        </w:rPr>
        <w:t>申请退履约保证金时提供</w:t>
      </w:r>
      <w:r>
        <w:rPr>
          <w:rFonts w:hint="eastAsia"/>
          <w:color w:val="auto"/>
          <w:sz w:val="24"/>
          <w:szCs w:val="24"/>
          <w:highlight w:val="none"/>
        </w:rPr>
        <w:t>需求部门</w:t>
      </w:r>
      <w:r>
        <w:rPr>
          <w:color w:val="auto"/>
          <w:sz w:val="24"/>
          <w:szCs w:val="24"/>
          <w:highlight w:val="none"/>
        </w:rPr>
        <w:t>、资产管理处签署的《</w:t>
      </w:r>
      <w:r>
        <w:rPr>
          <w:rFonts w:hint="eastAsia"/>
          <w:color w:val="auto"/>
          <w:sz w:val="24"/>
          <w:szCs w:val="24"/>
          <w:highlight w:val="none"/>
        </w:rPr>
        <w:t>重庆工商大学货物及服务项目质量评估报告及履约保证金退还审核流程表</w:t>
      </w:r>
      <w:r>
        <w:rPr>
          <w:color w:val="auto"/>
          <w:sz w:val="24"/>
          <w:szCs w:val="24"/>
          <w:highlight w:val="none"/>
        </w:rPr>
        <w:t>》，下载网址：https://zbcg.ctbu.edu.cn/zlxz.htm。</w:t>
      </w:r>
    </w:p>
    <w:p>
      <w:pPr>
        <w:snapToGrid w:val="0"/>
        <w:spacing w:line="400" w:lineRule="exact"/>
        <w:ind w:firstLine="540"/>
        <w:rPr>
          <w:color w:val="auto"/>
          <w:sz w:val="24"/>
          <w:szCs w:val="24"/>
          <w:highlight w:val="none"/>
        </w:rPr>
      </w:pPr>
      <w:r>
        <w:rPr>
          <w:rFonts w:hint="eastAsia"/>
          <w:color w:val="auto"/>
          <w:sz w:val="24"/>
          <w:szCs w:val="24"/>
          <w:highlight w:val="none"/>
        </w:rPr>
        <w:t>注：如遇寒暑假或国家重大事件，则顺延至开学或条件允许后支付。</w:t>
      </w:r>
    </w:p>
    <w:bookmarkEnd w:id="48"/>
    <w:p>
      <w:pPr>
        <w:pStyle w:val="4"/>
        <w:spacing w:line="360" w:lineRule="auto"/>
        <w:rPr>
          <w:color w:val="auto"/>
          <w:sz w:val="24"/>
          <w:szCs w:val="24"/>
          <w:highlight w:val="none"/>
        </w:rPr>
      </w:pPr>
      <w:bookmarkStart w:id="64" w:name="_Toc130806210"/>
      <w:bookmarkStart w:id="65" w:name="_Toc267320052"/>
      <w:bookmarkStart w:id="66" w:name="_Toc129178877"/>
      <w:bookmarkStart w:id="67" w:name="_Toc5172"/>
      <w:bookmarkStart w:id="68" w:name="_Toc115877701"/>
      <w:bookmarkStart w:id="69" w:name="_Toc26758"/>
      <w:r>
        <w:rPr>
          <w:rFonts w:hint="eastAsia"/>
          <w:color w:val="auto"/>
          <w:sz w:val="24"/>
          <w:szCs w:val="24"/>
          <w:highlight w:val="none"/>
        </w:rPr>
        <w:t>六、知识产权</w:t>
      </w:r>
      <w:bookmarkEnd w:id="64"/>
      <w:bookmarkEnd w:id="65"/>
      <w:bookmarkEnd w:id="66"/>
      <w:bookmarkEnd w:id="67"/>
      <w:bookmarkEnd w:id="68"/>
      <w:bookmarkEnd w:id="69"/>
    </w:p>
    <w:p>
      <w:pPr>
        <w:snapToGrid w:val="0"/>
        <w:spacing w:line="400" w:lineRule="exact"/>
        <w:ind w:firstLine="540"/>
        <w:rPr>
          <w:color w:val="auto"/>
          <w:sz w:val="24"/>
          <w:szCs w:val="24"/>
          <w:highlight w:val="none"/>
        </w:rPr>
      </w:pPr>
      <w:r>
        <w:rPr>
          <w:rFonts w:hint="eastAsia"/>
          <w:color w:val="auto"/>
          <w:sz w:val="24"/>
          <w:szCs w:val="24"/>
          <w:highlight w:val="none"/>
        </w:rPr>
        <w:t>采购人在中华人民共和国境内使用供应商提供的货物及服务时免受第三方提出的侵犯其专利权或其它知识产权的起诉。如果第三方提出侵权指控，供应商应承担由此而引起的一切法律责任和费用。</w:t>
      </w:r>
    </w:p>
    <w:p>
      <w:pPr>
        <w:pStyle w:val="4"/>
        <w:spacing w:line="360" w:lineRule="auto"/>
        <w:rPr>
          <w:color w:val="auto"/>
          <w:sz w:val="24"/>
          <w:szCs w:val="24"/>
          <w:highlight w:val="none"/>
        </w:rPr>
      </w:pPr>
      <w:bookmarkStart w:id="70" w:name="_Toc115877702"/>
      <w:bookmarkStart w:id="71" w:name="_Toc20952"/>
      <w:bookmarkStart w:id="72" w:name="_Toc130806211"/>
      <w:bookmarkStart w:id="73" w:name="_Toc129178878"/>
      <w:bookmarkStart w:id="74" w:name="_Toc23636"/>
      <w:r>
        <w:rPr>
          <w:rFonts w:hint="eastAsia"/>
          <w:color w:val="auto"/>
          <w:sz w:val="24"/>
          <w:szCs w:val="24"/>
          <w:highlight w:val="none"/>
        </w:rPr>
        <w:t>七、培训</w:t>
      </w:r>
      <w:bookmarkEnd w:id="70"/>
      <w:bookmarkEnd w:id="71"/>
      <w:bookmarkEnd w:id="72"/>
      <w:bookmarkEnd w:id="73"/>
      <w:r>
        <w:rPr>
          <w:rFonts w:hint="eastAsia"/>
          <w:color w:val="auto"/>
          <w:sz w:val="24"/>
          <w:szCs w:val="24"/>
          <w:highlight w:val="none"/>
        </w:rPr>
        <w:t>及二次开发</w:t>
      </w:r>
      <w:bookmarkEnd w:id="74"/>
    </w:p>
    <w:p>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w:t>
      </w:r>
      <w:r>
        <w:rPr>
          <w:rFonts w:hint="eastAsia"/>
          <w:color w:val="auto"/>
          <w:sz w:val="24"/>
          <w:szCs w:val="24"/>
          <w:highlight w:val="none"/>
        </w:rPr>
        <w:t>供应商对其提供产品的使用和操作应尽培训义务。供应商应提供对采购人的免费培训</w:t>
      </w:r>
      <w:r>
        <w:rPr>
          <w:rFonts w:hint="eastAsia" w:ascii="宋体" w:hAnsi="宋体" w:cs="宋体"/>
          <w:color w:val="auto"/>
          <w:kern w:val="0"/>
          <w:sz w:val="24"/>
          <w:szCs w:val="24"/>
          <w:highlight w:val="none"/>
        </w:rPr>
        <w:t>（提供培训纸质和电子文档）</w:t>
      </w:r>
      <w:r>
        <w:rPr>
          <w:rFonts w:hint="eastAsia"/>
          <w:color w:val="auto"/>
          <w:sz w:val="24"/>
          <w:szCs w:val="24"/>
          <w:highlight w:val="none"/>
        </w:rPr>
        <w:t>，使采购人使用人员能够正常操作。培训计划（培训时间安排，课程内容安排）由采购人需求部门和供应商协商确定后实施</w:t>
      </w:r>
      <w:r>
        <w:rPr>
          <w:rFonts w:hint="eastAsia" w:ascii="宋体" w:hAnsi="宋体" w:cs="宋体"/>
          <w:color w:val="auto"/>
          <w:kern w:val="0"/>
          <w:sz w:val="24"/>
          <w:szCs w:val="24"/>
          <w:highlight w:val="none"/>
        </w:rPr>
        <w:t>。</w:t>
      </w:r>
    </w:p>
    <w:p>
      <w:pPr>
        <w:snapToGrid w:val="0"/>
        <w:spacing w:line="400" w:lineRule="exact"/>
        <w:ind w:firstLine="540"/>
        <w:rPr>
          <w:color w:val="auto"/>
          <w:sz w:val="24"/>
          <w:szCs w:val="24"/>
          <w:highlight w:val="none"/>
        </w:rPr>
      </w:pPr>
      <w:r>
        <w:rPr>
          <w:rFonts w:hint="eastAsia" w:ascii="宋体" w:hAnsi="宋体" w:cs="宋体"/>
          <w:color w:val="auto"/>
          <w:kern w:val="0"/>
          <w:sz w:val="24"/>
          <w:szCs w:val="24"/>
          <w:highlight w:val="none"/>
        </w:rPr>
        <w:t>（二）系统产生的数据归采购人所有，用于采购人教学、实验等方面，供应商未经采购人许可不得挪作他用。</w:t>
      </w:r>
    </w:p>
    <w:p>
      <w:pPr>
        <w:pStyle w:val="4"/>
        <w:spacing w:line="360" w:lineRule="auto"/>
        <w:rPr>
          <w:color w:val="auto"/>
          <w:sz w:val="24"/>
          <w:szCs w:val="24"/>
          <w:highlight w:val="none"/>
        </w:rPr>
      </w:pPr>
      <w:bookmarkStart w:id="75" w:name="_Toc267320053"/>
      <w:bookmarkStart w:id="76" w:name="_Toc524622133"/>
      <w:bookmarkStart w:id="77" w:name="_Toc129178879"/>
      <w:bookmarkStart w:id="78" w:name="_Toc115877703"/>
      <w:bookmarkStart w:id="79" w:name="_Toc130806212"/>
      <w:bookmarkStart w:id="80" w:name="_Toc24471"/>
      <w:bookmarkStart w:id="81" w:name="_Toc13317"/>
      <w:r>
        <w:rPr>
          <w:rFonts w:hint="eastAsia"/>
          <w:color w:val="auto"/>
          <w:sz w:val="24"/>
          <w:szCs w:val="24"/>
          <w:highlight w:val="none"/>
        </w:rPr>
        <w:t>八、</w:t>
      </w:r>
      <w:bookmarkEnd w:id="75"/>
      <w:bookmarkEnd w:id="76"/>
      <w:r>
        <w:rPr>
          <w:rFonts w:hint="eastAsia"/>
          <w:color w:val="auto"/>
          <w:sz w:val="24"/>
          <w:szCs w:val="24"/>
          <w:highlight w:val="none"/>
        </w:rPr>
        <w:t>违约责任</w:t>
      </w:r>
      <w:bookmarkEnd w:id="77"/>
      <w:bookmarkEnd w:id="78"/>
      <w:bookmarkEnd w:id="79"/>
      <w:bookmarkEnd w:id="80"/>
      <w:bookmarkEnd w:id="81"/>
    </w:p>
    <w:p>
      <w:pPr>
        <w:snapToGrid w:val="0"/>
        <w:spacing w:line="400" w:lineRule="exact"/>
        <w:ind w:firstLine="540"/>
        <w:rPr>
          <w:color w:val="auto"/>
          <w:sz w:val="24"/>
          <w:szCs w:val="24"/>
          <w:highlight w:val="none"/>
        </w:rPr>
      </w:pPr>
      <w:r>
        <w:rPr>
          <w:rFonts w:hint="eastAsia"/>
          <w:color w:val="auto"/>
          <w:sz w:val="24"/>
          <w:szCs w:val="24"/>
          <w:highlight w:val="none"/>
        </w:rPr>
        <w:t>（一）采购人可通过现场考察、函询等多种方式对供应商的响应文件响应情况予以核查，供应商须无条件配合并提供有关证明材料，证明其响应内容的真实有效性。采购人若发现供应商进行虚假响应或提供虚假材料的，有权取消供应商的中标资格，全额没收投标保证金；若在合同签订后查实供应商进行虚假响应或提供虚假材料的，采购人有权单方面终止合同，全额没收履约保证金。</w:t>
      </w:r>
    </w:p>
    <w:p>
      <w:pPr>
        <w:snapToGrid w:val="0"/>
        <w:spacing w:line="400" w:lineRule="exact"/>
        <w:ind w:firstLine="540"/>
        <w:rPr>
          <w:color w:val="auto"/>
          <w:sz w:val="24"/>
          <w:szCs w:val="24"/>
          <w:highlight w:val="none"/>
        </w:rPr>
      </w:pPr>
      <w:r>
        <w:rPr>
          <w:rFonts w:hint="eastAsia"/>
          <w:color w:val="auto"/>
          <w:sz w:val="24"/>
          <w:szCs w:val="24"/>
          <w:highlight w:val="none"/>
        </w:rPr>
        <w:t>（二）若供应商发生部分违约现象，采购人从履约保证金中扣除相应金额的违约金；若发现严重违约现象，采购人有充分理由没收其全额保证金。</w:t>
      </w:r>
    </w:p>
    <w:p>
      <w:pPr>
        <w:snapToGrid w:val="0"/>
        <w:spacing w:line="400" w:lineRule="exact"/>
        <w:ind w:firstLine="540"/>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zh-TW"/>
        </w:rPr>
        <w:t>非不可抗力情况下，因供应商自身原因</w:t>
      </w:r>
      <w:r>
        <w:rPr>
          <w:rFonts w:hint="eastAsia"/>
          <w:color w:val="auto"/>
          <w:sz w:val="24"/>
          <w:szCs w:val="24"/>
          <w:highlight w:val="none"/>
          <w:lang w:val="zh-TW" w:eastAsia="zh-TW"/>
        </w:rPr>
        <w:t>终止履行合同的</w:t>
      </w:r>
      <w:r>
        <w:rPr>
          <w:rFonts w:hint="eastAsia"/>
          <w:color w:val="auto"/>
          <w:sz w:val="24"/>
          <w:szCs w:val="24"/>
          <w:highlight w:val="none"/>
        </w:rPr>
        <w:t>，履约保证金全额不予退还；</w:t>
      </w:r>
    </w:p>
    <w:p>
      <w:pPr>
        <w:snapToGrid w:val="0"/>
        <w:spacing w:line="400" w:lineRule="exact"/>
        <w:ind w:firstLine="540"/>
        <w:rPr>
          <w:color w:val="auto"/>
          <w:sz w:val="24"/>
          <w:szCs w:val="24"/>
          <w:highlight w:val="none"/>
        </w:rPr>
      </w:pPr>
      <w:r>
        <w:rPr>
          <w:rFonts w:hint="eastAsia"/>
          <w:color w:val="auto"/>
          <w:sz w:val="24"/>
          <w:szCs w:val="24"/>
          <w:highlight w:val="none"/>
        </w:rPr>
        <w:t>2.若供应商未能按合同和采购文件要求供货或提供服务的（包含但不限于供应商提供的产品与合同、响应文件的品牌规格型号不一致等情形），履约保证金全额不予退还；</w:t>
      </w:r>
    </w:p>
    <w:p>
      <w:pPr>
        <w:snapToGrid w:val="0"/>
        <w:spacing w:line="400" w:lineRule="exact"/>
        <w:ind w:firstLine="540"/>
        <w:rPr>
          <w:color w:val="auto"/>
          <w:sz w:val="24"/>
          <w:szCs w:val="24"/>
          <w:highlight w:val="none"/>
        </w:rPr>
      </w:pPr>
      <w:r>
        <w:rPr>
          <w:rFonts w:hint="eastAsia"/>
          <w:color w:val="auto"/>
          <w:sz w:val="24"/>
          <w:szCs w:val="24"/>
          <w:highlight w:val="none"/>
        </w:rPr>
        <w:t>3.</w:t>
      </w:r>
      <w:r>
        <w:rPr>
          <w:rFonts w:hint="eastAsia"/>
          <w:color w:val="auto"/>
          <w:sz w:val="24"/>
          <w:szCs w:val="24"/>
          <w:highlight w:val="none"/>
          <w:lang w:val="zh-TW"/>
        </w:rPr>
        <w:t>非不可抗力情况下，因供应商自身原因</w:t>
      </w:r>
      <w:r>
        <w:rPr>
          <w:rFonts w:hint="eastAsia"/>
          <w:color w:val="auto"/>
          <w:sz w:val="24"/>
          <w:szCs w:val="24"/>
          <w:highlight w:val="none"/>
          <w:lang w:val="zh-TW" w:eastAsia="zh-TW"/>
        </w:rPr>
        <w:t>超过合同交货期限仍未送货安装调试达到验收要求的</w:t>
      </w:r>
      <w:r>
        <w:rPr>
          <w:rFonts w:hint="eastAsia"/>
          <w:color w:val="auto"/>
          <w:sz w:val="24"/>
          <w:szCs w:val="24"/>
          <w:highlight w:val="none"/>
        </w:rPr>
        <w:t>，超期1天，采购人扣除供应商履约保证金的3%作为违约惩罚，以此类推；</w:t>
      </w:r>
    </w:p>
    <w:p>
      <w:pPr>
        <w:snapToGrid w:val="0"/>
        <w:spacing w:line="400" w:lineRule="exact"/>
        <w:ind w:firstLine="540"/>
        <w:rPr>
          <w:color w:val="auto"/>
          <w:sz w:val="24"/>
          <w:szCs w:val="24"/>
          <w:highlight w:val="none"/>
        </w:rPr>
      </w:pPr>
      <w:r>
        <w:rPr>
          <w:rFonts w:hint="eastAsia"/>
          <w:color w:val="auto"/>
          <w:sz w:val="24"/>
          <w:szCs w:val="24"/>
          <w:highlight w:val="none"/>
        </w:rPr>
        <w:t>4.因不可抗力，或采购人自身原因，致使交货期限延后的，供应商不承担相应违约责任。但供应商须提供采购人需求部门出具的同意延迟交货以及确定延迟交货期的书面情况说明，采购人需求部门负责人签字并加盖采购人需求部门鲜章。</w:t>
      </w:r>
    </w:p>
    <w:p>
      <w:pPr>
        <w:snapToGrid w:val="0"/>
        <w:spacing w:line="400" w:lineRule="exact"/>
        <w:ind w:firstLine="540"/>
        <w:rPr>
          <w:color w:val="auto"/>
          <w:sz w:val="24"/>
          <w:szCs w:val="24"/>
          <w:highlight w:val="none"/>
        </w:rPr>
      </w:pPr>
      <w:r>
        <w:rPr>
          <w:rFonts w:hint="eastAsia"/>
          <w:color w:val="auto"/>
          <w:sz w:val="24"/>
          <w:szCs w:val="24"/>
          <w:highlight w:val="none"/>
        </w:rPr>
        <w:t>（三）若供应商在投标过程中有虚假响应，或合同履约过程中有违约行为的，或正式验收或使用过程中，若经采购人或第三方检测机构验证不合格，除须承担相应的经济赔偿责任之外，采购人有权终止合同，并报送至重庆市财政局，将其列入政府采购黑名单。</w:t>
      </w:r>
    </w:p>
    <w:p>
      <w:pPr>
        <w:snapToGrid w:val="0"/>
        <w:spacing w:line="400" w:lineRule="exact"/>
        <w:ind w:firstLine="540"/>
        <w:rPr>
          <w:color w:val="auto"/>
          <w:sz w:val="24"/>
          <w:szCs w:val="24"/>
          <w:highlight w:val="none"/>
        </w:rPr>
      </w:pPr>
      <w:r>
        <w:rPr>
          <w:rFonts w:hint="eastAsia"/>
          <w:color w:val="auto"/>
          <w:sz w:val="24"/>
          <w:szCs w:val="24"/>
          <w:highlight w:val="none"/>
        </w:rPr>
        <w:t>（四）其他未尽事宜按《中华人民共和国民法典》、《政府采购法》执行。</w:t>
      </w:r>
    </w:p>
    <w:p>
      <w:pPr>
        <w:pStyle w:val="4"/>
        <w:spacing w:line="360" w:lineRule="auto"/>
        <w:rPr>
          <w:color w:val="auto"/>
          <w:sz w:val="24"/>
          <w:szCs w:val="24"/>
          <w:highlight w:val="none"/>
        </w:rPr>
      </w:pPr>
      <w:bookmarkStart w:id="82" w:name="_Toc267320054"/>
      <w:bookmarkStart w:id="83" w:name="_Toc11159"/>
      <w:bookmarkStart w:id="84" w:name="_Toc115877704"/>
      <w:bookmarkStart w:id="85" w:name="_Toc27201"/>
      <w:bookmarkStart w:id="86" w:name="_Toc505608536"/>
      <w:bookmarkStart w:id="87" w:name="_Toc130806213"/>
      <w:bookmarkStart w:id="88" w:name="_Toc129178880"/>
      <w:r>
        <w:rPr>
          <w:rFonts w:hint="eastAsia"/>
          <w:color w:val="auto"/>
          <w:sz w:val="24"/>
          <w:szCs w:val="24"/>
          <w:highlight w:val="none"/>
        </w:rPr>
        <w:t>九、</w:t>
      </w:r>
      <w:bookmarkEnd w:id="82"/>
      <w:r>
        <w:rPr>
          <w:rFonts w:hint="eastAsia"/>
          <w:color w:val="auto"/>
          <w:sz w:val="24"/>
          <w:szCs w:val="24"/>
          <w:highlight w:val="none"/>
        </w:rPr>
        <w:t>其他商务要求内容</w:t>
      </w:r>
      <w:bookmarkEnd w:id="83"/>
      <w:bookmarkEnd w:id="84"/>
      <w:bookmarkEnd w:id="85"/>
      <w:bookmarkEnd w:id="86"/>
      <w:bookmarkEnd w:id="87"/>
      <w:bookmarkEnd w:id="88"/>
    </w:p>
    <w:p>
      <w:pPr>
        <w:snapToGrid w:val="0"/>
        <w:spacing w:line="400" w:lineRule="exact"/>
        <w:ind w:firstLine="540"/>
        <w:rPr>
          <w:color w:val="auto"/>
          <w:sz w:val="24"/>
          <w:szCs w:val="24"/>
          <w:highlight w:val="none"/>
        </w:rPr>
      </w:pPr>
      <w:r>
        <w:rPr>
          <w:rFonts w:hint="eastAsia"/>
          <w:color w:val="auto"/>
          <w:sz w:val="24"/>
          <w:szCs w:val="24"/>
          <w:highlight w:val="none"/>
        </w:rPr>
        <w:t>（一）本项目各子项都为交钥匙工程，为多品目货物采购，附带软件系统集成和安装。根据需要和现场踏勘情况，如有遗漏请投标单位自行补齐设备。</w:t>
      </w:r>
    </w:p>
    <w:p>
      <w:pPr>
        <w:snapToGrid w:val="0"/>
        <w:spacing w:line="400" w:lineRule="exact"/>
        <w:ind w:firstLine="540"/>
        <w:rPr>
          <w:color w:val="auto"/>
          <w:sz w:val="24"/>
          <w:szCs w:val="24"/>
          <w:highlight w:val="none"/>
        </w:rPr>
      </w:pPr>
      <w:r>
        <w:rPr>
          <w:rFonts w:hint="eastAsia"/>
          <w:color w:val="auto"/>
          <w:sz w:val="24"/>
          <w:szCs w:val="24"/>
          <w:highlight w:val="none"/>
        </w:rPr>
        <w:t>（二）采购人不统一组织踏勘项目现场。供应商可以在投标截止时间之前自行对本项目现场进行踏勘、询问。无论供应商是否踏勘过现场，均被视为在投标截止时间之前已踏勘过现场，且对本项目潜在的风险和义务已完全了解，并在其响应文件中已充分考虑了本项目可能面临的不确定因素可能导致的风险。踏勘现场所发生的费用由供应商自行承担。</w:t>
      </w:r>
    </w:p>
    <w:p>
      <w:pPr>
        <w:snapToGrid w:val="0"/>
        <w:spacing w:line="400" w:lineRule="exact"/>
        <w:ind w:firstLine="540"/>
        <w:rPr>
          <w:color w:val="auto"/>
          <w:sz w:val="24"/>
          <w:szCs w:val="24"/>
          <w:highlight w:val="none"/>
        </w:rPr>
      </w:pPr>
      <w:r>
        <w:rPr>
          <w:rFonts w:hint="eastAsia"/>
          <w:color w:val="auto"/>
          <w:sz w:val="24"/>
          <w:szCs w:val="24"/>
          <w:highlight w:val="none"/>
        </w:rPr>
        <w:t>（三）供应商在送货安装前，需提前与采购人需求部门取得联系，落实安装具体时间及安装地点,供应商与需求部门共同组织安装、调试，积极配合采购人需求部门完成资产入库工作。</w:t>
      </w:r>
    </w:p>
    <w:p>
      <w:pPr>
        <w:snapToGrid w:val="0"/>
        <w:spacing w:line="400" w:lineRule="exact"/>
        <w:ind w:firstLine="540"/>
        <w:rPr>
          <w:color w:val="auto"/>
          <w:sz w:val="24"/>
          <w:szCs w:val="24"/>
          <w:highlight w:val="none"/>
        </w:rPr>
      </w:pPr>
      <w:r>
        <w:rPr>
          <w:rFonts w:hint="eastAsia"/>
          <w:color w:val="auto"/>
          <w:sz w:val="24"/>
          <w:szCs w:val="24"/>
          <w:highlight w:val="none"/>
        </w:rPr>
        <w:t>（四）本项目的物品保管、施工安全、消防安全、环境卫生等均由供应商自行负责，如因管理不善造成的损失由供应商全部承担。</w:t>
      </w:r>
      <w:r>
        <w:rPr>
          <w:color w:val="auto"/>
          <w:sz w:val="24"/>
          <w:szCs w:val="24"/>
          <w:highlight w:val="none"/>
        </w:rPr>
        <w:br w:type="page"/>
      </w:r>
    </w:p>
    <w:p>
      <w:pPr>
        <w:pStyle w:val="3"/>
        <w:spacing w:line="360" w:lineRule="auto"/>
        <w:jc w:val="center"/>
        <w:rPr>
          <w:rFonts w:ascii="Times New Roman" w:hAnsi="Times New Roman" w:eastAsia="宋体"/>
          <w:b w:val="0"/>
          <w:color w:val="auto"/>
          <w:szCs w:val="30"/>
          <w:highlight w:val="none"/>
        </w:rPr>
      </w:pPr>
      <w:bookmarkStart w:id="89" w:name="_Toc12932"/>
      <w:bookmarkStart w:id="90" w:name="_Toc19502"/>
      <w:r>
        <w:rPr>
          <w:rFonts w:ascii="Times New Roman" w:hAnsi="Times New Roman" w:eastAsia="宋体"/>
          <w:b w:val="0"/>
          <w:color w:val="auto"/>
          <w:sz w:val="36"/>
          <w:szCs w:val="30"/>
          <w:highlight w:val="none"/>
        </w:rPr>
        <w:t>第四篇  供应商须知</w:t>
      </w:r>
      <w:bookmarkEnd w:id="89"/>
      <w:bookmarkEnd w:id="90"/>
    </w:p>
    <w:p>
      <w:pPr>
        <w:pStyle w:val="4"/>
        <w:spacing w:before="0" w:after="0" w:line="360" w:lineRule="auto"/>
        <w:rPr>
          <w:color w:val="auto"/>
          <w:sz w:val="24"/>
          <w:szCs w:val="24"/>
          <w:highlight w:val="none"/>
        </w:rPr>
      </w:pPr>
      <w:bookmarkStart w:id="91" w:name="_Toc342913389"/>
      <w:bookmarkStart w:id="92" w:name="_Toc502744943"/>
      <w:bookmarkStart w:id="93" w:name="_Toc8615"/>
      <w:bookmarkStart w:id="94" w:name="_Toc2776"/>
      <w:r>
        <w:rPr>
          <w:color w:val="auto"/>
          <w:sz w:val="24"/>
          <w:szCs w:val="24"/>
          <w:highlight w:val="none"/>
        </w:rPr>
        <w:t>一、谈判费用</w:t>
      </w:r>
      <w:bookmarkEnd w:id="91"/>
      <w:bookmarkEnd w:id="92"/>
      <w:bookmarkEnd w:id="93"/>
      <w:bookmarkEnd w:id="94"/>
    </w:p>
    <w:p>
      <w:pPr>
        <w:pStyle w:val="24"/>
        <w:spacing w:line="360" w:lineRule="auto"/>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参与谈判的供应商应承担其编制响应文件与递交响应文件所涉及的一切费用，不论谈判结果如何，采购人和采购代理机构在任何情况下无义务也无责任承担这些费用。</w:t>
      </w:r>
    </w:p>
    <w:p>
      <w:pPr>
        <w:pStyle w:val="4"/>
        <w:tabs>
          <w:tab w:val="left" w:pos="2640"/>
        </w:tabs>
        <w:spacing w:before="0" w:after="0" w:line="360" w:lineRule="auto"/>
        <w:rPr>
          <w:color w:val="auto"/>
          <w:sz w:val="24"/>
          <w:szCs w:val="24"/>
          <w:highlight w:val="none"/>
        </w:rPr>
      </w:pPr>
      <w:bookmarkStart w:id="95" w:name="_Toc342913391"/>
      <w:bookmarkStart w:id="96" w:name="_Toc8957"/>
      <w:bookmarkStart w:id="97" w:name="_Toc502744944"/>
      <w:bookmarkStart w:id="98" w:name="_Toc25428"/>
      <w:r>
        <w:rPr>
          <w:color w:val="auto"/>
          <w:sz w:val="24"/>
          <w:szCs w:val="24"/>
          <w:highlight w:val="none"/>
        </w:rPr>
        <w:t>二、单一来源谈判文件</w:t>
      </w:r>
      <w:bookmarkEnd w:id="95"/>
      <w:bookmarkEnd w:id="96"/>
      <w:bookmarkEnd w:id="97"/>
      <w:bookmarkEnd w:id="98"/>
    </w:p>
    <w:p>
      <w:pPr>
        <w:snapToGrid w:val="0"/>
        <w:spacing w:line="360" w:lineRule="auto"/>
        <w:ind w:firstLine="360" w:firstLineChars="150"/>
        <w:rPr>
          <w:color w:val="auto"/>
          <w:sz w:val="24"/>
          <w:szCs w:val="24"/>
          <w:highlight w:val="none"/>
        </w:rPr>
      </w:pPr>
      <w:r>
        <w:rPr>
          <w:color w:val="auto"/>
          <w:sz w:val="24"/>
          <w:szCs w:val="24"/>
          <w:highlight w:val="none"/>
        </w:rPr>
        <w:t>（一）单一来源谈判文件由单一来源谈判邀请书、谈判项目技术需求、谈判项目服务需求、供应商须知、合同草案条款、响应文件格式要求六部分及相关附件组成。</w:t>
      </w:r>
    </w:p>
    <w:p>
      <w:pPr>
        <w:snapToGrid w:val="0"/>
        <w:spacing w:line="360" w:lineRule="auto"/>
        <w:ind w:firstLine="360" w:firstLineChars="150"/>
        <w:rPr>
          <w:color w:val="auto"/>
          <w:sz w:val="24"/>
          <w:szCs w:val="24"/>
          <w:highlight w:val="none"/>
        </w:rPr>
      </w:pPr>
      <w:r>
        <w:rPr>
          <w:color w:val="auto"/>
          <w:sz w:val="24"/>
          <w:szCs w:val="24"/>
          <w:highlight w:val="none"/>
        </w:rPr>
        <w:t>（二）采购人（或采购代理机构）所作的一切有效的书面通知、修改及补充，都是单一来源谈判文件不可分割的部分。</w:t>
      </w:r>
    </w:p>
    <w:p>
      <w:pPr>
        <w:snapToGrid w:val="0"/>
        <w:spacing w:line="360" w:lineRule="auto"/>
        <w:ind w:firstLine="360" w:firstLineChars="150"/>
        <w:rPr>
          <w:color w:val="auto"/>
          <w:sz w:val="24"/>
          <w:szCs w:val="24"/>
          <w:highlight w:val="none"/>
        </w:rPr>
      </w:pPr>
      <w:r>
        <w:rPr>
          <w:color w:val="auto"/>
          <w:sz w:val="24"/>
          <w:szCs w:val="24"/>
          <w:highlight w:val="none"/>
        </w:rPr>
        <w:t>（三）单一来源谈判文件的解释</w:t>
      </w:r>
    </w:p>
    <w:p>
      <w:pPr>
        <w:snapToGrid w:val="0"/>
        <w:spacing w:line="360" w:lineRule="auto"/>
        <w:ind w:firstLine="360" w:firstLineChars="150"/>
        <w:rPr>
          <w:color w:val="auto"/>
          <w:sz w:val="24"/>
          <w:szCs w:val="24"/>
          <w:highlight w:val="none"/>
        </w:rPr>
      </w:pPr>
      <w:r>
        <w:rPr>
          <w:color w:val="auto"/>
          <w:sz w:val="24"/>
          <w:szCs w:val="24"/>
          <w:highlight w:val="none"/>
        </w:rPr>
        <w:t>供应商如对单一来源谈判文件有疑问，必须以书面形式在提交响应文件截止时间1个工作日前向采购人（或采购代理机构）要求澄清，采购人（或采购代理机构）可视具体情况做出处理或答复。如供应商未提出疑问，视为完全理解并同意本单一来源谈判文件。一经进入谈判程序，即视为供应商已详细阅读全部文件资料，完全理解单一来源谈判文件所有条款内容并同意放弃对这方面有不明白及误解的权利。</w:t>
      </w:r>
      <w:bookmarkStart w:id="99" w:name="_Toc318159780"/>
      <w:bookmarkStart w:id="100" w:name="_Toc318166429"/>
      <w:bookmarkStart w:id="101" w:name="_Toc318159349"/>
      <w:bookmarkStart w:id="102" w:name="_Toc318159160"/>
    </w:p>
    <w:p>
      <w:pPr>
        <w:snapToGrid w:val="0"/>
        <w:spacing w:line="360" w:lineRule="auto"/>
        <w:ind w:firstLine="360" w:firstLineChars="150"/>
        <w:rPr>
          <w:color w:val="auto"/>
          <w:sz w:val="24"/>
          <w:szCs w:val="24"/>
          <w:highlight w:val="none"/>
        </w:rPr>
      </w:pPr>
      <w:r>
        <w:rPr>
          <w:color w:val="auto"/>
          <w:sz w:val="24"/>
          <w:szCs w:val="24"/>
          <w:highlight w:val="none"/>
        </w:rPr>
        <w:t>（四）本单一来源谈判文件中，谈判小组根据与供应商谈判情况可能实质性变动的内容为单一来源谈判文件第二、三、五篇全部内容。</w:t>
      </w:r>
    </w:p>
    <w:bookmarkEnd w:id="99"/>
    <w:bookmarkEnd w:id="100"/>
    <w:bookmarkEnd w:id="101"/>
    <w:bookmarkEnd w:id="102"/>
    <w:p>
      <w:pPr>
        <w:pStyle w:val="4"/>
        <w:spacing w:before="0" w:after="0" w:line="360" w:lineRule="auto"/>
        <w:rPr>
          <w:color w:val="auto"/>
          <w:sz w:val="24"/>
          <w:szCs w:val="24"/>
          <w:highlight w:val="none"/>
        </w:rPr>
      </w:pPr>
      <w:bookmarkStart w:id="103" w:name="_Toc342913392"/>
      <w:bookmarkStart w:id="104" w:name="_Toc502744945"/>
      <w:bookmarkStart w:id="105" w:name="_Toc179714297"/>
      <w:bookmarkStart w:id="106" w:name="_Toc32210"/>
      <w:bookmarkStart w:id="107" w:name="_Toc1980"/>
      <w:bookmarkStart w:id="108" w:name="_Toc102227318"/>
      <w:r>
        <w:rPr>
          <w:color w:val="auto"/>
          <w:sz w:val="24"/>
          <w:szCs w:val="24"/>
          <w:highlight w:val="none"/>
        </w:rPr>
        <w:t>三、单一来源谈判要求</w:t>
      </w:r>
      <w:bookmarkEnd w:id="103"/>
      <w:bookmarkEnd w:id="104"/>
      <w:bookmarkEnd w:id="105"/>
      <w:bookmarkEnd w:id="106"/>
      <w:bookmarkEnd w:id="107"/>
      <w:bookmarkEnd w:id="108"/>
    </w:p>
    <w:p>
      <w:pPr>
        <w:snapToGrid w:val="0"/>
        <w:spacing w:line="360" w:lineRule="auto"/>
        <w:ind w:firstLine="360" w:firstLineChars="150"/>
        <w:rPr>
          <w:color w:val="auto"/>
          <w:sz w:val="24"/>
          <w:szCs w:val="24"/>
          <w:highlight w:val="none"/>
        </w:rPr>
      </w:pPr>
      <w:r>
        <w:rPr>
          <w:color w:val="auto"/>
          <w:sz w:val="24"/>
          <w:szCs w:val="24"/>
          <w:highlight w:val="none"/>
        </w:rPr>
        <w:t>（一）响应文件</w:t>
      </w:r>
    </w:p>
    <w:p>
      <w:pPr>
        <w:spacing w:line="360" w:lineRule="auto"/>
        <w:ind w:firstLine="480" w:firstLineChars="200"/>
        <w:rPr>
          <w:color w:val="auto"/>
          <w:sz w:val="24"/>
          <w:szCs w:val="24"/>
          <w:highlight w:val="none"/>
        </w:rPr>
      </w:pPr>
      <w:r>
        <w:rPr>
          <w:color w:val="auto"/>
          <w:sz w:val="24"/>
          <w:szCs w:val="24"/>
          <w:highlight w:val="none"/>
        </w:rPr>
        <w:t>供应商应当按照单一来源谈判文件的要求编制响应文件，并对单一来源谈判文件提出的要求和条件作出实质性响应，响应文件原则上采用软面订本，同时应编制完整的页码、目录。</w:t>
      </w:r>
    </w:p>
    <w:p>
      <w:pPr>
        <w:spacing w:line="360" w:lineRule="auto"/>
        <w:ind w:firstLine="480" w:firstLineChars="200"/>
        <w:rPr>
          <w:color w:val="auto"/>
          <w:sz w:val="24"/>
          <w:szCs w:val="24"/>
          <w:highlight w:val="none"/>
        </w:rPr>
      </w:pPr>
      <w:r>
        <w:rPr>
          <w:color w:val="auto"/>
          <w:sz w:val="24"/>
          <w:szCs w:val="24"/>
          <w:highlight w:val="none"/>
        </w:rPr>
        <w:t>1.响应文件组成</w:t>
      </w:r>
    </w:p>
    <w:p>
      <w:pPr>
        <w:spacing w:line="360" w:lineRule="auto"/>
        <w:ind w:firstLine="480" w:firstLineChars="200"/>
        <w:rPr>
          <w:color w:val="auto"/>
          <w:sz w:val="24"/>
          <w:szCs w:val="24"/>
          <w:highlight w:val="none"/>
        </w:rPr>
      </w:pPr>
      <w:r>
        <w:rPr>
          <w:color w:val="auto"/>
          <w:sz w:val="24"/>
          <w:szCs w:val="24"/>
          <w:highlight w:val="none"/>
        </w:rPr>
        <w:t>响应文件由第六篇“响应文件格式要求”规定的部分和供应商所作的一切有效补充、修改和承诺等文件组成，供应商应按照第六篇“响应文件格式”规定的目录顺序组织编写和装订，也可在基本格式基础上对表格进行扩展，未规定格式的由供应商自定格式。</w:t>
      </w:r>
    </w:p>
    <w:p>
      <w:pPr>
        <w:spacing w:line="360" w:lineRule="auto"/>
        <w:ind w:firstLine="480" w:firstLineChars="200"/>
        <w:rPr>
          <w:color w:val="auto"/>
          <w:sz w:val="24"/>
          <w:szCs w:val="24"/>
          <w:highlight w:val="none"/>
        </w:rPr>
      </w:pPr>
      <w:r>
        <w:rPr>
          <w:color w:val="auto"/>
          <w:sz w:val="24"/>
          <w:szCs w:val="24"/>
          <w:highlight w:val="none"/>
        </w:rPr>
        <w:t>2.谈判有效期：响应文件及有关承诺文件有效期为谈判开始时间起90天。</w:t>
      </w:r>
    </w:p>
    <w:p>
      <w:pPr>
        <w:snapToGrid w:val="0"/>
        <w:spacing w:line="360" w:lineRule="auto"/>
        <w:ind w:firstLine="360" w:firstLineChars="150"/>
        <w:rPr>
          <w:color w:val="auto"/>
          <w:sz w:val="24"/>
          <w:szCs w:val="24"/>
          <w:highlight w:val="none"/>
        </w:rPr>
      </w:pPr>
      <w:r>
        <w:rPr>
          <w:color w:val="auto"/>
          <w:sz w:val="24"/>
          <w:szCs w:val="24"/>
          <w:highlight w:val="none"/>
        </w:rPr>
        <w:t>（二）修正错误</w:t>
      </w:r>
    </w:p>
    <w:p>
      <w:pPr>
        <w:spacing w:line="360" w:lineRule="auto"/>
        <w:ind w:firstLine="480" w:firstLineChars="200"/>
        <w:rPr>
          <w:color w:val="auto"/>
          <w:sz w:val="24"/>
          <w:szCs w:val="24"/>
          <w:highlight w:val="none"/>
        </w:rPr>
      </w:pPr>
      <w:r>
        <w:rPr>
          <w:color w:val="auto"/>
          <w:sz w:val="24"/>
          <w:szCs w:val="24"/>
          <w:highlight w:val="none"/>
        </w:rPr>
        <w:t>若供应商所递交的响应文件或最后报价中的价格出现大写金额和小写金额不一致的错误，以大写金额修正为准。</w:t>
      </w:r>
    </w:p>
    <w:p>
      <w:pPr>
        <w:spacing w:line="360" w:lineRule="auto"/>
        <w:ind w:firstLine="480" w:firstLineChars="200"/>
        <w:rPr>
          <w:color w:val="auto"/>
          <w:sz w:val="24"/>
          <w:szCs w:val="24"/>
          <w:highlight w:val="none"/>
        </w:rPr>
      </w:pPr>
      <w:r>
        <w:rPr>
          <w:color w:val="auto"/>
          <w:sz w:val="24"/>
          <w:szCs w:val="24"/>
          <w:highlight w:val="none"/>
        </w:rPr>
        <w:t>谈判小组按上述修正错误的原则及方法修正供应商的报价，供应商同意并签字确认后，修正后的报价对供应商具有约束作用。如果供应商不接受修正后的价格，将失去成为成交供应商的资格。</w:t>
      </w:r>
    </w:p>
    <w:p>
      <w:pPr>
        <w:snapToGrid w:val="0"/>
        <w:spacing w:line="360" w:lineRule="auto"/>
        <w:ind w:firstLine="360" w:firstLineChars="150"/>
        <w:rPr>
          <w:color w:val="auto"/>
          <w:sz w:val="24"/>
          <w:szCs w:val="24"/>
          <w:highlight w:val="none"/>
        </w:rPr>
      </w:pPr>
      <w:r>
        <w:rPr>
          <w:color w:val="auto"/>
          <w:sz w:val="24"/>
          <w:szCs w:val="24"/>
          <w:highlight w:val="none"/>
        </w:rPr>
        <w:t>（三）提交响应文件的份数和签署</w:t>
      </w:r>
    </w:p>
    <w:p>
      <w:pPr>
        <w:snapToGrid w:val="0"/>
        <w:spacing w:line="360" w:lineRule="auto"/>
        <w:ind w:firstLine="480" w:firstLineChars="200"/>
        <w:rPr>
          <w:bCs/>
          <w:color w:val="auto"/>
          <w:sz w:val="24"/>
          <w:szCs w:val="24"/>
          <w:highlight w:val="none"/>
        </w:rPr>
      </w:pPr>
      <w:r>
        <w:rPr>
          <w:color w:val="auto"/>
          <w:sz w:val="24"/>
          <w:szCs w:val="24"/>
          <w:highlight w:val="none"/>
        </w:rPr>
        <w:t>1.</w:t>
      </w:r>
      <w:r>
        <w:rPr>
          <w:rFonts w:hint="eastAsia"/>
          <w:b/>
          <w:color w:val="auto"/>
          <w:sz w:val="24"/>
          <w:szCs w:val="24"/>
          <w:highlight w:val="none"/>
        </w:rPr>
        <w:t>本项目在指定邮箱提交响应文件，采用不可修改的</w:t>
      </w:r>
      <w:r>
        <w:rPr>
          <w:rFonts w:hint="eastAsia"/>
          <w:b/>
          <w:color w:val="auto"/>
          <w:sz w:val="24"/>
          <w:szCs w:val="24"/>
          <w:highlight w:val="none"/>
          <w:lang w:val="en-US" w:eastAsia="zh-CN"/>
        </w:rPr>
        <w:t>PDF</w:t>
      </w:r>
      <w:r>
        <w:rPr>
          <w:rFonts w:hint="eastAsia"/>
          <w:b/>
          <w:color w:val="auto"/>
          <w:sz w:val="24"/>
          <w:szCs w:val="24"/>
          <w:highlight w:val="none"/>
        </w:rPr>
        <w:t>电子文档形式提交响应文件正本。</w:t>
      </w:r>
    </w:p>
    <w:p>
      <w:pPr>
        <w:snapToGrid w:val="0"/>
        <w:spacing w:line="360" w:lineRule="auto"/>
        <w:ind w:firstLine="480" w:firstLineChars="200"/>
        <w:rPr>
          <w:color w:val="auto"/>
          <w:sz w:val="24"/>
          <w:highlight w:val="none"/>
        </w:rPr>
      </w:pPr>
      <w:r>
        <w:rPr>
          <w:color w:val="auto"/>
          <w:sz w:val="24"/>
          <w:szCs w:val="24"/>
          <w:highlight w:val="none"/>
        </w:rPr>
        <w:t>2.</w:t>
      </w:r>
      <w:r>
        <w:rPr>
          <w:color w:val="auto"/>
          <w:sz w:val="24"/>
          <w:highlight w:val="none"/>
        </w:rPr>
        <w:t>在响应文件正本中，单一来源谈判文件第六篇响应文件格式中规定签字、盖章的地方必须按其规定签字、盖章。</w:t>
      </w:r>
    </w:p>
    <w:p>
      <w:pPr>
        <w:snapToGrid w:val="0"/>
        <w:spacing w:line="360" w:lineRule="auto"/>
        <w:ind w:firstLine="480" w:firstLineChars="200"/>
        <w:rPr>
          <w:color w:val="auto"/>
          <w:sz w:val="24"/>
          <w:highlight w:val="none"/>
        </w:rPr>
      </w:pPr>
      <w:r>
        <w:rPr>
          <w:color w:val="auto"/>
          <w:sz w:val="24"/>
          <w:highlight w:val="none"/>
        </w:rPr>
        <w:t>3.若供应商对响应文件的错处作必要修改，则应在修改处加盖供应商公章或由法定代表人或法定代表人授权代表签字确认。</w:t>
      </w:r>
    </w:p>
    <w:p>
      <w:pPr>
        <w:snapToGrid w:val="0"/>
        <w:spacing w:line="360" w:lineRule="auto"/>
        <w:ind w:firstLine="480" w:firstLineChars="200"/>
        <w:rPr>
          <w:color w:val="auto"/>
          <w:sz w:val="24"/>
          <w:highlight w:val="none"/>
        </w:rPr>
      </w:pPr>
      <w:r>
        <w:rPr>
          <w:color w:val="auto"/>
          <w:sz w:val="24"/>
          <w:highlight w:val="none"/>
        </w:rPr>
        <w:t>4.电报、电话、传真形式的响应文件概不接受。</w:t>
      </w:r>
    </w:p>
    <w:p>
      <w:pPr>
        <w:snapToGrid w:val="0"/>
        <w:spacing w:line="360" w:lineRule="auto"/>
        <w:ind w:firstLine="360" w:firstLineChars="150"/>
        <w:rPr>
          <w:color w:val="auto"/>
          <w:sz w:val="24"/>
          <w:szCs w:val="24"/>
          <w:highlight w:val="none"/>
        </w:rPr>
      </w:pPr>
      <w:r>
        <w:rPr>
          <w:color w:val="auto"/>
          <w:sz w:val="24"/>
          <w:szCs w:val="24"/>
          <w:highlight w:val="none"/>
        </w:rPr>
        <w:t>（四）响应文件语言：简体中文</w:t>
      </w:r>
    </w:p>
    <w:p>
      <w:pPr>
        <w:snapToGrid w:val="0"/>
        <w:spacing w:line="360" w:lineRule="auto"/>
        <w:ind w:firstLine="360" w:firstLineChars="150"/>
        <w:rPr>
          <w:color w:val="auto"/>
          <w:sz w:val="24"/>
          <w:szCs w:val="24"/>
          <w:highlight w:val="none"/>
        </w:rPr>
      </w:pPr>
      <w:r>
        <w:rPr>
          <w:color w:val="auto"/>
          <w:sz w:val="24"/>
          <w:szCs w:val="24"/>
          <w:highlight w:val="none"/>
        </w:rPr>
        <w:t>（五）供应商参与人员</w:t>
      </w:r>
    </w:p>
    <w:p>
      <w:pPr>
        <w:snapToGrid w:val="0"/>
        <w:spacing w:line="360" w:lineRule="auto"/>
        <w:ind w:firstLine="480" w:firstLineChars="200"/>
        <w:rPr>
          <w:color w:val="auto"/>
          <w:sz w:val="24"/>
          <w:szCs w:val="24"/>
          <w:highlight w:val="none"/>
        </w:rPr>
      </w:pPr>
      <w:r>
        <w:rPr>
          <w:color w:val="auto"/>
          <w:sz w:val="24"/>
          <w:szCs w:val="24"/>
          <w:highlight w:val="none"/>
        </w:rPr>
        <w:t>在谈判环节，各个供应商可派1-2名代表参与线上谈判，至少1人应为法定代表人或具有法定代表人授权委托书的授权代表。</w:t>
      </w:r>
    </w:p>
    <w:p>
      <w:pPr>
        <w:snapToGrid w:val="0"/>
        <w:spacing w:line="360" w:lineRule="auto"/>
        <w:ind w:firstLine="360" w:firstLineChars="150"/>
        <w:rPr>
          <w:color w:val="auto"/>
          <w:sz w:val="24"/>
          <w:szCs w:val="24"/>
          <w:highlight w:val="none"/>
        </w:rPr>
      </w:pPr>
      <w:r>
        <w:rPr>
          <w:color w:val="auto"/>
          <w:sz w:val="24"/>
          <w:szCs w:val="24"/>
          <w:highlight w:val="none"/>
        </w:rPr>
        <w:t>（六）无效谈判</w:t>
      </w:r>
    </w:p>
    <w:p>
      <w:pPr>
        <w:snapToGrid w:val="0"/>
        <w:spacing w:line="360" w:lineRule="auto"/>
        <w:ind w:firstLine="480" w:firstLineChars="200"/>
        <w:rPr>
          <w:color w:val="auto"/>
          <w:sz w:val="24"/>
          <w:szCs w:val="24"/>
          <w:highlight w:val="none"/>
        </w:rPr>
      </w:pPr>
      <w:r>
        <w:rPr>
          <w:color w:val="auto"/>
          <w:sz w:val="24"/>
          <w:szCs w:val="24"/>
          <w:highlight w:val="none"/>
        </w:rPr>
        <w:t>供应商发生以下条款情况之一者，视为无效谈判，其响应文件将被拒绝：</w:t>
      </w:r>
    </w:p>
    <w:p>
      <w:pPr>
        <w:snapToGrid w:val="0"/>
        <w:spacing w:line="360" w:lineRule="auto"/>
        <w:ind w:firstLine="480" w:firstLineChars="200"/>
        <w:rPr>
          <w:color w:val="auto"/>
          <w:sz w:val="24"/>
          <w:szCs w:val="24"/>
          <w:highlight w:val="none"/>
        </w:rPr>
      </w:pPr>
      <w:r>
        <w:rPr>
          <w:color w:val="auto"/>
          <w:sz w:val="24"/>
          <w:szCs w:val="24"/>
          <w:highlight w:val="none"/>
        </w:rPr>
        <w:t>1.供应商不符合规定的基本资格条件或特定资格条件的；</w:t>
      </w:r>
    </w:p>
    <w:p>
      <w:pPr>
        <w:snapToGrid w:val="0"/>
        <w:spacing w:line="360" w:lineRule="auto"/>
        <w:ind w:firstLine="480" w:firstLineChars="200"/>
        <w:rPr>
          <w:color w:val="auto"/>
          <w:sz w:val="24"/>
          <w:szCs w:val="24"/>
          <w:highlight w:val="none"/>
        </w:rPr>
      </w:pPr>
      <w:r>
        <w:rPr>
          <w:color w:val="auto"/>
          <w:sz w:val="24"/>
          <w:szCs w:val="24"/>
          <w:highlight w:val="none"/>
        </w:rPr>
        <w:t>2.供应商的法定代表人或其授权代表未参加谈判的；</w:t>
      </w:r>
    </w:p>
    <w:p>
      <w:pPr>
        <w:snapToGrid w:val="0"/>
        <w:spacing w:line="360" w:lineRule="auto"/>
        <w:ind w:firstLine="480" w:firstLineChars="200"/>
        <w:rPr>
          <w:color w:val="auto"/>
          <w:sz w:val="24"/>
          <w:szCs w:val="24"/>
          <w:highlight w:val="none"/>
        </w:rPr>
      </w:pPr>
      <w:r>
        <w:rPr>
          <w:color w:val="auto"/>
          <w:sz w:val="24"/>
          <w:szCs w:val="24"/>
          <w:highlight w:val="none"/>
        </w:rPr>
        <w:t>3.供应商未在保证金到账截止时间前提交足额保证金的；</w:t>
      </w:r>
    </w:p>
    <w:p>
      <w:pPr>
        <w:snapToGrid w:val="0"/>
        <w:spacing w:line="360" w:lineRule="auto"/>
        <w:ind w:firstLine="480" w:firstLineChars="200"/>
        <w:rPr>
          <w:color w:val="auto"/>
          <w:sz w:val="24"/>
          <w:szCs w:val="24"/>
          <w:highlight w:val="none"/>
        </w:rPr>
      </w:pPr>
      <w:r>
        <w:rPr>
          <w:color w:val="auto"/>
          <w:sz w:val="24"/>
          <w:szCs w:val="24"/>
          <w:highlight w:val="none"/>
        </w:rPr>
        <w:t>4.供应商所提交的响应文件不按第六篇“响应文件格式要求”规定签字、盖章的；</w:t>
      </w:r>
    </w:p>
    <w:p>
      <w:pPr>
        <w:snapToGrid w:val="0"/>
        <w:spacing w:line="360" w:lineRule="auto"/>
        <w:ind w:firstLine="480" w:firstLineChars="200"/>
        <w:rPr>
          <w:color w:val="auto"/>
          <w:sz w:val="24"/>
          <w:szCs w:val="24"/>
          <w:highlight w:val="none"/>
        </w:rPr>
      </w:pPr>
      <w:r>
        <w:rPr>
          <w:color w:val="auto"/>
          <w:sz w:val="24"/>
          <w:szCs w:val="24"/>
          <w:highlight w:val="none"/>
        </w:rPr>
        <w:t>5.供应商的最后报价超过采购预算或最高限价的；</w:t>
      </w:r>
    </w:p>
    <w:p>
      <w:pPr>
        <w:snapToGrid w:val="0"/>
        <w:spacing w:line="360" w:lineRule="auto"/>
        <w:ind w:firstLine="480" w:firstLineChars="200"/>
        <w:rPr>
          <w:color w:val="auto"/>
          <w:sz w:val="24"/>
          <w:szCs w:val="24"/>
          <w:highlight w:val="none"/>
        </w:rPr>
      </w:pPr>
      <w:r>
        <w:rPr>
          <w:color w:val="auto"/>
          <w:sz w:val="24"/>
          <w:szCs w:val="24"/>
          <w:highlight w:val="none"/>
        </w:rPr>
        <w:t>6.供应商响应文件内容有与国家现行法律法规相违背的内容，或附有采购人无法接受条件；</w:t>
      </w:r>
    </w:p>
    <w:p>
      <w:pPr>
        <w:snapToGrid w:val="0"/>
        <w:spacing w:line="360" w:lineRule="auto"/>
        <w:ind w:firstLine="480" w:firstLineChars="200"/>
        <w:rPr>
          <w:color w:val="auto"/>
          <w:sz w:val="24"/>
          <w:szCs w:val="24"/>
          <w:highlight w:val="none"/>
        </w:rPr>
      </w:pPr>
      <w:r>
        <w:rPr>
          <w:color w:val="auto"/>
          <w:sz w:val="24"/>
          <w:szCs w:val="24"/>
          <w:highlight w:val="none"/>
        </w:rPr>
        <w:t>7.为采购项目提供整体设计、规范编制或者项目管理、监理、检测等服务的供应商再参加该采购项目的其他采购活动的；</w:t>
      </w:r>
    </w:p>
    <w:p>
      <w:pPr>
        <w:snapToGrid w:val="0"/>
        <w:spacing w:line="360" w:lineRule="auto"/>
        <w:ind w:firstLine="480" w:firstLineChars="200"/>
        <w:rPr>
          <w:color w:val="auto"/>
          <w:sz w:val="24"/>
          <w:szCs w:val="24"/>
          <w:highlight w:val="none"/>
        </w:rPr>
      </w:pPr>
      <w:r>
        <w:rPr>
          <w:color w:val="auto"/>
          <w:sz w:val="24"/>
          <w:szCs w:val="24"/>
          <w:highlight w:val="none"/>
        </w:rPr>
        <w:t>8.供应商被列入失信被执行人、重大税收违法案件当事人名单、政府采购严重违法失信行为记录名单及其他不符合《中华人民共和国政府采购法》第二十二条规定条件的；</w:t>
      </w:r>
    </w:p>
    <w:p>
      <w:pPr>
        <w:pStyle w:val="4"/>
        <w:spacing w:before="0" w:after="0" w:line="360" w:lineRule="auto"/>
        <w:rPr>
          <w:color w:val="auto"/>
          <w:sz w:val="24"/>
          <w:szCs w:val="24"/>
          <w:highlight w:val="none"/>
        </w:rPr>
      </w:pPr>
      <w:bookmarkStart w:id="109" w:name="_Toc102227319"/>
      <w:bookmarkStart w:id="110" w:name="_Toc25719"/>
      <w:bookmarkStart w:id="111" w:name="_Toc179714298"/>
      <w:bookmarkStart w:id="112" w:name="_Toc342913393"/>
      <w:bookmarkStart w:id="113" w:name="_Toc23081"/>
      <w:bookmarkStart w:id="114" w:name="_Toc502744946"/>
      <w:r>
        <w:rPr>
          <w:color w:val="auto"/>
          <w:sz w:val="24"/>
          <w:szCs w:val="24"/>
          <w:highlight w:val="none"/>
        </w:rPr>
        <w:t>四、单一来源谈判程序</w:t>
      </w:r>
      <w:bookmarkEnd w:id="109"/>
      <w:bookmarkEnd w:id="110"/>
      <w:bookmarkEnd w:id="111"/>
      <w:bookmarkEnd w:id="112"/>
      <w:bookmarkEnd w:id="113"/>
      <w:bookmarkEnd w:id="114"/>
    </w:p>
    <w:p>
      <w:pPr>
        <w:spacing w:line="360" w:lineRule="auto"/>
        <w:ind w:firstLine="360" w:firstLineChars="150"/>
        <w:rPr>
          <w:color w:val="auto"/>
          <w:sz w:val="24"/>
          <w:szCs w:val="24"/>
          <w:highlight w:val="none"/>
        </w:rPr>
      </w:pPr>
      <w:r>
        <w:rPr>
          <w:color w:val="auto"/>
          <w:sz w:val="24"/>
          <w:szCs w:val="24"/>
          <w:highlight w:val="none"/>
        </w:rPr>
        <w:t>（一）谈判按单一来源谈判文件规定的时间和地点进行。供应商须有法定代表人或其授权代表参加并签到。响应文件将通过上传至采购人邮箱递交，谈判采用线上视频方式进行。</w:t>
      </w:r>
    </w:p>
    <w:p>
      <w:pPr>
        <w:spacing w:line="360" w:lineRule="auto"/>
        <w:ind w:firstLine="360" w:firstLineChars="150"/>
        <w:rPr>
          <w:color w:val="auto"/>
          <w:sz w:val="24"/>
          <w:szCs w:val="24"/>
          <w:highlight w:val="none"/>
        </w:rPr>
      </w:pPr>
      <w:r>
        <w:rPr>
          <w:color w:val="auto"/>
          <w:sz w:val="24"/>
          <w:szCs w:val="24"/>
          <w:highlight w:val="none"/>
        </w:rPr>
        <w:t>（二）单一来源谈判由本项目谈判小组与供应商进行谈判。在正式谈判前，对供应商的资格条件、响应文件的有效性、完整性和响应程度进行审查，供应商只有在完全符合谈判要求的前提下，才能参与正式谈判，审查的内容如下：</w:t>
      </w:r>
    </w:p>
    <w:p>
      <w:pPr>
        <w:snapToGrid w:val="0"/>
        <w:spacing w:line="360" w:lineRule="auto"/>
        <w:ind w:firstLine="480" w:firstLineChars="200"/>
        <w:rPr>
          <w:color w:val="auto"/>
          <w:kern w:val="0"/>
          <w:sz w:val="24"/>
          <w:szCs w:val="24"/>
          <w:highlight w:val="none"/>
        </w:rPr>
      </w:pPr>
      <w:r>
        <w:rPr>
          <w:color w:val="auto"/>
          <w:kern w:val="0"/>
          <w:sz w:val="24"/>
          <w:szCs w:val="24"/>
          <w:highlight w:val="none"/>
        </w:rPr>
        <w:t>1.资格性检查。依据法律法规和单一来源谈判文件的规定，对响应文件中的资格证明、保证金等进行审查，以确定供应商是否具备谈判资格。资格性检查资料表如下：</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color w:val="auto"/>
                <w:kern w:val="0"/>
                <w:sz w:val="24"/>
                <w:szCs w:val="24"/>
                <w:highlight w:val="none"/>
              </w:rPr>
            </w:pPr>
            <w:r>
              <w:rPr>
                <w:color w:val="auto"/>
                <w:kern w:val="0"/>
                <w:sz w:val="24"/>
                <w:szCs w:val="24"/>
                <w:highlight w:val="none"/>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80" w:firstLineChars="200"/>
              <w:jc w:val="center"/>
              <w:rPr>
                <w:color w:val="auto"/>
                <w:kern w:val="0"/>
                <w:sz w:val="24"/>
                <w:szCs w:val="24"/>
                <w:highlight w:val="none"/>
              </w:rPr>
            </w:pPr>
            <w:r>
              <w:rPr>
                <w:color w:val="auto"/>
                <w:kern w:val="0"/>
                <w:sz w:val="24"/>
                <w:szCs w:val="24"/>
                <w:highlight w:val="none"/>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80" w:firstLineChars="200"/>
              <w:jc w:val="center"/>
              <w:rPr>
                <w:color w:val="auto"/>
                <w:kern w:val="0"/>
                <w:sz w:val="24"/>
                <w:szCs w:val="24"/>
                <w:highlight w:val="none"/>
              </w:rPr>
            </w:pPr>
            <w:r>
              <w:rPr>
                <w:color w:val="auto"/>
                <w:kern w:val="0"/>
                <w:sz w:val="24"/>
                <w:szCs w:val="24"/>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color w:val="auto"/>
                <w:kern w:val="0"/>
                <w:sz w:val="24"/>
                <w:szCs w:val="24"/>
                <w:highlight w:val="none"/>
              </w:rPr>
            </w:pPr>
            <w:r>
              <w:rPr>
                <w:color w:val="auto"/>
                <w:kern w:val="0"/>
                <w:sz w:val="24"/>
                <w:szCs w:val="24"/>
                <w:highlight w:val="none"/>
              </w:rPr>
              <w:t>（一）</w:t>
            </w:r>
          </w:p>
        </w:tc>
        <w:tc>
          <w:tcPr>
            <w:tcW w:w="709" w:type="dxa"/>
            <w:vMerge w:val="restart"/>
            <w:vAlign w:val="center"/>
          </w:tcPr>
          <w:p>
            <w:pPr>
              <w:rPr>
                <w:color w:val="auto"/>
                <w:kern w:val="0"/>
                <w:sz w:val="24"/>
                <w:szCs w:val="24"/>
                <w:highlight w:val="none"/>
              </w:rPr>
            </w:pPr>
            <w:r>
              <w:rPr>
                <w:color w:val="auto"/>
                <w:kern w:val="0"/>
                <w:sz w:val="24"/>
                <w:szCs w:val="24"/>
                <w:highlight w:val="none"/>
              </w:rPr>
              <w:t>《中华人民共和国政府采购法》第二十二条规定</w:t>
            </w:r>
          </w:p>
        </w:tc>
        <w:tc>
          <w:tcPr>
            <w:tcW w:w="3118" w:type="dxa"/>
            <w:vAlign w:val="center"/>
          </w:tcPr>
          <w:p>
            <w:pPr>
              <w:rPr>
                <w:color w:val="auto"/>
                <w:kern w:val="0"/>
                <w:sz w:val="24"/>
                <w:szCs w:val="24"/>
                <w:highlight w:val="none"/>
              </w:rPr>
            </w:pPr>
            <w:r>
              <w:rPr>
                <w:color w:val="auto"/>
                <w:kern w:val="0"/>
                <w:sz w:val="24"/>
                <w:szCs w:val="24"/>
                <w:highlight w:val="none"/>
              </w:rPr>
              <w:t>1.具有独立承担民事责任的能力</w:t>
            </w:r>
          </w:p>
        </w:tc>
        <w:tc>
          <w:tcPr>
            <w:tcW w:w="4984" w:type="dxa"/>
            <w:vAlign w:val="center"/>
          </w:tcPr>
          <w:p>
            <w:pPr>
              <w:rPr>
                <w:color w:val="auto"/>
                <w:kern w:val="0"/>
                <w:sz w:val="24"/>
                <w:szCs w:val="24"/>
                <w:highlight w:val="none"/>
              </w:rPr>
            </w:pPr>
            <w:r>
              <w:rPr>
                <w:color w:val="auto"/>
                <w:kern w:val="0"/>
                <w:sz w:val="24"/>
                <w:szCs w:val="24"/>
                <w:highlight w:val="none"/>
              </w:rPr>
              <w:t>1.</w:t>
            </w:r>
            <w:r>
              <w:rPr>
                <w:rFonts w:hint="eastAsia"/>
                <w:color w:val="auto"/>
                <w:kern w:val="0"/>
                <w:sz w:val="24"/>
                <w:szCs w:val="24"/>
                <w:highlight w:val="none"/>
              </w:rPr>
              <w:t>供应商</w:t>
            </w:r>
            <w:r>
              <w:rPr>
                <w:color w:val="auto"/>
                <w:kern w:val="0"/>
                <w:sz w:val="24"/>
                <w:szCs w:val="24"/>
                <w:highlight w:val="none"/>
              </w:rPr>
              <w:t xml:space="preserve">企业法人营业执照（副本）提供复印件）。 </w:t>
            </w:r>
          </w:p>
          <w:p>
            <w:pPr>
              <w:rPr>
                <w:color w:val="auto"/>
                <w:kern w:val="0"/>
                <w:sz w:val="24"/>
                <w:szCs w:val="24"/>
                <w:highlight w:val="none"/>
              </w:rPr>
            </w:pPr>
            <w:r>
              <w:rPr>
                <w:color w:val="auto"/>
                <w:kern w:val="0"/>
                <w:sz w:val="24"/>
                <w:szCs w:val="24"/>
                <w:highlight w:val="none"/>
              </w:rPr>
              <w:t>2.</w:t>
            </w:r>
            <w:r>
              <w:rPr>
                <w:rFonts w:hint="eastAsia"/>
                <w:color w:val="auto"/>
                <w:kern w:val="0"/>
                <w:sz w:val="24"/>
                <w:szCs w:val="24"/>
                <w:highlight w:val="none"/>
              </w:rPr>
              <w:t>供应商</w:t>
            </w:r>
            <w:r>
              <w:rPr>
                <w:color w:val="auto"/>
                <w:kern w:val="0"/>
                <w:sz w:val="24"/>
                <w:szCs w:val="24"/>
                <w:highlight w:val="none"/>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2.具有良好的商业信誉和健全的财务会计制度</w:t>
            </w:r>
          </w:p>
        </w:tc>
        <w:tc>
          <w:tcPr>
            <w:tcW w:w="4984" w:type="dxa"/>
            <w:vMerge w:val="restart"/>
            <w:vAlign w:val="center"/>
          </w:tcPr>
          <w:p>
            <w:pPr>
              <w:rPr>
                <w:color w:val="auto"/>
                <w:kern w:val="0"/>
                <w:sz w:val="24"/>
                <w:szCs w:val="24"/>
                <w:highlight w:val="none"/>
              </w:rPr>
            </w:pPr>
            <w:r>
              <w:rPr>
                <w:rFonts w:hint="eastAsia"/>
                <w:color w:val="auto"/>
                <w:kern w:val="0"/>
                <w:sz w:val="24"/>
                <w:szCs w:val="24"/>
                <w:highlight w:val="none"/>
              </w:rPr>
              <w:t>供应商</w:t>
            </w:r>
            <w:r>
              <w:rPr>
                <w:color w:val="auto"/>
                <w:kern w:val="0"/>
                <w:sz w:val="24"/>
                <w:szCs w:val="24"/>
                <w:highlight w:val="none"/>
              </w:rPr>
              <w:t>提供“基本资格条件承诺函”（格式详见第七篇）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3.具有履行合同所必需的设备和专业技术能力</w:t>
            </w:r>
          </w:p>
        </w:tc>
        <w:tc>
          <w:tcPr>
            <w:tcW w:w="4984" w:type="dxa"/>
            <w:vMerge w:val="continue"/>
            <w:vAlign w:val="center"/>
          </w:tcPr>
          <w:p>
            <w:pPr>
              <w:rPr>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4.有依法缴纳税收和社会保障金的良好记录</w:t>
            </w:r>
          </w:p>
        </w:tc>
        <w:tc>
          <w:tcPr>
            <w:tcW w:w="4984" w:type="dxa"/>
            <w:vMerge w:val="continue"/>
            <w:vAlign w:val="center"/>
          </w:tcPr>
          <w:p>
            <w:pPr>
              <w:rPr>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5.参加政府采购活动前三年内，在经营活动中没有重大违法记录（注</w:t>
            </w:r>
            <w:r>
              <w:rPr>
                <w:color w:val="auto"/>
                <w:kern w:val="0"/>
                <w:sz w:val="24"/>
                <w:szCs w:val="24"/>
                <w:highlight w:val="none"/>
              </w:rPr>
              <w:fldChar w:fldCharType="begin"/>
            </w:r>
            <w:r>
              <w:rPr>
                <w:color w:val="auto"/>
                <w:kern w:val="0"/>
                <w:sz w:val="24"/>
                <w:szCs w:val="24"/>
                <w:highlight w:val="none"/>
              </w:rPr>
              <w:instrText xml:space="preserve"> EQ \o\ac(○,1)</w:instrText>
            </w:r>
            <w:r>
              <w:rPr>
                <w:color w:val="auto"/>
                <w:kern w:val="0"/>
                <w:sz w:val="24"/>
                <w:szCs w:val="24"/>
                <w:highlight w:val="none"/>
              </w:rPr>
              <w:fldChar w:fldCharType="end"/>
            </w:r>
            <w:r>
              <w:rPr>
                <w:color w:val="auto"/>
                <w:kern w:val="0"/>
                <w:sz w:val="24"/>
                <w:szCs w:val="24"/>
                <w:highlight w:val="none"/>
              </w:rPr>
              <w:t>）</w:t>
            </w:r>
          </w:p>
        </w:tc>
        <w:tc>
          <w:tcPr>
            <w:tcW w:w="4984" w:type="dxa"/>
            <w:vMerge w:val="continue"/>
            <w:vAlign w:val="center"/>
          </w:tcPr>
          <w:p>
            <w:pPr>
              <w:rPr>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6.法律、行政法规规定的其他条件</w:t>
            </w:r>
          </w:p>
        </w:tc>
        <w:tc>
          <w:tcPr>
            <w:tcW w:w="4984" w:type="dxa"/>
            <w:vAlign w:val="center"/>
          </w:tcPr>
          <w:p>
            <w:pPr>
              <w:rPr>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color w:val="auto"/>
                <w:kern w:val="0"/>
                <w:sz w:val="24"/>
                <w:szCs w:val="24"/>
                <w:highlight w:val="none"/>
              </w:rPr>
            </w:pPr>
          </w:p>
        </w:tc>
        <w:tc>
          <w:tcPr>
            <w:tcW w:w="709" w:type="dxa"/>
            <w:vMerge w:val="continue"/>
            <w:vAlign w:val="center"/>
          </w:tcPr>
          <w:p>
            <w:pPr>
              <w:rPr>
                <w:color w:val="auto"/>
                <w:kern w:val="0"/>
                <w:sz w:val="24"/>
                <w:szCs w:val="24"/>
                <w:highlight w:val="none"/>
              </w:rPr>
            </w:pPr>
          </w:p>
        </w:tc>
        <w:tc>
          <w:tcPr>
            <w:tcW w:w="3118" w:type="dxa"/>
            <w:vAlign w:val="center"/>
          </w:tcPr>
          <w:p>
            <w:pPr>
              <w:rPr>
                <w:color w:val="auto"/>
                <w:kern w:val="0"/>
                <w:sz w:val="24"/>
                <w:szCs w:val="24"/>
                <w:highlight w:val="none"/>
              </w:rPr>
            </w:pPr>
            <w:r>
              <w:rPr>
                <w:color w:val="auto"/>
                <w:kern w:val="0"/>
                <w:sz w:val="24"/>
                <w:szCs w:val="24"/>
                <w:highlight w:val="none"/>
              </w:rPr>
              <w:t>7.本项目的特定资格要求</w:t>
            </w:r>
          </w:p>
        </w:tc>
        <w:tc>
          <w:tcPr>
            <w:tcW w:w="4984" w:type="dxa"/>
            <w:vAlign w:val="center"/>
          </w:tcPr>
          <w:p>
            <w:pPr>
              <w:rPr>
                <w:color w:val="auto"/>
                <w:kern w:val="0"/>
                <w:sz w:val="24"/>
                <w:szCs w:val="24"/>
                <w:highlight w:val="none"/>
              </w:rPr>
            </w:pPr>
            <w:r>
              <w:rPr>
                <w:color w:val="auto"/>
                <w:kern w:val="0"/>
                <w:sz w:val="24"/>
                <w:szCs w:val="24"/>
                <w:highlight w:val="none"/>
              </w:rPr>
              <w:t>按第一篇“三、</w:t>
            </w:r>
            <w:r>
              <w:rPr>
                <w:rFonts w:hint="eastAsia"/>
                <w:color w:val="auto"/>
                <w:kern w:val="0"/>
                <w:sz w:val="24"/>
                <w:szCs w:val="24"/>
                <w:highlight w:val="none"/>
              </w:rPr>
              <w:t>供应商</w:t>
            </w:r>
            <w:r>
              <w:rPr>
                <w:color w:val="auto"/>
                <w:kern w:val="0"/>
                <w:sz w:val="24"/>
                <w:szCs w:val="24"/>
                <w:highlight w:val="none"/>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color w:val="auto"/>
                <w:kern w:val="0"/>
                <w:sz w:val="24"/>
                <w:szCs w:val="24"/>
                <w:highlight w:val="none"/>
              </w:rPr>
            </w:pPr>
            <w:r>
              <w:rPr>
                <w:color w:val="auto"/>
                <w:kern w:val="0"/>
                <w:sz w:val="24"/>
                <w:szCs w:val="24"/>
                <w:highlight w:val="none"/>
              </w:rPr>
              <w:t>（二）</w:t>
            </w:r>
          </w:p>
        </w:tc>
        <w:tc>
          <w:tcPr>
            <w:tcW w:w="3827" w:type="dxa"/>
            <w:gridSpan w:val="2"/>
            <w:vAlign w:val="center"/>
          </w:tcPr>
          <w:p>
            <w:pPr>
              <w:rPr>
                <w:color w:val="auto"/>
                <w:kern w:val="0"/>
                <w:sz w:val="24"/>
                <w:szCs w:val="24"/>
                <w:highlight w:val="none"/>
              </w:rPr>
            </w:pPr>
            <w:r>
              <w:rPr>
                <w:color w:val="auto"/>
                <w:kern w:val="0"/>
                <w:sz w:val="24"/>
                <w:szCs w:val="24"/>
                <w:highlight w:val="none"/>
              </w:rPr>
              <w:t>落实政府采购政策需满足的资格要求</w:t>
            </w:r>
          </w:p>
        </w:tc>
        <w:tc>
          <w:tcPr>
            <w:tcW w:w="4984" w:type="dxa"/>
            <w:vAlign w:val="center"/>
          </w:tcPr>
          <w:p>
            <w:pPr>
              <w:rPr>
                <w:color w:val="auto"/>
                <w:kern w:val="0"/>
                <w:sz w:val="24"/>
                <w:szCs w:val="24"/>
                <w:highlight w:val="none"/>
              </w:rPr>
            </w:pPr>
            <w:r>
              <w:rPr>
                <w:color w:val="auto"/>
                <w:kern w:val="0"/>
                <w:sz w:val="24"/>
                <w:szCs w:val="24"/>
                <w:highlight w:val="none"/>
              </w:rPr>
              <w:t>按第一篇“三、</w:t>
            </w:r>
            <w:r>
              <w:rPr>
                <w:rFonts w:hint="eastAsia"/>
                <w:color w:val="auto"/>
                <w:kern w:val="0"/>
                <w:sz w:val="24"/>
                <w:szCs w:val="24"/>
                <w:highlight w:val="none"/>
              </w:rPr>
              <w:t>供应商</w:t>
            </w:r>
            <w:r>
              <w:rPr>
                <w:color w:val="auto"/>
                <w:kern w:val="0"/>
                <w:sz w:val="24"/>
                <w:szCs w:val="24"/>
                <w:highlight w:val="none"/>
              </w:rPr>
              <w:t>资格要求（二）落实政府采购政策需满足的资格要求”的要求提交（如果有）。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pPr>
              <w:jc w:val="center"/>
              <w:rPr>
                <w:color w:val="auto"/>
                <w:kern w:val="0"/>
                <w:sz w:val="24"/>
                <w:szCs w:val="24"/>
                <w:highlight w:val="none"/>
              </w:rPr>
            </w:pPr>
            <w:r>
              <w:rPr>
                <w:color w:val="auto"/>
                <w:kern w:val="0"/>
                <w:sz w:val="24"/>
                <w:szCs w:val="24"/>
                <w:highlight w:val="none"/>
              </w:rPr>
              <w:t>（三）</w:t>
            </w:r>
          </w:p>
        </w:tc>
        <w:tc>
          <w:tcPr>
            <w:tcW w:w="3827" w:type="dxa"/>
            <w:gridSpan w:val="2"/>
            <w:vAlign w:val="center"/>
          </w:tcPr>
          <w:p>
            <w:pPr>
              <w:rPr>
                <w:color w:val="auto"/>
                <w:kern w:val="0"/>
                <w:sz w:val="24"/>
                <w:szCs w:val="24"/>
                <w:highlight w:val="none"/>
              </w:rPr>
            </w:pPr>
            <w:r>
              <w:rPr>
                <w:rFonts w:hint="eastAsia"/>
                <w:color w:val="auto"/>
                <w:kern w:val="0"/>
                <w:sz w:val="24"/>
                <w:szCs w:val="24"/>
                <w:highlight w:val="none"/>
              </w:rPr>
              <w:t>标书费</w:t>
            </w:r>
          </w:p>
        </w:tc>
        <w:tc>
          <w:tcPr>
            <w:tcW w:w="4984" w:type="dxa"/>
            <w:vAlign w:val="center"/>
          </w:tcPr>
          <w:p>
            <w:pPr>
              <w:rPr>
                <w:color w:val="auto"/>
                <w:kern w:val="0"/>
                <w:sz w:val="24"/>
                <w:szCs w:val="24"/>
                <w:highlight w:val="none"/>
              </w:rPr>
            </w:pPr>
            <w:r>
              <w:rPr>
                <w:color w:val="auto"/>
                <w:kern w:val="0"/>
                <w:sz w:val="24"/>
                <w:szCs w:val="24"/>
                <w:highlight w:val="none"/>
              </w:rPr>
              <w:t>按照招标文件要求足额交纳所投包的</w:t>
            </w:r>
            <w:r>
              <w:rPr>
                <w:rFonts w:hint="eastAsia"/>
                <w:color w:val="auto"/>
                <w:kern w:val="0"/>
                <w:sz w:val="24"/>
                <w:szCs w:val="24"/>
                <w:highlight w:val="none"/>
              </w:rPr>
              <w:t>标书费</w:t>
            </w:r>
            <w:r>
              <w:rPr>
                <w:color w:val="auto"/>
                <w:kern w:val="0"/>
                <w:sz w:val="24"/>
                <w:szCs w:val="24"/>
                <w:highlight w:val="none"/>
              </w:rPr>
              <w:t>。</w:t>
            </w:r>
          </w:p>
        </w:tc>
      </w:tr>
    </w:tbl>
    <w:p>
      <w:pPr>
        <w:snapToGrid w:val="0"/>
        <w:spacing w:line="360" w:lineRule="auto"/>
        <w:ind w:firstLine="480" w:firstLineChars="200"/>
        <w:rPr>
          <w:color w:val="auto"/>
          <w:kern w:val="0"/>
          <w:sz w:val="24"/>
          <w:szCs w:val="24"/>
          <w:highlight w:val="none"/>
        </w:rPr>
      </w:pPr>
      <w:r>
        <w:rPr>
          <w:color w:val="auto"/>
          <w:kern w:val="0"/>
          <w:sz w:val="24"/>
          <w:szCs w:val="24"/>
          <w:highlight w:val="none"/>
        </w:rPr>
        <w:t>注：</w:t>
      </w:r>
    </w:p>
    <w:p>
      <w:pPr>
        <w:snapToGrid w:val="0"/>
        <w:spacing w:line="360" w:lineRule="auto"/>
        <w:ind w:firstLine="480" w:firstLineChars="200"/>
        <w:rPr>
          <w:color w:val="auto"/>
          <w:kern w:val="0"/>
          <w:sz w:val="24"/>
          <w:szCs w:val="24"/>
          <w:highlight w:val="none"/>
        </w:rPr>
      </w:pPr>
      <w:r>
        <w:rPr>
          <w:color w:val="auto"/>
          <w:kern w:val="0"/>
          <w:sz w:val="24"/>
          <w:szCs w:val="24"/>
          <w:highlight w:val="none"/>
        </w:rPr>
        <w:fldChar w:fldCharType="begin"/>
      </w:r>
      <w:r>
        <w:rPr>
          <w:color w:val="auto"/>
          <w:kern w:val="0"/>
          <w:sz w:val="24"/>
          <w:szCs w:val="24"/>
          <w:highlight w:val="none"/>
        </w:rPr>
        <w:instrText xml:space="preserve"> eq \o\ac(○,</w:instrText>
      </w:r>
      <w:r>
        <w:rPr>
          <w:color w:val="auto"/>
          <w:kern w:val="0"/>
          <w:position w:val="3"/>
          <w:sz w:val="16"/>
          <w:szCs w:val="24"/>
          <w:highlight w:val="none"/>
        </w:rPr>
        <w:instrText xml:space="preserve">1</w:instrText>
      </w:r>
      <w:r>
        <w:rPr>
          <w:color w:val="auto"/>
          <w:kern w:val="0"/>
          <w:sz w:val="24"/>
          <w:szCs w:val="24"/>
          <w:highlight w:val="none"/>
        </w:rPr>
        <w:instrText xml:space="preserve">)</w:instrText>
      </w:r>
      <w:r>
        <w:rPr>
          <w:color w:val="auto"/>
          <w:kern w:val="0"/>
          <w:sz w:val="24"/>
          <w:szCs w:val="24"/>
          <w:highlight w:val="none"/>
        </w:rPr>
        <w:fldChar w:fldCharType="end"/>
      </w:r>
      <w:r>
        <w:rPr>
          <w:color w:val="auto"/>
          <w:kern w:val="0"/>
          <w:sz w:val="24"/>
          <w:szCs w:val="24"/>
          <w:highlight w:val="none"/>
        </w:rPr>
        <w:t>根据《中华人民共和国政府采购法实施条例》第十九条“参加政府采购活动前三年内，在经营活动中没有重大违法记录”中“重大违法记录”，是指</w:t>
      </w:r>
      <w:r>
        <w:rPr>
          <w:rFonts w:hint="eastAsia"/>
          <w:color w:val="auto"/>
          <w:kern w:val="0"/>
          <w:sz w:val="24"/>
          <w:szCs w:val="24"/>
          <w:highlight w:val="none"/>
        </w:rPr>
        <w:t>供应商</w:t>
      </w:r>
      <w:r>
        <w:rPr>
          <w:color w:val="auto"/>
          <w:kern w:val="0"/>
          <w:sz w:val="24"/>
          <w:szCs w:val="24"/>
          <w:highlight w:val="none"/>
        </w:rPr>
        <w:t>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w:t>
      </w:r>
      <w:r>
        <w:rPr>
          <w:rFonts w:hint="eastAsia"/>
          <w:color w:val="auto"/>
          <w:kern w:val="0"/>
          <w:sz w:val="24"/>
          <w:szCs w:val="24"/>
          <w:highlight w:val="none"/>
        </w:rPr>
        <w:t>供应商</w:t>
      </w:r>
      <w:r>
        <w:rPr>
          <w:color w:val="auto"/>
          <w:kern w:val="0"/>
          <w:sz w:val="24"/>
          <w:szCs w:val="24"/>
          <w:highlight w:val="none"/>
        </w:rPr>
        <w:t>可于投标截止日期前通过 “信用中国”网站(www.creditchina.gov.cn)、"中国政府采购网"(www.ccgp.gov.cn)等渠道查询信用记录。</w:t>
      </w:r>
    </w:p>
    <w:p>
      <w:pPr>
        <w:snapToGrid w:val="0"/>
        <w:spacing w:line="360" w:lineRule="auto"/>
        <w:ind w:firstLine="480" w:firstLineChars="200"/>
        <w:rPr>
          <w:color w:val="auto"/>
          <w:kern w:val="0"/>
          <w:sz w:val="24"/>
          <w:szCs w:val="24"/>
          <w:highlight w:val="none"/>
        </w:rPr>
      </w:pPr>
      <w:r>
        <w:rPr>
          <w:color w:val="auto"/>
          <w:kern w:val="0"/>
          <w:sz w:val="24"/>
          <w:szCs w:val="24"/>
          <w:highlight w:val="none"/>
        </w:rPr>
        <w:t>2.符合性检查。依据单一来源谈判文件的规定，从响应文件的有效性、完整性和对单一来源谈判文件的响应程度进行审查，以确定是否对单一来源谈判文件的实质性要求作出响应。符合性检查资料表如下：</w:t>
      </w:r>
    </w:p>
    <w:tbl>
      <w:tblPr>
        <w:tblStyle w:val="18"/>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828"/>
        <w:gridCol w:w="5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pPr>
              <w:spacing w:line="360" w:lineRule="auto"/>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序号</w:t>
            </w:r>
          </w:p>
        </w:tc>
        <w:tc>
          <w:tcPr>
            <w:tcW w:w="3390" w:type="dxa"/>
            <w:gridSpan w:val="2"/>
            <w:vAlign w:val="center"/>
          </w:tcPr>
          <w:p>
            <w:pPr>
              <w:spacing w:line="360" w:lineRule="auto"/>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评审因素</w:t>
            </w:r>
          </w:p>
        </w:tc>
        <w:tc>
          <w:tcPr>
            <w:tcW w:w="5565" w:type="dxa"/>
            <w:vAlign w:val="center"/>
          </w:tcPr>
          <w:p>
            <w:pPr>
              <w:spacing w:line="360" w:lineRule="auto"/>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562" w:type="dxa"/>
            <w:vMerge w:val="restart"/>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有效性审查</w:t>
            </w:r>
          </w:p>
        </w:tc>
        <w:tc>
          <w:tcPr>
            <w:tcW w:w="1828"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响应文件签署</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响应文件上法定代表人（或其授权代表）的签字齐全。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pPr>
              <w:spacing w:line="360" w:lineRule="auto"/>
              <w:jc w:val="center"/>
              <w:rPr>
                <w:rFonts w:ascii="宋体" w:hAnsi="宋体" w:cs="宋体"/>
                <w:color w:val="auto"/>
                <w:kern w:val="0"/>
                <w:sz w:val="24"/>
                <w:szCs w:val="24"/>
                <w:highlight w:val="none"/>
              </w:rPr>
            </w:pPr>
          </w:p>
        </w:tc>
        <w:tc>
          <w:tcPr>
            <w:tcW w:w="1562" w:type="dxa"/>
            <w:vMerge w:val="continue"/>
            <w:vAlign w:val="center"/>
          </w:tcPr>
          <w:p>
            <w:pPr>
              <w:spacing w:line="360" w:lineRule="auto"/>
              <w:rPr>
                <w:rFonts w:ascii="宋体" w:hAnsi="宋体" w:cs="宋体"/>
                <w:color w:val="auto"/>
                <w:kern w:val="0"/>
                <w:sz w:val="24"/>
                <w:szCs w:val="24"/>
                <w:highlight w:val="none"/>
              </w:rPr>
            </w:pPr>
          </w:p>
        </w:tc>
        <w:tc>
          <w:tcPr>
            <w:tcW w:w="1828" w:type="dxa"/>
            <w:vAlign w:val="center"/>
          </w:tcPr>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投标方案</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lang w:val="zh-CN"/>
              </w:rPr>
              <w:t>每个包只能有一个方案投标。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pPr>
              <w:spacing w:line="360" w:lineRule="auto"/>
              <w:jc w:val="center"/>
              <w:rPr>
                <w:rFonts w:ascii="宋体" w:hAnsi="宋体" w:cs="宋体"/>
                <w:color w:val="auto"/>
                <w:kern w:val="0"/>
                <w:sz w:val="24"/>
                <w:szCs w:val="24"/>
                <w:highlight w:val="none"/>
              </w:rPr>
            </w:pPr>
          </w:p>
        </w:tc>
        <w:tc>
          <w:tcPr>
            <w:tcW w:w="1562" w:type="dxa"/>
            <w:vMerge w:val="continue"/>
            <w:vAlign w:val="center"/>
          </w:tcPr>
          <w:p>
            <w:pPr>
              <w:spacing w:line="360" w:lineRule="auto"/>
              <w:rPr>
                <w:rFonts w:ascii="宋体" w:hAnsi="宋体" w:cs="宋体"/>
                <w:color w:val="auto"/>
                <w:kern w:val="0"/>
                <w:sz w:val="24"/>
                <w:szCs w:val="24"/>
                <w:highlight w:val="none"/>
              </w:rPr>
            </w:pPr>
          </w:p>
        </w:tc>
        <w:tc>
          <w:tcPr>
            <w:tcW w:w="1828" w:type="dxa"/>
            <w:vAlign w:val="center"/>
          </w:tcPr>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报价唯一</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lang w:val="zh-CN"/>
              </w:rPr>
              <w:t>只能在预算金额和最高限价内报价，</w:t>
            </w:r>
            <w:r>
              <w:rPr>
                <w:rFonts w:hint="eastAsia" w:ascii="宋体" w:hAnsi="宋体" w:cs="宋体"/>
                <w:color w:val="auto"/>
                <w:sz w:val="24"/>
                <w:szCs w:val="24"/>
                <w:highlight w:val="none"/>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562"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完整性审查</w:t>
            </w:r>
          </w:p>
        </w:tc>
        <w:tc>
          <w:tcPr>
            <w:tcW w:w="1828"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lang w:val="zh-CN"/>
              </w:rPr>
              <w:t>响应文件份数</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lang w:val="zh-CN"/>
              </w:rPr>
              <w:t>响应文件正、副本数量（含电子文档）符合招标文件要求。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562"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技术部分</w:t>
            </w:r>
          </w:p>
        </w:tc>
        <w:tc>
          <w:tcPr>
            <w:tcW w:w="1828"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响应文件内容</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本招标文件第二篇中全部部内容完全满足。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562"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商务部分</w:t>
            </w:r>
          </w:p>
        </w:tc>
        <w:tc>
          <w:tcPr>
            <w:tcW w:w="1828"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响应文件内容</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本招标文件第三篇中全部部内容完全满足。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5</w:t>
            </w:r>
          </w:p>
        </w:tc>
        <w:tc>
          <w:tcPr>
            <w:tcW w:w="1562"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投标有效期</w:t>
            </w:r>
          </w:p>
        </w:tc>
        <w:tc>
          <w:tcPr>
            <w:tcW w:w="1828"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响应文件内容</w:t>
            </w:r>
          </w:p>
        </w:tc>
        <w:tc>
          <w:tcPr>
            <w:tcW w:w="5565" w:type="dxa"/>
            <w:vAlign w:val="center"/>
          </w:tcPr>
          <w:p>
            <w:pPr>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投标有效期为投标截止时间起90天。</w:t>
            </w:r>
          </w:p>
        </w:tc>
      </w:tr>
    </w:tbl>
    <w:p>
      <w:pPr>
        <w:spacing w:line="360" w:lineRule="auto"/>
        <w:ind w:firstLine="360" w:firstLineChars="150"/>
        <w:rPr>
          <w:color w:val="auto"/>
          <w:sz w:val="24"/>
          <w:szCs w:val="24"/>
          <w:highlight w:val="none"/>
        </w:rPr>
      </w:pPr>
      <w:r>
        <w:rPr>
          <w:color w:val="auto"/>
          <w:sz w:val="24"/>
          <w:szCs w:val="24"/>
          <w:highlight w:val="none"/>
        </w:rPr>
        <w:t>（三）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360" w:firstLineChars="150"/>
        <w:rPr>
          <w:color w:val="auto"/>
          <w:sz w:val="24"/>
          <w:szCs w:val="24"/>
          <w:highlight w:val="none"/>
        </w:rPr>
      </w:pPr>
      <w:r>
        <w:rPr>
          <w:color w:val="auto"/>
          <w:sz w:val="24"/>
          <w:szCs w:val="24"/>
          <w:highlight w:val="none"/>
        </w:rPr>
        <w:t>（四）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spacing w:line="360" w:lineRule="auto"/>
        <w:ind w:firstLine="360" w:firstLineChars="150"/>
        <w:rPr>
          <w:color w:val="auto"/>
          <w:sz w:val="24"/>
          <w:szCs w:val="24"/>
          <w:highlight w:val="none"/>
        </w:rPr>
      </w:pPr>
      <w:r>
        <w:rPr>
          <w:color w:val="auto"/>
          <w:sz w:val="24"/>
          <w:szCs w:val="24"/>
          <w:highlight w:val="none"/>
        </w:rPr>
        <w:t>（五）在谈判过程中谈判的任何一方不得向他人透露与谈判有关的技术资料、价格或其他信息。</w:t>
      </w:r>
    </w:p>
    <w:p>
      <w:pPr>
        <w:spacing w:line="360" w:lineRule="auto"/>
        <w:ind w:firstLine="360" w:firstLineChars="150"/>
        <w:rPr>
          <w:color w:val="auto"/>
          <w:sz w:val="24"/>
          <w:szCs w:val="24"/>
          <w:highlight w:val="none"/>
        </w:rPr>
      </w:pPr>
      <w:r>
        <w:rPr>
          <w:color w:val="auto"/>
          <w:sz w:val="24"/>
          <w:szCs w:val="24"/>
          <w:highlight w:val="none"/>
        </w:rPr>
        <w:t>（六）在谈判过程中，谈判小组可以根据单一来源谈判文件和谈判情况实质性变动采购需求中的技术、服务要求以及合同草案条款，但不得变动单一来源谈判文件中的其他内容。实质性变动的内容，须经采购人代表确认。对单一来源谈判文件作出的实质性变动是单一来源谈判谈判文件的有效组成部分，谈判小组应当及时以书面形式同时通知参加谈判的供应商。供应商应当按照单一来源谈判文件的变动情况和谈判小组的要求重新提交响应文件或重新做出相关的书面承诺，并报出最佳服务，最后统一报价。</w:t>
      </w:r>
    </w:p>
    <w:p>
      <w:pPr>
        <w:spacing w:line="360" w:lineRule="auto"/>
        <w:ind w:firstLine="360" w:firstLineChars="150"/>
        <w:rPr>
          <w:color w:val="auto"/>
          <w:sz w:val="24"/>
          <w:szCs w:val="24"/>
          <w:highlight w:val="none"/>
        </w:rPr>
      </w:pPr>
      <w:r>
        <w:rPr>
          <w:color w:val="auto"/>
          <w:sz w:val="24"/>
          <w:szCs w:val="24"/>
          <w:highlight w:val="none"/>
        </w:rPr>
        <w:t>（七）供应商在谈判时作出的所有书面承诺须由法定代表人或其授权代表签字。</w:t>
      </w:r>
    </w:p>
    <w:p>
      <w:pPr>
        <w:spacing w:line="360" w:lineRule="auto"/>
        <w:ind w:firstLine="360" w:firstLineChars="150"/>
        <w:rPr>
          <w:color w:val="auto"/>
          <w:sz w:val="24"/>
          <w:szCs w:val="24"/>
          <w:highlight w:val="none"/>
        </w:rPr>
      </w:pPr>
      <w:r>
        <w:rPr>
          <w:color w:val="auto"/>
          <w:sz w:val="24"/>
          <w:szCs w:val="24"/>
          <w:highlight w:val="none"/>
        </w:rPr>
        <w:t>（八）谈判结束后，谈判小组要求参加正式谈判的供应商在规定时间内同时书面提交最后报价及有关承诺（</w:t>
      </w:r>
      <w:r>
        <w:rPr>
          <w:rFonts w:hint="eastAsia"/>
          <w:color w:val="auto"/>
          <w:sz w:val="24"/>
          <w:szCs w:val="24"/>
          <w:highlight w:val="none"/>
          <w:lang w:eastAsia="zh-CN"/>
        </w:rPr>
        <w:t>提交</w:t>
      </w:r>
      <w:r>
        <w:rPr>
          <w:color w:val="auto"/>
          <w:sz w:val="24"/>
          <w:szCs w:val="24"/>
          <w:highlight w:val="none"/>
        </w:rPr>
        <w:t>《最后报价表》）。</w:t>
      </w:r>
    </w:p>
    <w:p>
      <w:pPr>
        <w:pStyle w:val="4"/>
        <w:spacing w:before="0" w:after="0" w:line="360" w:lineRule="auto"/>
        <w:rPr>
          <w:color w:val="auto"/>
          <w:sz w:val="24"/>
          <w:szCs w:val="24"/>
          <w:highlight w:val="none"/>
        </w:rPr>
      </w:pPr>
      <w:bookmarkStart w:id="115" w:name="_Toc28707"/>
      <w:bookmarkStart w:id="116" w:name="_Toc502744947"/>
      <w:bookmarkStart w:id="117" w:name="_Toc26696"/>
      <w:bookmarkStart w:id="118" w:name="_Toc102227320"/>
      <w:bookmarkStart w:id="119" w:name="_Toc342913394"/>
      <w:r>
        <w:rPr>
          <w:color w:val="auto"/>
          <w:sz w:val="24"/>
          <w:szCs w:val="24"/>
          <w:highlight w:val="none"/>
        </w:rPr>
        <w:t>五、评审依据</w:t>
      </w:r>
      <w:bookmarkEnd w:id="115"/>
      <w:bookmarkEnd w:id="116"/>
      <w:bookmarkEnd w:id="117"/>
    </w:p>
    <w:p>
      <w:pPr>
        <w:spacing w:line="360" w:lineRule="auto"/>
        <w:ind w:firstLine="480" w:firstLineChars="200"/>
        <w:rPr>
          <w:color w:val="auto"/>
          <w:sz w:val="24"/>
          <w:szCs w:val="24"/>
          <w:highlight w:val="none"/>
        </w:rPr>
      </w:pPr>
      <w:r>
        <w:rPr>
          <w:color w:val="auto"/>
          <w:sz w:val="24"/>
          <w:szCs w:val="24"/>
          <w:highlight w:val="none"/>
        </w:rPr>
        <w:t>评审的依据为单一来源谈判文件和响应文件（含有效的补充文件）。谈判小组判断响应文件对单一来源谈判文件的响应，仅基于响应文件本身而不靠外部证据。</w:t>
      </w:r>
    </w:p>
    <w:p>
      <w:pPr>
        <w:pStyle w:val="4"/>
        <w:spacing w:before="0" w:after="0" w:line="360" w:lineRule="auto"/>
        <w:rPr>
          <w:color w:val="auto"/>
          <w:sz w:val="24"/>
          <w:szCs w:val="24"/>
          <w:highlight w:val="none"/>
        </w:rPr>
      </w:pPr>
      <w:bookmarkStart w:id="120" w:name="_Toc502744948"/>
      <w:bookmarkStart w:id="121" w:name="_Toc7687"/>
      <w:bookmarkStart w:id="122" w:name="_Toc25061"/>
      <w:r>
        <w:rPr>
          <w:color w:val="auto"/>
          <w:sz w:val="24"/>
          <w:szCs w:val="24"/>
          <w:highlight w:val="none"/>
        </w:rPr>
        <w:t>六、成交</w:t>
      </w:r>
      <w:bookmarkEnd w:id="118"/>
      <w:r>
        <w:rPr>
          <w:color w:val="auto"/>
          <w:sz w:val="24"/>
          <w:szCs w:val="24"/>
          <w:highlight w:val="none"/>
        </w:rPr>
        <w:t>原则</w:t>
      </w:r>
      <w:bookmarkEnd w:id="119"/>
      <w:bookmarkEnd w:id="120"/>
      <w:bookmarkEnd w:id="121"/>
      <w:bookmarkEnd w:id="122"/>
    </w:p>
    <w:p>
      <w:pPr>
        <w:snapToGrid w:val="0"/>
        <w:spacing w:line="360" w:lineRule="auto"/>
        <w:ind w:firstLine="360" w:firstLineChars="150"/>
        <w:rPr>
          <w:color w:val="auto"/>
          <w:sz w:val="24"/>
          <w:szCs w:val="24"/>
          <w:highlight w:val="none"/>
        </w:rPr>
      </w:pPr>
      <w:r>
        <w:rPr>
          <w:color w:val="auto"/>
          <w:sz w:val="24"/>
          <w:szCs w:val="24"/>
          <w:highlight w:val="none"/>
        </w:rPr>
        <w:t>（一）谈判办法</w:t>
      </w:r>
    </w:p>
    <w:p>
      <w:pPr>
        <w:snapToGrid w:val="0"/>
        <w:spacing w:line="360" w:lineRule="auto"/>
        <w:ind w:firstLine="360" w:firstLineChars="150"/>
        <w:rPr>
          <w:color w:val="auto"/>
          <w:sz w:val="24"/>
          <w:szCs w:val="24"/>
          <w:highlight w:val="none"/>
        </w:rPr>
      </w:pPr>
      <w:r>
        <w:rPr>
          <w:color w:val="auto"/>
          <w:sz w:val="24"/>
          <w:szCs w:val="24"/>
          <w:highlight w:val="none"/>
        </w:rPr>
        <w:t>1、资格性检查和符合性检查：</w:t>
      </w:r>
    </w:p>
    <w:p>
      <w:pPr>
        <w:snapToGrid w:val="0"/>
        <w:spacing w:line="360" w:lineRule="auto"/>
        <w:ind w:firstLine="360" w:firstLineChars="150"/>
        <w:rPr>
          <w:color w:val="auto"/>
          <w:sz w:val="24"/>
          <w:szCs w:val="24"/>
          <w:highlight w:val="none"/>
        </w:rPr>
      </w:pPr>
      <w:r>
        <w:rPr>
          <w:color w:val="auto"/>
          <w:sz w:val="24"/>
          <w:szCs w:val="24"/>
          <w:highlight w:val="none"/>
        </w:rPr>
        <w:t>根据《谈判文件》的要求和规定，谈判小组首先对供应商的谈判文件进行初审。初审分资格性检查和符合性检查：资格性检查是依据法律法规和谈判文件的规定，对资格文件等进行审查，以确定供应商是否具备谈判资格；符合性检查是对技术文件进行审查，从技术文件的有效性、完整性和对谈判文件的响应程度进行审查，以确定供应商是否对谈判文件的实质性要求作出响应。</w:t>
      </w:r>
    </w:p>
    <w:p>
      <w:pPr>
        <w:snapToGrid w:val="0"/>
        <w:spacing w:line="360" w:lineRule="auto"/>
        <w:ind w:firstLine="360" w:firstLineChars="150"/>
        <w:rPr>
          <w:color w:val="auto"/>
          <w:sz w:val="24"/>
          <w:szCs w:val="24"/>
          <w:highlight w:val="none"/>
        </w:rPr>
      </w:pPr>
      <w:r>
        <w:rPr>
          <w:color w:val="auto"/>
          <w:sz w:val="24"/>
          <w:szCs w:val="24"/>
          <w:highlight w:val="none"/>
        </w:rPr>
        <w:t>2、澄清有关问题：</w:t>
      </w:r>
    </w:p>
    <w:p>
      <w:pPr>
        <w:snapToGrid w:val="0"/>
        <w:spacing w:line="360" w:lineRule="auto"/>
        <w:ind w:firstLine="360" w:firstLineChars="150"/>
        <w:rPr>
          <w:color w:val="auto"/>
          <w:sz w:val="24"/>
          <w:szCs w:val="24"/>
          <w:highlight w:val="none"/>
        </w:rPr>
      </w:pPr>
      <w:r>
        <w:rPr>
          <w:color w:val="auto"/>
          <w:sz w:val="24"/>
          <w:szCs w:val="24"/>
          <w:highlight w:val="none"/>
        </w:rPr>
        <w:t>为了有助于对响应文件进行审查，谈判小组可以对响应文件中含义不明确、同类问题表述不一致或者有明显文字和计算错误等内容向供应商质疑，要求供应商作出必要的澄清、说明或补正。供应商的澄清、说明或者补正应当采用书面形式，由其授权代表签字，并不得超出谈判文件的范围或者改变谈判文件的实质性内容。书面承诺为其谈判文件的组成部分。</w:t>
      </w:r>
    </w:p>
    <w:p>
      <w:pPr>
        <w:snapToGrid w:val="0"/>
        <w:spacing w:line="360" w:lineRule="auto"/>
        <w:ind w:firstLine="360" w:firstLineChars="150"/>
        <w:rPr>
          <w:color w:val="auto"/>
          <w:sz w:val="24"/>
          <w:szCs w:val="24"/>
          <w:highlight w:val="none"/>
        </w:rPr>
      </w:pPr>
      <w:r>
        <w:rPr>
          <w:color w:val="auto"/>
          <w:sz w:val="24"/>
          <w:szCs w:val="24"/>
          <w:highlight w:val="none"/>
        </w:rPr>
        <w:t>3、在“资格性与符合性”检查后，对“技术文件”进行评审。谈判小组专家对响应文件技术方案、商务内容包括交货期、质保期等内容进行评审。</w:t>
      </w:r>
    </w:p>
    <w:p>
      <w:pPr>
        <w:snapToGrid w:val="0"/>
        <w:spacing w:line="360" w:lineRule="auto"/>
        <w:ind w:firstLine="360" w:firstLineChars="150"/>
        <w:rPr>
          <w:color w:val="auto"/>
          <w:sz w:val="24"/>
          <w:szCs w:val="24"/>
          <w:highlight w:val="none"/>
        </w:rPr>
      </w:pPr>
      <w:r>
        <w:rPr>
          <w:color w:val="auto"/>
          <w:sz w:val="24"/>
          <w:szCs w:val="24"/>
          <w:highlight w:val="none"/>
        </w:rPr>
        <w:t>（二）成交原则</w:t>
      </w:r>
    </w:p>
    <w:p>
      <w:pPr>
        <w:snapToGrid w:val="0"/>
        <w:spacing w:line="360" w:lineRule="auto"/>
        <w:ind w:firstLine="480" w:firstLineChars="200"/>
        <w:rPr>
          <w:color w:val="auto"/>
          <w:sz w:val="24"/>
          <w:szCs w:val="24"/>
          <w:highlight w:val="none"/>
        </w:rPr>
      </w:pPr>
      <w:r>
        <w:rPr>
          <w:color w:val="auto"/>
          <w:sz w:val="24"/>
          <w:szCs w:val="24"/>
          <w:highlight w:val="none"/>
        </w:rPr>
        <w:t>1、采购人授权单一来源谈判小组在满足采购的技术、质量、商务和服务的需求基础上，按合理低价的原则确定成交供应商。成交价格=成交供应商的最后报价</w:t>
      </w:r>
    </w:p>
    <w:p>
      <w:pPr>
        <w:snapToGrid w:val="0"/>
        <w:spacing w:line="360" w:lineRule="auto"/>
        <w:ind w:firstLine="360" w:firstLineChars="150"/>
        <w:rPr>
          <w:color w:val="auto"/>
          <w:sz w:val="24"/>
          <w:szCs w:val="24"/>
          <w:highlight w:val="none"/>
        </w:rPr>
      </w:pPr>
      <w:r>
        <w:rPr>
          <w:color w:val="auto"/>
          <w:sz w:val="24"/>
          <w:szCs w:val="24"/>
          <w:highlight w:val="none"/>
        </w:rPr>
        <w:t>2、出现以下情况之一的，作为采购失败处理，应重新组织采购：</w:t>
      </w:r>
    </w:p>
    <w:p>
      <w:pPr>
        <w:snapToGrid w:val="0"/>
        <w:spacing w:line="360" w:lineRule="auto"/>
        <w:ind w:firstLine="360" w:firstLineChars="150"/>
        <w:rPr>
          <w:color w:val="auto"/>
          <w:sz w:val="24"/>
          <w:szCs w:val="24"/>
          <w:highlight w:val="none"/>
        </w:rPr>
      </w:pPr>
      <w:r>
        <w:rPr>
          <w:color w:val="auto"/>
          <w:sz w:val="24"/>
          <w:szCs w:val="24"/>
          <w:highlight w:val="none"/>
        </w:rPr>
        <w:t>（1）出现影响采购公正的违法、违规行为的；</w:t>
      </w:r>
    </w:p>
    <w:p>
      <w:pPr>
        <w:snapToGrid w:val="0"/>
        <w:spacing w:line="360" w:lineRule="auto"/>
        <w:ind w:firstLine="360" w:firstLineChars="150"/>
        <w:rPr>
          <w:color w:val="auto"/>
          <w:sz w:val="24"/>
          <w:szCs w:val="24"/>
          <w:highlight w:val="none"/>
        </w:rPr>
      </w:pPr>
      <w:r>
        <w:rPr>
          <w:color w:val="auto"/>
          <w:sz w:val="24"/>
          <w:szCs w:val="24"/>
          <w:highlight w:val="none"/>
        </w:rPr>
        <w:t>（2）供应商的报价均超过了采购预算，采购人不能支付的；</w:t>
      </w:r>
    </w:p>
    <w:p>
      <w:pPr>
        <w:snapToGrid w:val="0"/>
        <w:spacing w:line="360" w:lineRule="auto"/>
        <w:ind w:firstLine="360" w:firstLineChars="150"/>
        <w:rPr>
          <w:color w:val="auto"/>
          <w:sz w:val="24"/>
          <w:szCs w:val="24"/>
          <w:highlight w:val="none"/>
        </w:rPr>
      </w:pPr>
      <w:r>
        <w:rPr>
          <w:color w:val="auto"/>
          <w:sz w:val="24"/>
          <w:szCs w:val="24"/>
          <w:highlight w:val="none"/>
        </w:rPr>
        <w:t>（3）因不可抗力导致重大变故，采购任务取消的。</w:t>
      </w:r>
    </w:p>
    <w:p>
      <w:pPr>
        <w:pStyle w:val="4"/>
        <w:spacing w:before="0" w:after="0" w:line="360" w:lineRule="auto"/>
        <w:rPr>
          <w:color w:val="auto"/>
          <w:sz w:val="24"/>
          <w:szCs w:val="24"/>
          <w:highlight w:val="none"/>
        </w:rPr>
      </w:pPr>
      <w:bookmarkStart w:id="123" w:name="_Toc8000"/>
      <w:bookmarkStart w:id="124" w:name="_Toc502744949"/>
      <w:bookmarkStart w:id="125" w:name="_Toc16356"/>
      <w:bookmarkStart w:id="126" w:name="_Toc102227321"/>
      <w:bookmarkStart w:id="127" w:name="_Toc342913395"/>
      <w:r>
        <w:rPr>
          <w:color w:val="auto"/>
          <w:sz w:val="24"/>
          <w:szCs w:val="24"/>
          <w:highlight w:val="none"/>
        </w:rPr>
        <w:t>七、成交通知</w:t>
      </w:r>
      <w:bookmarkEnd w:id="123"/>
      <w:bookmarkEnd w:id="124"/>
      <w:bookmarkEnd w:id="125"/>
      <w:bookmarkEnd w:id="126"/>
      <w:bookmarkEnd w:id="127"/>
    </w:p>
    <w:p>
      <w:pPr>
        <w:spacing w:line="360" w:lineRule="auto"/>
        <w:ind w:firstLine="360" w:firstLineChars="150"/>
        <w:rPr>
          <w:color w:val="auto"/>
          <w:sz w:val="24"/>
          <w:szCs w:val="24"/>
          <w:highlight w:val="none"/>
        </w:rPr>
      </w:pPr>
      <w:r>
        <w:rPr>
          <w:color w:val="auto"/>
          <w:sz w:val="24"/>
          <w:szCs w:val="24"/>
          <w:highlight w:val="none"/>
        </w:rPr>
        <w:t>（一）成交供应商确定后，采购代理机构将在重庆工商大学招投标信息网（http://zbcg.ctbu.edu.cn）上发布成交结果公告。</w:t>
      </w:r>
    </w:p>
    <w:p>
      <w:pPr>
        <w:pStyle w:val="4"/>
        <w:spacing w:before="0" w:after="0" w:line="360" w:lineRule="auto"/>
        <w:rPr>
          <w:color w:val="auto"/>
          <w:sz w:val="24"/>
          <w:szCs w:val="24"/>
          <w:highlight w:val="none"/>
        </w:rPr>
      </w:pPr>
      <w:bookmarkStart w:id="128" w:name="_Toc502744950"/>
      <w:bookmarkStart w:id="129" w:name="_Toc15599"/>
      <w:bookmarkStart w:id="130" w:name="_Toc26171"/>
      <w:r>
        <w:rPr>
          <w:color w:val="auto"/>
          <w:sz w:val="24"/>
          <w:szCs w:val="24"/>
          <w:highlight w:val="none"/>
        </w:rPr>
        <w:t>八、关于质疑和投诉</w:t>
      </w:r>
      <w:bookmarkEnd w:id="128"/>
      <w:bookmarkEnd w:id="129"/>
      <w:bookmarkEnd w:id="130"/>
    </w:p>
    <w:p>
      <w:pPr>
        <w:spacing w:line="360" w:lineRule="auto"/>
        <w:ind w:firstLine="480" w:firstLineChars="200"/>
        <w:rPr>
          <w:color w:val="auto"/>
          <w:sz w:val="24"/>
          <w:szCs w:val="24"/>
          <w:highlight w:val="none"/>
        </w:rPr>
      </w:pPr>
      <w:r>
        <w:rPr>
          <w:color w:val="auto"/>
          <w:sz w:val="24"/>
          <w:szCs w:val="24"/>
          <w:highlight w:val="none"/>
        </w:rPr>
        <w:t>（一）质疑</w:t>
      </w:r>
    </w:p>
    <w:p>
      <w:pPr>
        <w:spacing w:line="360" w:lineRule="auto"/>
        <w:ind w:firstLine="480" w:firstLineChars="200"/>
        <w:rPr>
          <w:color w:val="auto"/>
          <w:sz w:val="24"/>
          <w:szCs w:val="24"/>
          <w:highlight w:val="none"/>
        </w:rPr>
      </w:pPr>
      <w:r>
        <w:rPr>
          <w:color w:val="auto"/>
          <w:sz w:val="24"/>
          <w:szCs w:val="24"/>
          <w:highlight w:val="none"/>
        </w:rPr>
        <w:t>供应商认为采购文件、采购过程和成交结果使自己的权益收到伤害的，可向采购人或采购代理机构以书面形式提出质疑。</w:t>
      </w:r>
    </w:p>
    <w:p>
      <w:pPr>
        <w:spacing w:line="360" w:lineRule="auto"/>
        <w:ind w:firstLine="480" w:firstLineChars="200"/>
        <w:rPr>
          <w:color w:val="auto"/>
          <w:sz w:val="24"/>
          <w:szCs w:val="24"/>
          <w:highlight w:val="none"/>
        </w:rPr>
      </w:pPr>
      <w:r>
        <w:rPr>
          <w:color w:val="auto"/>
          <w:sz w:val="24"/>
          <w:szCs w:val="24"/>
          <w:highlight w:val="none"/>
        </w:rPr>
        <w:t xml:space="preserve">提出质疑的应当是参与所质疑项目采购活动的供应商。 </w:t>
      </w:r>
    </w:p>
    <w:p>
      <w:pPr>
        <w:spacing w:line="360" w:lineRule="auto"/>
        <w:ind w:firstLine="480" w:firstLineChars="200"/>
        <w:rPr>
          <w:color w:val="auto"/>
          <w:sz w:val="24"/>
          <w:szCs w:val="24"/>
          <w:highlight w:val="none"/>
        </w:rPr>
      </w:pPr>
      <w:r>
        <w:rPr>
          <w:color w:val="auto"/>
          <w:sz w:val="24"/>
          <w:highlight w:val="none"/>
        </w:rPr>
        <w:t>1.质疑时限、内容</w:t>
      </w:r>
    </w:p>
    <w:p>
      <w:pPr>
        <w:spacing w:line="360" w:lineRule="auto"/>
        <w:ind w:firstLine="480" w:firstLineChars="200"/>
        <w:rPr>
          <w:color w:val="auto"/>
          <w:sz w:val="24"/>
          <w:szCs w:val="24"/>
          <w:highlight w:val="none"/>
        </w:rPr>
      </w:pPr>
      <w:r>
        <w:rPr>
          <w:color w:val="auto"/>
          <w:sz w:val="24"/>
          <w:szCs w:val="24"/>
          <w:highlight w:val="none"/>
        </w:rPr>
        <w:t>1.1供应商认为采购文件、采购过程、成交结果使自己的权益受到损害的，可以在知道或者应知其权益受到损害之日起7个工作日内，以书面形式向采购人、采购代理机构提出质疑。</w:t>
      </w:r>
    </w:p>
    <w:p>
      <w:pPr>
        <w:spacing w:line="360" w:lineRule="auto"/>
        <w:ind w:firstLine="480" w:firstLineChars="200"/>
        <w:rPr>
          <w:color w:val="auto"/>
          <w:sz w:val="24"/>
          <w:szCs w:val="24"/>
          <w:highlight w:val="none"/>
        </w:rPr>
      </w:pPr>
      <w:r>
        <w:rPr>
          <w:color w:val="auto"/>
          <w:sz w:val="24"/>
          <w:szCs w:val="24"/>
          <w:highlight w:val="none"/>
        </w:rPr>
        <w:t>1.2供应商提出质疑应当提交质疑函和必要的证明材料，质疑函应当包括下列内容：</w:t>
      </w:r>
    </w:p>
    <w:p>
      <w:pPr>
        <w:spacing w:line="360" w:lineRule="auto"/>
        <w:ind w:firstLine="480" w:firstLineChars="200"/>
        <w:rPr>
          <w:color w:val="auto"/>
          <w:sz w:val="24"/>
          <w:szCs w:val="24"/>
          <w:highlight w:val="none"/>
        </w:rPr>
      </w:pPr>
      <w:r>
        <w:rPr>
          <w:color w:val="auto"/>
          <w:sz w:val="24"/>
          <w:szCs w:val="24"/>
          <w:highlight w:val="none"/>
        </w:rPr>
        <w:t>1.2.1供应商的姓名或者名称、地址、邮编、联系人及联系电话；</w:t>
      </w:r>
    </w:p>
    <w:p>
      <w:pPr>
        <w:spacing w:line="360" w:lineRule="auto"/>
        <w:ind w:firstLine="480" w:firstLineChars="200"/>
        <w:rPr>
          <w:color w:val="auto"/>
          <w:sz w:val="24"/>
          <w:szCs w:val="24"/>
          <w:highlight w:val="none"/>
        </w:rPr>
      </w:pPr>
      <w:r>
        <w:rPr>
          <w:color w:val="auto"/>
          <w:sz w:val="24"/>
          <w:szCs w:val="24"/>
          <w:highlight w:val="none"/>
        </w:rPr>
        <w:t>1.2.2质疑项目的名称、项目号以及谈判项目编号；</w:t>
      </w:r>
    </w:p>
    <w:p>
      <w:pPr>
        <w:spacing w:line="360" w:lineRule="auto"/>
        <w:ind w:firstLine="480" w:firstLineChars="200"/>
        <w:rPr>
          <w:color w:val="auto"/>
          <w:sz w:val="24"/>
          <w:szCs w:val="24"/>
          <w:highlight w:val="none"/>
        </w:rPr>
      </w:pPr>
      <w:r>
        <w:rPr>
          <w:color w:val="auto"/>
          <w:sz w:val="24"/>
          <w:szCs w:val="24"/>
          <w:highlight w:val="none"/>
        </w:rPr>
        <w:t>1.2.3具体、明确的质疑事项和与质疑事项相关的请求；</w:t>
      </w:r>
    </w:p>
    <w:p>
      <w:pPr>
        <w:spacing w:line="360" w:lineRule="auto"/>
        <w:ind w:firstLine="480" w:firstLineChars="200"/>
        <w:rPr>
          <w:color w:val="auto"/>
          <w:sz w:val="24"/>
          <w:szCs w:val="24"/>
          <w:highlight w:val="none"/>
        </w:rPr>
      </w:pPr>
      <w:r>
        <w:rPr>
          <w:color w:val="auto"/>
          <w:sz w:val="24"/>
          <w:szCs w:val="24"/>
          <w:highlight w:val="none"/>
        </w:rPr>
        <w:t>1.2.4事实依据；</w:t>
      </w:r>
    </w:p>
    <w:p>
      <w:pPr>
        <w:spacing w:line="360" w:lineRule="auto"/>
        <w:ind w:firstLine="480" w:firstLineChars="200"/>
        <w:rPr>
          <w:color w:val="auto"/>
          <w:sz w:val="24"/>
          <w:szCs w:val="24"/>
          <w:highlight w:val="none"/>
        </w:rPr>
      </w:pPr>
      <w:r>
        <w:rPr>
          <w:color w:val="auto"/>
          <w:sz w:val="24"/>
          <w:szCs w:val="24"/>
          <w:highlight w:val="none"/>
        </w:rPr>
        <w:t>1.2.5必要的法律依据；</w:t>
      </w:r>
    </w:p>
    <w:p>
      <w:pPr>
        <w:spacing w:line="360" w:lineRule="auto"/>
        <w:ind w:firstLine="480" w:firstLineChars="200"/>
        <w:rPr>
          <w:color w:val="auto"/>
          <w:sz w:val="24"/>
          <w:szCs w:val="24"/>
          <w:highlight w:val="none"/>
        </w:rPr>
      </w:pPr>
      <w:r>
        <w:rPr>
          <w:color w:val="auto"/>
          <w:sz w:val="24"/>
          <w:szCs w:val="24"/>
          <w:highlight w:val="none"/>
        </w:rPr>
        <w:t>1.2.6提出质疑的日期；</w:t>
      </w:r>
    </w:p>
    <w:p>
      <w:pPr>
        <w:spacing w:line="360" w:lineRule="auto"/>
        <w:ind w:firstLine="480" w:firstLineChars="200"/>
        <w:rPr>
          <w:color w:val="auto"/>
          <w:sz w:val="24"/>
          <w:szCs w:val="24"/>
          <w:highlight w:val="none"/>
        </w:rPr>
      </w:pPr>
      <w:r>
        <w:rPr>
          <w:color w:val="auto"/>
          <w:sz w:val="24"/>
          <w:szCs w:val="24"/>
          <w:highlight w:val="none"/>
        </w:rPr>
        <w:t>1.2.7营业执照（或事业单位法人证书，或个体工商户营业执照或有效的自然人身份证明、组织机构代码证）复印件；</w:t>
      </w:r>
    </w:p>
    <w:p>
      <w:pPr>
        <w:spacing w:line="360" w:lineRule="auto"/>
        <w:ind w:firstLine="480" w:firstLineChars="200"/>
        <w:rPr>
          <w:color w:val="auto"/>
          <w:sz w:val="24"/>
          <w:szCs w:val="24"/>
          <w:highlight w:val="none"/>
        </w:rPr>
      </w:pPr>
      <w:r>
        <w:rPr>
          <w:color w:val="auto"/>
          <w:sz w:val="24"/>
          <w:szCs w:val="24"/>
          <w:highlight w:val="none"/>
        </w:rPr>
        <w:t>1.2.8法定代表人授权委托书原件、法定代表人身份证复印件和其授权代表的身份证复印件（供应商为自然人的提供自然人身份证复印件）；</w:t>
      </w:r>
    </w:p>
    <w:p>
      <w:pPr>
        <w:spacing w:line="360" w:lineRule="auto"/>
        <w:ind w:firstLine="480" w:firstLineChars="200"/>
        <w:rPr>
          <w:color w:val="auto"/>
          <w:sz w:val="24"/>
          <w:szCs w:val="24"/>
          <w:highlight w:val="none"/>
        </w:rPr>
      </w:pPr>
      <w:r>
        <w:rPr>
          <w:color w:val="auto"/>
          <w:sz w:val="24"/>
          <w:szCs w:val="24"/>
          <w:highlight w:val="none"/>
        </w:rPr>
        <w:t>1.3供应商为自然人的，质疑函应当由本人签字；供应商为法人或者其他组织的，质疑函应当由法定代表人、主要负责人，或者其授权代表签字或者盖章，并加盖公章。</w:t>
      </w:r>
    </w:p>
    <w:p>
      <w:pPr>
        <w:spacing w:line="360" w:lineRule="auto"/>
        <w:ind w:firstLine="480" w:firstLineChars="200"/>
        <w:rPr>
          <w:color w:val="auto"/>
          <w:sz w:val="24"/>
          <w:szCs w:val="24"/>
          <w:highlight w:val="none"/>
        </w:rPr>
      </w:pPr>
      <w:r>
        <w:rPr>
          <w:color w:val="auto"/>
          <w:sz w:val="24"/>
          <w:szCs w:val="24"/>
          <w:highlight w:val="none"/>
        </w:rPr>
        <w:t>2.质疑答复</w:t>
      </w:r>
    </w:p>
    <w:p>
      <w:pPr>
        <w:spacing w:line="360" w:lineRule="auto"/>
        <w:ind w:firstLine="480" w:firstLineChars="200"/>
        <w:rPr>
          <w:color w:val="auto"/>
          <w:sz w:val="24"/>
          <w:szCs w:val="24"/>
          <w:highlight w:val="none"/>
        </w:rPr>
      </w:pPr>
      <w:r>
        <w:rPr>
          <w:color w:val="auto"/>
          <w:sz w:val="24"/>
          <w:szCs w:val="24"/>
          <w:highlight w:val="none"/>
        </w:rPr>
        <w:t>采购人、采购代理机构应当在收到供应商的书面质疑后七个工作日内作出答复，并以书面形式通知质疑供应商和其他有关供应商。</w:t>
      </w:r>
    </w:p>
    <w:p>
      <w:pPr>
        <w:spacing w:line="360" w:lineRule="auto"/>
        <w:ind w:firstLine="480" w:firstLineChars="200"/>
        <w:rPr>
          <w:color w:val="auto"/>
          <w:sz w:val="24"/>
          <w:szCs w:val="24"/>
          <w:highlight w:val="none"/>
        </w:rPr>
      </w:pPr>
      <w:r>
        <w:rPr>
          <w:color w:val="auto"/>
          <w:sz w:val="24"/>
          <w:szCs w:val="24"/>
          <w:highlight w:val="none"/>
        </w:rPr>
        <w:t>3.其他</w:t>
      </w:r>
    </w:p>
    <w:p>
      <w:pPr>
        <w:spacing w:line="360" w:lineRule="auto"/>
        <w:ind w:firstLine="480" w:firstLineChars="200"/>
        <w:rPr>
          <w:color w:val="auto"/>
          <w:sz w:val="24"/>
          <w:szCs w:val="24"/>
          <w:highlight w:val="none"/>
        </w:rPr>
      </w:pPr>
      <w:r>
        <w:rPr>
          <w:color w:val="auto"/>
          <w:sz w:val="24"/>
          <w:szCs w:val="24"/>
          <w:highlight w:val="none"/>
        </w:rPr>
        <w:t>3.1供应商应按照《政府采购质疑和投诉办法》（财政部令第94号）及相关法律法规要求，在法定质疑期内一次性提出针对同一采购程序环节的质疑。</w:t>
      </w:r>
    </w:p>
    <w:p>
      <w:pPr>
        <w:spacing w:line="360" w:lineRule="auto"/>
        <w:ind w:firstLine="480" w:firstLineChars="200"/>
        <w:rPr>
          <w:color w:val="auto"/>
          <w:sz w:val="24"/>
          <w:szCs w:val="24"/>
          <w:highlight w:val="none"/>
        </w:rPr>
      </w:pPr>
      <w:r>
        <w:rPr>
          <w:color w:val="auto"/>
          <w:sz w:val="24"/>
          <w:szCs w:val="24"/>
          <w:highlight w:val="none"/>
        </w:rPr>
        <w:t>3.2质疑函范本可在财政部门户网站和中国政府采购网下载。</w:t>
      </w:r>
    </w:p>
    <w:p>
      <w:pPr>
        <w:spacing w:line="360" w:lineRule="auto"/>
        <w:ind w:firstLine="480" w:firstLineChars="200"/>
        <w:rPr>
          <w:color w:val="auto"/>
          <w:sz w:val="24"/>
          <w:szCs w:val="24"/>
          <w:highlight w:val="none"/>
        </w:rPr>
      </w:pPr>
      <w:r>
        <w:rPr>
          <w:color w:val="auto"/>
          <w:sz w:val="24"/>
          <w:szCs w:val="24"/>
          <w:highlight w:val="none"/>
        </w:rPr>
        <w:t>（二）投诉</w:t>
      </w:r>
    </w:p>
    <w:p>
      <w:pPr>
        <w:spacing w:line="360" w:lineRule="auto"/>
        <w:ind w:firstLine="480" w:firstLineChars="200"/>
        <w:rPr>
          <w:color w:val="auto"/>
          <w:sz w:val="24"/>
          <w:szCs w:val="24"/>
          <w:highlight w:val="none"/>
        </w:rPr>
      </w:pPr>
      <w:r>
        <w:rPr>
          <w:color w:val="auto"/>
          <w:sz w:val="24"/>
          <w:szCs w:val="24"/>
          <w:highlight w:val="none"/>
        </w:rPr>
        <w:t>1.供应商对采购人、采购代理机构的答复不满意，或者采购人、采购代理机构未在规定时间内作出答复的，可以在答复期满后15个工作日内按照相关法律法规向</w:t>
      </w:r>
      <w:r>
        <w:rPr>
          <w:color w:val="auto"/>
          <w:sz w:val="24"/>
          <w:highlight w:val="none"/>
        </w:rPr>
        <w:t>采购人党政办公室提起投诉。</w:t>
      </w:r>
    </w:p>
    <w:p>
      <w:pPr>
        <w:spacing w:line="360" w:lineRule="auto"/>
        <w:ind w:firstLine="480" w:firstLineChars="200"/>
        <w:rPr>
          <w:color w:val="auto"/>
          <w:sz w:val="24"/>
          <w:szCs w:val="24"/>
          <w:highlight w:val="none"/>
        </w:rPr>
      </w:pPr>
      <w:r>
        <w:rPr>
          <w:color w:val="auto"/>
          <w:sz w:val="24"/>
          <w:szCs w:val="24"/>
          <w:highlight w:val="none"/>
        </w:rPr>
        <w:t>2.供应商应按照《政府采购质疑和投诉办法》（财政部令第94号）及相关法律法规要求递交投诉书和必要的证明材料。投诉书范本可在财政部门户网站和中国政府采购网下载。</w:t>
      </w:r>
    </w:p>
    <w:p>
      <w:pPr>
        <w:spacing w:line="360" w:lineRule="auto"/>
        <w:ind w:firstLine="480" w:firstLineChars="200"/>
        <w:rPr>
          <w:color w:val="auto"/>
          <w:sz w:val="24"/>
          <w:szCs w:val="24"/>
          <w:highlight w:val="none"/>
        </w:rPr>
      </w:pPr>
      <w:r>
        <w:rPr>
          <w:color w:val="auto"/>
          <w:sz w:val="24"/>
          <w:szCs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spacing w:line="360" w:lineRule="auto"/>
        <w:ind w:firstLine="480" w:firstLineChars="200"/>
        <w:rPr>
          <w:color w:val="auto"/>
          <w:sz w:val="24"/>
          <w:szCs w:val="24"/>
          <w:highlight w:val="none"/>
        </w:rPr>
      </w:pPr>
      <w:r>
        <w:rPr>
          <w:color w:val="auto"/>
          <w:sz w:val="24"/>
          <w:szCs w:val="24"/>
          <w:highlight w:val="none"/>
        </w:rPr>
        <w:t>4.</w:t>
      </w:r>
      <w:r>
        <w:rPr>
          <w:color w:val="auto"/>
          <w:sz w:val="24"/>
          <w:highlight w:val="none"/>
        </w:rPr>
        <w:t>在确定受理投诉后，采购人党政办公室自受理投诉之日起30个工作日内（需要检验、检测、鉴定、专家评审以及需要投诉人补正材料的，所需时间不计算在投诉处理期限内）对投诉事项做出处理决定。</w:t>
      </w:r>
    </w:p>
    <w:p>
      <w:pPr>
        <w:pStyle w:val="4"/>
        <w:spacing w:before="0" w:after="0" w:line="360" w:lineRule="auto"/>
        <w:rPr>
          <w:color w:val="auto"/>
          <w:sz w:val="24"/>
          <w:szCs w:val="24"/>
          <w:highlight w:val="none"/>
        </w:rPr>
      </w:pPr>
      <w:bookmarkStart w:id="131" w:name="_Toc502744951"/>
      <w:bookmarkStart w:id="132" w:name="_Toc23066"/>
      <w:bookmarkStart w:id="133" w:name="_Toc12115"/>
      <w:bookmarkStart w:id="134" w:name="_Toc102227322"/>
      <w:bookmarkStart w:id="135" w:name="_Toc342913396"/>
      <w:r>
        <w:rPr>
          <w:color w:val="auto"/>
          <w:sz w:val="24"/>
          <w:szCs w:val="24"/>
          <w:highlight w:val="none"/>
        </w:rPr>
        <w:t>九、签订合同</w:t>
      </w:r>
      <w:bookmarkEnd w:id="131"/>
      <w:bookmarkEnd w:id="132"/>
      <w:bookmarkEnd w:id="133"/>
    </w:p>
    <w:p>
      <w:pPr>
        <w:spacing w:line="360" w:lineRule="auto"/>
        <w:ind w:firstLine="360" w:firstLineChars="150"/>
        <w:rPr>
          <w:color w:val="auto"/>
          <w:sz w:val="24"/>
          <w:szCs w:val="24"/>
          <w:highlight w:val="none"/>
        </w:rPr>
      </w:pPr>
      <w:r>
        <w:rPr>
          <w:color w:val="auto"/>
          <w:sz w:val="24"/>
          <w:szCs w:val="24"/>
          <w:highlight w:val="none"/>
        </w:rPr>
        <w:t>（一）采购人应当自采购结果公告发出之日起三十日内，按照单一来源谈判文件和成交供应商响应文件的约定，与成交供应商签订书面合同。所签订的合同不得对单一来源谈判文件和供应商的响应文件作实质性修改。</w:t>
      </w:r>
    </w:p>
    <w:p>
      <w:pPr>
        <w:spacing w:line="360" w:lineRule="auto"/>
        <w:ind w:firstLine="360" w:firstLineChars="150"/>
        <w:rPr>
          <w:color w:val="auto"/>
          <w:sz w:val="24"/>
          <w:szCs w:val="24"/>
          <w:highlight w:val="none"/>
        </w:rPr>
      </w:pPr>
      <w:r>
        <w:rPr>
          <w:color w:val="auto"/>
          <w:sz w:val="24"/>
          <w:szCs w:val="24"/>
          <w:highlight w:val="none"/>
        </w:rPr>
        <w:t>（二）采购人应当自政府采购合同签订之日起2个工作日内，将政府采购合同在重庆市政府采购网上公告，但政府采购合同中涉及国家秘密、商业秘密的内容除外。</w:t>
      </w:r>
    </w:p>
    <w:p>
      <w:pPr>
        <w:spacing w:line="360" w:lineRule="auto"/>
        <w:ind w:firstLine="360" w:firstLineChars="150"/>
        <w:rPr>
          <w:color w:val="auto"/>
          <w:sz w:val="24"/>
          <w:szCs w:val="24"/>
          <w:highlight w:val="none"/>
        </w:rPr>
      </w:pPr>
      <w:r>
        <w:rPr>
          <w:color w:val="auto"/>
          <w:sz w:val="24"/>
          <w:szCs w:val="24"/>
          <w:highlight w:val="none"/>
        </w:rPr>
        <w:t>（三）单一来源谈判文件、供应商的响应文件及澄清文件等，均为签订政府采购合同的依据。</w:t>
      </w:r>
    </w:p>
    <w:p>
      <w:pPr>
        <w:spacing w:line="360" w:lineRule="auto"/>
        <w:ind w:firstLine="360" w:firstLineChars="150"/>
        <w:rPr>
          <w:color w:val="auto"/>
          <w:sz w:val="24"/>
          <w:szCs w:val="24"/>
          <w:highlight w:val="none"/>
        </w:rPr>
      </w:pPr>
      <w:r>
        <w:rPr>
          <w:color w:val="auto"/>
          <w:sz w:val="24"/>
          <w:szCs w:val="24"/>
          <w:highlight w:val="none"/>
        </w:rPr>
        <w:t>（四）合同生效条款由供需双方约定，法律、行政法规规定应当办理批准、登记等手续后生效的合同，依照其规定。</w:t>
      </w:r>
    </w:p>
    <w:p>
      <w:pPr>
        <w:spacing w:line="360" w:lineRule="auto"/>
        <w:ind w:firstLine="360" w:firstLineChars="150"/>
        <w:rPr>
          <w:color w:val="auto"/>
          <w:sz w:val="24"/>
          <w:szCs w:val="24"/>
          <w:highlight w:val="none"/>
        </w:rPr>
      </w:pPr>
      <w:r>
        <w:rPr>
          <w:color w:val="auto"/>
          <w:sz w:val="24"/>
          <w:szCs w:val="24"/>
          <w:highlight w:val="none"/>
        </w:rPr>
        <w:t>（五）合同原则上应按照《重庆工商大学采购合同》签订，相关单位要求适用合同通用格式版本的，应按其要求另行签订其他合同。</w:t>
      </w:r>
    </w:p>
    <w:p>
      <w:pPr>
        <w:spacing w:line="360" w:lineRule="auto"/>
        <w:ind w:firstLine="360" w:firstLineChars="150"/>
        <w:rPr>
          <w:color w:val="auto"/>
          <w:highlight w:val="none"/>
        </w:rPr>
      </w:pPr>
      <w:r>
        <w:rPr>
          <w:color w:val="auto"/>
          <w:sz w:val="24"/>
          <w:szCs w:val="24"/>
          <w:highlight w:val="none"/>
        </w:rPr>
        <w:t>（六）采购人要求成交供应商提供履约保证金的，应当在单一来源谈判文件中予以约定。成交供应商履约完毕后，采购人根据采购文件规定无息退还其履约保证金。</w:t>
      </w:r>
    </w:p>
    <w:p>
      <w:pPr>
        <w:pStyle w:val="4"/>
        <w:spacing w:before="0" w:after="0" w:line="360" w:lineRule="auto"/>
        <w:rPr>
          <w:color w:val="auto"/>
          <w:sz w:val="24"/>
          <w:szCs w:val="24"/>
          <w:highlight w:val="none"/>
        </w:rPr>
      </w:pPr>
      <w:bookmarkStart w:id="136" w:name="_Toc502744952"/>
      <w:bookmarkStart w:id="137" w:name="_Toc26720"/>
      <w:bookmarkStart w:id="138" w:name="_Toc20773"/>
      <w:r>
        <w:rPr>
          <w:color w:val="auto"/>
          <w:sz w:val="24"/>
          <w:szCs w:val="24"/>
          <w:highlight w:val="none"/>
        </w:rPr>
        <w:t>十、</w:t>
      </w:r>
      <w:bookmarkEnd w:id="134"/>
      <w:bookmarkEnd w:id="135"/>
      <w:bookmarkEnd w:id="136"/>
      <w:bookmarkEnd w:id="137"/>
      <w:bookmarkStart w:id="139" w:name="_Toc29930"/>
      <w:r>
        <w:rPr>
          <w:color w:val="auto"/>
          <w:sz w:val="24"/>
          <w:szCs w:val="24"/>
          <w:highlight w:val="none"/>
        </w:rPr>
        <w:t>其他</w:t>
      </w:r>
      <w:bookmarkEnd w:id="138"/>
      <w:bookmarkEnd w:id="139"/>
    </w:p>
    <w:p>
      <w:pPr>
        <w:spacing w:line="360" w:lineRule="auto"/>
        <w:ind w:firstLine="360" w:firstLineChars="150"/>
        <w:rPr>
          <w:color w:val="auto"/>
          <w:sz w:val="24"/>
          <w:szCs w:val="24"/>
          <w:highlight w:val="none"/>
        </w:rPr>
      </w:pPr>
      <w:r>
        <w:rPr>
          <w:color w:val="auto"/>
          <w:sz w:val="24"/>
          <w:szCs w:val="24"/>
          <w:highlight w:val="none"/>
        </w:rPr>
        <w:t>本谈判需知未尽事宜及解释权属于重庆工商大学。</w:t>
      </w:r>
    </w:p>
    <w:p>
      <w:pPr>
        <w:spacing w:line="360" w:lineRule="auto"/>
        <w:ind w:firstLine="480" w:firstLineChars="200"/>
        <w:rPr>
          <w:color w:val="auto"/>
          <w:sz w:val="24"/>
          <w:szCs w:val="24"/>
          <w:highlight w:val="none"/>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p>
    <w:p>
      <w:pPr>
        <w:pStyle w:val="3"/>
        <w:spacing w:before="0" w:after="0" w:line="360" w:lineRule="auto"/>
        <w:jc w:val="center"/>
        <w:rPr>
          <w:rFonts w:ascii="Times New Roman" w:hAnsi="Times New Roman"/>
          <w:color w:val="auto"/>
          <w:sz w:val="24"/>
          <w:szCs w:val="24"/>
          <w:highlight w:val="none"/>
        </w:rPr>
      </w:pPr>
      <w:bookmarkStart w:id="140" w:name="_Toc7697"/>
      <w:bookmarkStart w:id="141" w:name="_Toc2603"/>
      <w:r>
        <w:rPr>
          <w:rFonts w:ascii="Times New Roman" w:hAnsi="Times New Roman" w:eastAsia="宋体"/>
          <w:color w:val="auto"/>
          <w:sz w:val="36"/>
          <w:szCs w:val="30"/>
          <w:highlight w:val="none"/>
        </w:rPr>
        <w:t xml:space="preserve">第五篇  </w:t>
      </w:r>
      <w:bookmarkEnd w:id="40"/>
      <w:bookmarkEnd w:id="41"/>
      <w:bookmarkStart w:id="142" w:name="_Toc303945820"/>
      <w:bookmarkStart w:id="143" w:name="_Toc148265480"/>
      <w:r>
        <w:rPr>
          <w:rFonts w:ascii="Times New Roman" w:hAnsi="Times New Roman" w:eastAsia="宋体"/>
          <w:color w:val="auto"/>
          <w:sz w:val="36"/>
          <w:szCs w:val="30"/>
          <w:highlight w:val="none"/>
        </w:rPr>
        <w:t>合同格式</w:t>
      </w:r>
      <w:bookmarkEnd w:id="140"/>
      <w:bookmarkEnd w:id="141"/>
      <w:bookmarkEnd w:id="142"/>
      <w:bookmarkEnd w:id="143"/>
    </w:p>
    <w:p>
      <w:pPr>
        <w:spacing w:line="360" w:lineRule="auto"/>
        <w:jc w:val="center"/>
        <w:rPr>
          <w:rFonts w:ascii="宋体" w:hAnsi="宋体" w:cs="宋体"/>
          <w:b/>
          <w:color w:val="auto"/>
          <w:sz w:val="44"/>
          <w:highlight w:val="none"/>
        </w:rPr>
      </w:pPr>
      <w:bookmarkStart w:id="144" w:name="_Hlk76124920"/>
      <w:r>
        <w:rPr>
          <w:rFonts w:hint="eastAsia" w:ascii="宋体" w:hAnsi="宋体" w:cs="宋体"/>
          <w:b/>
          <w:color w:val="auto"/>
          <w:sz w:val="44"/>
          <w:highlight w:val="none"/>
        </w:rPr>
        <w:t>重庆工商大学采购合同</w:t>
      </w:r>
    </w:p>
    <w:p>
      <w:pPr>
        <w:spacing w:line="360" w:lineRule="auto"/>
        <w:jc w:val="center"/>
        <w:rPr>
          <w:rFonts w:ascii="宋体" w:hAnsi="宋体" w:cs="宋体"/>
          <w:color w:val="auto"/>
          <w:highlight w:val="none"/>
        </w:rPr>
      </w:pPr>
      <w:r>
        <w:rPr>
          <w:rFonts w:hint="eastAsia" w:ascii="宋体" w:hAnsi="宋体" w:cs="宋体"/>
          <w:color w:val="auto"/>
          <w:highlight w:val="none"/>
        </w:rPr>
        <w:t>（项目名称：重庆工商大学Nanodcal 3.0量子电子运输计算平台项目）</w:t>
      </w:r>
    </w:p>
    <w:p>
      <w:pPr>
        <w:spacing w:line="360" w:lineRule="auto"/>
        <w:jc w:val="center"/>
        <w:rPr>
          <w:b/>
          <w:color w:val="auto"/>
          <w:szCs w:val="28"/>
          <w:highlight w:val="none"/>
        </w:rPr>
      </w:pPr>
      <w:r>
        <w:rPr>
          <w:rFonts w:hint="eastAsia" w:ascii="宋体" w:hAnsi="宋体" w:cs="宋体"/>
          <w:color w:val="auto"/>
          <w:highlight w:val="none"/>
        </w:rPr>
        <w:t>（项目编号：CTBU-JZ2023107）</w:t>
      </w:r>
    </w:p>
    <w:bookmarkEnd w:id="144"/>
    <w:p>
      <w:pPr>
        <w:spacing w:line="360" w:lineRule="auto"/>
        <w:rPr>
          <w:color w:val="auto"/>
          <w:sz w:val="24"/>
          <w:highlight w:val="none"/>
        </w:rPr>
      </w:pPr>
      <w:r>
        <w:rPr>
          <w:color w:val="auto"/>
          <w:sz w:val="24"/>
          <w:highlight w:val="none"/>
        </w:rPr>
        <w:t>需方：</w:t>
      </w:r>
      <w:r>
        <w:rPr>
          <w:color w:val="auto"/>
          <w:sz w:val="24"/>
          <w:highlight w:val="none"/>
          <w:u w:val="single"/>
        </w:rPr>
        <w:t>重庆工商大学</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计价单位：</w:t>
      </w:r>
      <w:r>
        <w:rPr>
          <w:color w:val="auto"/>
          <w:sz w:val="24"/>
          <w:highlight w:val="none"/>
          <w:u w:val="single"/>
        </w:rPr>
        <w:t>元</w:t>
      </w:r>
    </w:p>
    <w:p>
      <w:pPr>
        <w:widowControl/>
        <w:spacing w:line="400" w:lineRule="exact"/>
        <w:rPr>
          <w:color w:val="auto"/>
          <w:kern w:val="0"/>
          <w:sz w:val="24"/>
          <w:szCs w:val="24"/>
          <w:highlight w:val="none"/>
        </w:rPr>
      </w:pPr>
      <w:r>
        <w:rPr>
          <w:color w:val="auto"/>
          <w:sz w:val="24"/>
          <w:highlight w:val="none"/>
        </w:rPr>
        <w:t>供方：</w:t>
      </w:r>
      <w:r>
        <w:rPr>
          <w:color w:val="auto"/>
          <w:sz w:val="24"/>
          <w:highlight w:val="none"/>
          <w:u w:val="single"/>
        </w:rPr>
        <w:t xml:space="preserve">             </w:t>
      </w:r>
      <w:r>
        <w:rPr>
          <w:color w:val="auto"/>
          <w:sz w:val="24"/>
          <w:highlight w:val="none"/>
        </w:rPr>
        <w:t xml:space="preserve">   </w:t>
      </w:r>
      <w:r>
        <w:rPr>
          <w:color w:val="auto"/>
          <w:kern w:val="0"/>
          <w:sz w:val="24"/>
          <w:szCs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计量单位：</w:t>
      </w:r>
      <w:r>
        <w:rPr>
          <w:rFonts w:hint="eastAsia"/>
          <w:color w:val="auto"/>
          <w:sz w:val="24"/>
          <w:highlight w:val="none"/>
          <w:u w:val="single"/>
        </w:rPr>
        <w:t>套</w:t>
      </w:r>
      <w:r>
        <w:rPr>
          <w:color w:val="auto"/>
          <w:sz w:val="24"/>
          <w:highlight w:val="none"/>
        </w:rPr>
        <w:t xml:space="preserve"> </w:t>
      </w:r>
    </w:p>
    <w:p>
      <w:pPr>
        <w:spacing w:line="360" w:lineRule="auto"/>
        <w:rPr>
          <w:color w:val="auto"/>
          <w:sz w:val="24"/>
          <w:highlight w:val="none"/>
        </w:rPr>
      </w:pPr>
    </w:p>
    <w:p>
      <w:pPr>
        <w:spacing w:line="360" w:lineRule="auto"/>
        <w:rPr>
          <w:color w:val="auto"/>
          <w:sz w:val="24"/>
          <w:highlight w:val="none"/>
        </w:rPr>
      </w:pPr>
      <w:r>
        <w:rPr>
          <w:color w:val="auto"/>
          <w:sz w:val="24"/>
          <w:highlight w:val="none"/>
        </w:rPr>
        <w:t>经双方协商一致，达成以下购销合同：</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024"/>
        <w:gridCol w:w="1434"/>
        <w:gridCol w:w="291"/>
        <w:gridCol w:w="825"/>
        <w:gridCol w:w="945"/>
        <w:gridCol w:w="915"/>
        <w:gridCol w:w="885"/>
        <w:gridCol w:w="964"/>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商品名称</w:t>
            </w:r>
          </w:p>
        </w:tc>
        <w:tc>
          <w:tcPr>
            <w:tcW w:w="2024"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品牌</w:t>
            </w:r>
            <w:r>
              <w:rPr>
                <w:rFonts w:hint="eastAsia" w:ascii="宋体" w:hAnsi="宋体" w:cs="宋体"/>
                <w:color w:val="auto"/>
                <w:sz w:val="24"/>
                <w:szCs w:val="24"/>
                <w:highlight w:val="none"/>
                <w:lang w:val="en-US" w:eastAsia="zh-CN"/>
              </w:rPr>
              <w:t>/原厂制造商</w:t>
            </w:r>
          </w:p>
        </w:tc>
        <w:tc>
          <w:tcPr>
            <w:tcW w:w="1725" w:type="dxa"/>
            <w:gridSpan w:val="2"/>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25"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945"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单价</w:t>
            </w:r>
          </w:p>
        </w:tc>
        <w:tc>
          <w:tcPr>
            <w:tcW w:w="915"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总价</w:t>
            </w:r>
          </w:p>
        </w:tc>
        <w:tc>
          <w:tcPr>
            <w:tcW w:w="885"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964"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4"/>
                <w:szCs w:val="24"/>
                <w:highlight w:val="none"/>
              </w:rPr>
            </w:pPr>
          </w:p>
        </w:tc>
        <w:tc>
          <w:tcPr>
            <w:tcW w:w="2024" w:type="dxa"/>
            <w:vAlign w:val="center"/>
          </w:tcPr>
          <w:p>
            <w:pPr>
              <w:spacing w:line="360" w:lineRule="auto"/>
              <w:jc w:val="center"/>
              <w:rPr>
                <w:rFonts w:ascii="宋体" w:hAnsi="宋体" w:cs="宋体"/>
                <w:color w:val="auto"/>
                <w:sz w:val="24"/>
                <w:szCs w:val="24"/>
                <w:highlight w:val="none"/>
              </w:rPr>
            </w:pPr>
          </w:p>
        </w:tc>
        <w:tc>
          <w:tcPr>
            <w:tcW w:w="1725" w:type="dxa"/>
            <w:gridSpan w:val="2"/>
            <w:vAlign w:val="center"/>
          </w:tcPr>
          <w:p>
            <w:pPr>
              <w:spacing w:line="360" w:lineRule="auto"/>
              <w:jc w:val="center"/>
              <w:rPr>
                <w:rFonts w:ascii="宋体" w:hAnsi="宋体" w:cs="宋体"/>
                <w:color w:val="auto"/>
                <w:sz w:val="24"/>
                <w:szCs w:val="24"/>
                <w:highlight w:val="none"/>
              </w:rPr>
            </w:pPr>
          </w:p>
        </w:tc>
        <w:tc>
          <w:tcPr>
            <w:tcW w:w="825" w:type="dxa"/>
            <w:vAlign w:val="center"/>
          </w:tcPr>
          <w:p>
            <w:pPr>
              <w:spacing w:line="360" w:lineRule="auto"/>
              <w:jc w:val="center"/>
              <w:rPr>
                <w:rFonts w:ascii="宋体" w:hAnsi="宋体" w:cs="宋体"/>
                <w:color w:val="auto"/>
                <w:sz w:val="24"/>
                <w:szCs w:val="24"/>
                <w:highlight w:val="none"/>
              </w:rPr>
            </w:pPr>
          </w:p>
        </w:tc>
        <w:tc>
          <w:tcPr>
            <w:tcW w:w="945" w:type="dxa"/>
            <w:vAlign w:val="center"/>
          </w:tcPr>
          <w:p>
            <w:pPr>
              <w:spacing w:line="360" w:lineRule="auto"/>
              <w:jc w:val="center"/>
              <w:rPr>
                <w:rFonts w:ascii="宋体" w:hAnsi="宋体" w:cs="宋体"/>
                <w:color w:val="auto"/>
                <w:sz w:val="24"/>
                <w:szCs w:val="24"/>
                <w:highlight w:val="none"/>
              </w:rPr>
            </w:pPr>
          </w:p>
        </w:tc>
        <w:tc>
          <w:tcPr>
            <w:tcW w:w="915" w:type="dxa"/>
            <w:vAlign w:val="center"/>
          </w:tcPr>
          <w:p>
            <w:pPr>
              <w:spacing w:line="360" w:lineRule="auto"/>
              <w:jc w:val="center"/>
              <w:rPr>
                <w:rFonts w:ascii="宋体" w:hAnsi="宋体" w:cs="宋体"/>
                <w:color w:val="auto"/>
                <w:sz w:val="24"/>
                <w:szCs w:val="24"/>
                <w:highlight w:val="none"/>
              </w:rPr>
            </w:pPr>
          </w:p>
        </w:tc>
        <w:tc>
          <w:tcPr>
            <w:tcW w:w="885" w:type="dxa"/>
            <w:vAlign w:val="center"/>
          </w:tcPr>
          <w:p>
            <w:pPr>
              <w:spacing w:line="360" w:lineRule="auto"/>
              <w:jc w:val="center"/>
              <w:rPr>
                <w:rFonts w:ascii="宋体" w:hAnsi="宋体" w:cs="宋体"/>
                <w:color w:val="auto"/>
                <w:sz w:val="24"/>
                <w:szCs w:val="24"/>
                <w:highlight w:val="none"/>
              </w:rPr>
            </w:pPr>
          </w:p>
        </w:tc>
        <w:tc>
          <w:tcPr>
            <w:tcW w:w="964" w:type="dxa"/>
            <w:vAlign w:val="center"/>
          </w:tcPr>
          <w:p>
            <w:pPr>
              <w:spacing w:line="36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9"/>
            <w:vAlign w:val="center"/>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9"/>
            <w:vAlign w:val="center"/>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9"/>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一、质量要求和技术标准。供方提供的商品必须是全新的，完全符合国家有关技术标准，供方的质量保证及售后服务承诺如下：</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1、质保期限：</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2、保修范围：</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3、服务措施：</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4、质保期后服务：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9"/>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二、随机备品、附件、工具数量及供应方法：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9"/>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三、交提货方式：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10"/>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四、验收标准、方法：</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如有异议，请于      日内提出。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10"/>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五、付款方式：</w:t>
            </w:r>
          </w:p>
          <w:p>
            <w:pPr>
              <w:pStyle w:val="11"/>
              <w:spacing w:line="360" w:lineRule="auto"/>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10"/>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六、违约责任：</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按《中华人民共和国民法典》、《中华人民共和国政府采购法》执行，或按双方约定。（采购人应按项目实际情况完整填写）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10"/>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七、其他约定事项：</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1.招标文件及其澄清文件、响应文件和承诺是本合同不可分割的部分，共同构成合同文件。</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2.本合同如发生争议由双方协商解决，协商不成向需方所在地仲裁机构提请仲裁。</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3.本合同一式__份， 需方__份，供方__份，具备同等法律效力。</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788" w:type="dxa"/>
            <w:gridSpan w:val="3"/>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需方：重庆工商大学</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地址：重庆市南岸区学府大道19号</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联系电话：023-62769774</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传真：023-62769774</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开户银行：工行重庆南岸学府支行</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账号：3100027609024907533</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统一社会信用代码：125000007428748822</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pPr>
              <w:spacing w:line="360" w:lineRule="auto"/>
              <w:rPr>
                <w:rFonts w:ascii="宋体" w:hAnsi="宋体" w:cs="宋体"/>
                <w:color w:val="auto"/>
                <w:sz w:val="24"/>
                <w:szCs w:val="24"/>
                <w:highlight w:val="none"/>
              </w:rPr>
            </w:pP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w:t>
            </w:r>
          </w:p>
        </w:tc>
        <w:tc>
          <w:tcPr>
            <w:tcW w:w="4840" w:type="dxa"/>
            <w:gridSpan w:val="7"/>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供方：</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联系电话：</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传真：</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开户银行：</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账号：</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pPr>
              <w:spacing w:line="360" w:lineRule="auto"/>
              <w:rPr>
                <w:rFonts w:ascii="宋体" w:hAnsi="宋体" w:cs="宋体"/>
                <w:color w:val="auto"/>
                <w:sz w:val="24"/>
                <w:szCs w:val="24"/>
                <w:highlight w:val="none"/>
              </w:rPr>
            </w:pP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w:t>
            </w:r>
          </w:p>
          <w:p>
            <w:pPr>
              <w:widowControl/>
              <w:spacing w:line="360" w:lineRule="auto"/>
              <w:jc w:val="left"/>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10"/>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备注：</w:t>
            </w:r>
          </w:p>
          <w:p>
            <w:pPr>
              <w:spacing w:line="360" w:lineRule="auto"/>
              <w:rPr>
                <w:rFonts w:ascii="宋体" w:hAnsi="宋体" w:cs="宋体"/>
                <w:color w:val="auto"/>
                <w:sz w:val="24"/>
                <w:szCs w:val="24"/>
                <w:highlight w:val="none"/>
              </w:rPr>
            </w:pPr>
          </w:p>
          <w:p>
            <w:pPr>
              <w:spacing w:line="360" w:lineRule="auto"/>
              <w:rPr>
                <w:rFonts w:ascii="宋体" w:hAnsi="宋体" w:cs="宋体"/>
                <w:color w:val="auto"/>
                <w:sz w:val="24"/>
                <w:szCs w:val="24"/>
                <w:highlight w:val="none"/>
              </w:rPr>
            </w:pPr>
          </w:p>
        </w:tc>
      </w:tr>
    </w:tbl>
    <w:p>
      <w:pPr>
        <w:spacing w:line="360" w:lineRule="auto"/>
        <w:rPr>
          <w:color w:val="auto"/>
          <w:sz w:val="24"/>
          <w:szCs w:val="24"/>
          <w:highlight w:val="none"/>
        </w:rPr>
      </w:pPr>
      <w:r>
        <w:rPr>
          <w:color w:val="auto"/>
          <w:sz w:val="24"/>
          <w:szCs w:val="24"/>
          <w:highlight w:val="none"/>
        </w:rPr>
        <w:t>签约时间：</w:t>
      </w:r>
      <w:r>
        <w:rPr>
          <w:rFonts w:hint="eastAsia"/>
          <w:color w:val="auto"/>
          <w:sz w:val="24"/>
          <w:szCs w:val="24"/>
          <w:highlight w:val="none"/>
        </w:rPr>
        <w:t>2023</w:t>
      </w:r>
      <w:r>
        <w:rPr>
          <w:color w:val="auto"/>
          <w:sz w:val="24"/>
          <w:szCs w:val="24"/>
          <w:highlight w:val="none"/>
        </w:rPr>
        <w:t>年   月   日                签约地点：重庆工商大学</w:t>
      </w:r>
    </w:p>
    <w:p>
      <w:pPr>
        <w:snapToGrid w:val="0"/>
        <w:spacing w:line="360" w:lineRule="auto"/>
        <w:ind w:firstLine="480" w:firstLineChars="200"/>
        <w:jc w:val="left"/>
        <w:rPr>
          <w:color w:val="auto"/>
          <w:sz w:val="24"/>
          <w:szCs w:val="24"/>
          <w:highlight w:val="none"/>
        </w:rPr>
      </w:pPr>
    </w:p>
    <w:p>
      <w:pPr>
        <w:widowControl/>
        <w:jc w:val="left"/>
        <w:rPr>
          <w:color w:val="auto"/>
          <w:sz w:val="21"/>
          <w:szCs w:val="22"/>
          <w:highlight w:val="none"/>
        </w:rPr>
      </w:pPr>
      <w:r>
        <w:rPr>
          <w:color w:val="auto"/>
          <w:sz w:val="21"/>
          <w:szCs w:val="22"/>
          <w:highlight w:val="none"/>
        </w:rPr>
        <w:br w:type="page"/>
      </w:r>
    </w:p>
    <w:p>
      <w:pPr>
        <w:pStyle w:val="3"/>
        <w:spacing w:before="0" w:after="0" w:line="360" w:lineRule="auto"/>
        <w:jc w:val="center"/>
        <w:rPr>
          <w:rFonts w:ascii="Times New Roman" w:hAnsi="Times New Roman" w:eastAsia="宋体"/>
          <w:color w:val="auto"/>
          <w:sz w:val="36"/>
          <w:szCs w:val="30"/>
          <w:highlight w:val="none"/>
        </w:rPr>
      </w:pPr>
      <w:bookmarkStart w:id="145" w:name="_Hlt41879464"/>
      <w:bookmarkEnd w:id="145"/>
      <w:bookmarkStart w:id="146" w:name="_Toc13303"/>
      <w:bookmarkStart w:id="147" w:name="_Toc2068"/>
      <w:bookmarkStart w:id="148" w:name="_Toc75849080"/>
      <w:bookmarkStart w:id="149" w:name="_Toc12789072"/>
      <w:r>
        <w:rPr>
          <w:rFonts w:ascii="Times New Roman" w:hAnsi="Times New Roman" w:eastAsia="宋体"/>
          <w:color w:val="auto"/>
          <w:sz w:val="36"/>
          <w:szCs w:val="30"/>
          <w:highlight w:val="none"/>
        </w:rPr>
        <w:t>第六篇  响应文件格式要求</w:t>
      </w:r>
      <w:bookmarkEnd w:id="146"/>
      <w:bookmarkEnd w:id="147"/>
      <w:bookmarkEnd w:id="148"/>
      <w:bookmarkEnd w:id="149"/>
    </w:p>
    <w:p>
      <w:pPr>
        <w:tabs>
          <w:tab w:val="left" w:pos="6300"/>
        </w:tabs>
        <w:snapToGrid w:val="0"/>
        <w:jc w:val="center"/>
        <w:rPr>
          <w:b/>
          <w:color w:val="auto"/>
          <w:sz w:val="30"/>
          <w:szCs w:val="30"/>
          <w:highlight w:val="none"/>
        </w:rPr>
      </w:pPr>
      <w:r>
        <w:rPr>
          <w:b/>
          <w:color w:val="auto"/>
          <w:sz w:val="30"/>
          <w:szCs w:val="30"/>
          <w:highlight w:val="none"/>
        </w:rPr>
        <w:t>一、报价函及承诺书</w:t>
      </w:r>
    </w:p>
    <w:p>
      <w:pPr>
        <w:tabs>
          <w:tab w:val="left" w:pos="6300"/>
        </w:tabs>
        <w:snapToGrid w:val="0"/>
        <w:spacing w:line="276" w:lineRule="auto"/>
        <w:rPr>
          <w:color w:val="auto"/>
          <w:sz w:val="24"/>
          <w:szCs w:val="24"/>
          <w:highlight w:val="none"/>
        </w:rPr>
      </w:pPr>
      <w:r>
        <w:rPr>
          <w:color w:val="auto"/>
          <w:sz w:val="24"/>
          <w:szCs w:val="24"/>
          <w:highlight w:val="none"/>
          <w:u w:val="single"/>
        </w:rPr>
        <w:t>重庆工商大学</w:t>
      </w:r>
      <w:r>
        <w:rPr>
          <w:color w:val="auto"/>
          <w:sz w:val="24"/>
          <w:szCs w:val="24"/>
          <w:highlight w:val="none"/>
        </w:rPr>
        <w:t>：</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我方收到____________________________（谈判项目名称）的单一来源谈判文件，经详细研究，决定参加该谈判项目的单一来源谈判。</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1.我方愿意按照单一来源谈判文件中的一切要求，提供本项目的交货及技术服务，初始报价为人民币大写：</w:t>
      </w:r>
      <w:r>
        <w:rPr>
          <w:color w:val="auto"/>
          <w:sz w:val="24"/>
          <w:szCs w:val="24"/>
          <w:highlight w:val="none"/>
          <w:u w:val="single"/>
        </w:rPr>
        <w:t xml:space="preserve">              </w:t>
      </w:r>
      <w:r>
        <w:rPr>
          <w:color w:val="auto"/>
          <w:sz w:val="24"/>
          <w:szCs w:val="24"/>
          <w:highlight w:val="none"/>
        </w:rPr>
        <w:t>元；人民币小写：</w:t>
      </w:r>
      <w:r>
        <w:rPr>
          <w:color w:val="auto"/>
          <w:sz w:val="24"/>
          <w:szCs w:val="24"/>
          <w:highlight w:val="none"/>
          <w:u w:val="single"/>
        </w:rPr>
        <w:t xml:space="preserve">               </w:t>
      </w:r>
      <w:r>
        <w:rPr>
          <w:color w:val="auto"/>
          <w:sz w:val="24"/>
          <w:szCs w:val="24"/>
          <w:highlight w:val="none"/>
        </w:rPr>
        <w:t>元。以我公司最后报价为准。</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2.我方承诺：本次谈判的有效期为90天。</w:t>
      </w:r>
    </w:p>
    <w:p>
      <w:pPr>
        <w:tabs>
          <w:tab w:val="left" w:pos="6300"/>
        </w:tabs>
        <w:snapToGrid w:val="0"/>
        <w:spacing w:line="276" w:lineRule="auto"/>
        <w:ind w:firstLine="480" w:firstLineChars="200"/>
        <w:rPr>
          <w:b/>
          <w:color w:val="auto"/>
          <w:sz w:val="24"/>
          <w:szCs w:val="24"/>
          <w:highlight w:val="none"/>
          <w:u w:val="single"/>
        </w:rPr>
      </w:pPr>
      <w:r>
        <w:rPr>
          <w:color w:val="auto"/>
          <w:sz w:val="24"/>
          <w:szCs w:val="24"/>
          <w:highlight w:val="none"/>
        </w:rPr>
        <w:t>3.我方完全理解和接受贵方单一来源谈判文件的一切规定、要求及谈判评审办法，</w:t>
      </w:r>
      <w:r>
        <w:rPr>
          <w:b/>
          <w:color w:val="auto"/>
          <w:sz w:val="24"/>
          <w:szCs w:val="24"/>
          <w:highlight w:val="none"/>
          <w:u w:val="single"/>
        </w:rPr>
        <w:t>承诺响应本项目谈判公告及谈判文件的全部要求。</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4.我方承诺满足供应商资格要求中的一般资质条件的全部要求。</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5.我方承诺满足供应商资格要求中的特定资格条件的全部要求。</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6.我方若中选，将按照本项目谈判文件中的有关要求按时足额缴纳履约保证金，将按照采购人发布的“合同条款”和单一来源谈判结果、单一来源谈判公告签订合同，并且严格履行合同义务，否则采购人有权取消我方中选资格。本报价函及承诺书将成为合同不可分割的一部分，与合同具有同等的法律效力。</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7.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若在合同签订后查实我方提供虚假资格，采购人有权单方面终止合同，全额没收履约保证金，给采购人造成经济损失的，依法承担赔偿责任。</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8.在整个单一来源谈判过程中，我方若有违规行为，接受按照《中华人民共和国政府采购法》及其实施条例、《单一来源谈判文件》之规定给予惩罚。</w:t>
      </w:r>
    </w:p>
    <w:p>
      <w:pPr>
        <w:tabs>
          <w:tab w:val="left" w:pos="6300"/>
        </w:tabs>
        <w:snapToGrid w:val="0"/>
        <w:spacing w:line="276" w:lineRule="auto"/>
        <w:ind w:firstLine="480" w:firstLineChars="200"/>
        <w:rPr>
          <w:color w:val="auto"/>
          <w:sz w:val="24"/>
          <w:szCs w:val="24"/>
          <w:highlight w:val="none"/>
        </w:rPr>
      </w:pPr>
      <w:r>
        <w:rPr>
          <w:color w:val="auto"/>
          <w:sz w:val="24"/>
          <w:szCs w:val="24"/>
          <w:highlight w:val="none"/>
        </w:rPr>
        <w:t>9.</w:t>
      </w:r>
      <w:r>
        <w:rPr>
          <w:color w:val="auto"/>
          <w:sz w:val="24"/>
          <w:szCs w:val="28"/>
          <w:highlight w:val="none"/>
        </w:rPr>
        <w:t>我方未</w:t>
      </w:r>
      <w:r>
        <w:rPr>
          <w:color w:val="auto"/>
          <w:sz w:val="24"/>
          <w:szCs w:val="24"/>
          <w:highlight w:val="none"/>
        </w:rPr>
        <w:t>为采购项目提供整体设计、规范编制或者项目管理、监理、检测等服务。</w:t>
      </w:r>
    </w:p>
    <w:p>
      <w:pPr>
        <w:pStyle w:val="6"/>
        <w:ind w:firstLine="560"/>
        <w:rPr>
          <w:color w:val="auto"/>
          <w:highlight w:val="none"/>
        </w:rPr>
      </w:pPr>
    </w:p>
    <w:p>
      <w:pPr>
        <w:tabs>
          <w:tab w:val="left" w:pos="6300"/>
        </w:tabs>
        <w:adjustRightInd w:val="0"/>
        <w:snapToGrid w:val="0"/>
        <w:spacing w:line="276" w:lineRule="auto"/>
        <w:ind w:right="958" w:firstLine="3542" w:firstLineChars="1476"/>
        <w:rPr>
          <w:color w:val="auto"/>
          <w:sz w:val="24"/>
          <w:highlight w:val="none"/>
        </w:rPr>
      </w:pPr>
      <w:r>
        <w:rPr>
          <w:color w:val="auto"/>
          <w:sz w:val="24"/>
          <w:highlight w:val="none"/>
        </w:rPr>
        <w:t>供应商名称（盖单位法人章）：</w:t>
      </w:r>
    </w:p>
    <w:p>
      <w:pPr>
        <w:tabs>
          <w:tab w:val="left" w:pos="6300"/>
        </w:tabs>
        <w:adjustRightInd w:val="0"/>
        <w:snapToGrid w:val="0"/>
        <w:spacing w:line="276" w:lineRule="auto"/>
        <w:ind w:right="958" w:firstLine="3542" w:firstLineChars="1476"/>
        <w:rPr>
          <w:color w:val="auto"/>
          <w:sz w:val="24"/>
          <w:highlight w:val="none"/>
        </w:rPr>
      </w:pPr>
      <w:r>
        <w:rPr>
          <w:color w:val="auto"/>
          <w:sz w:val="24"/>
          <w:highlight w:val="none"/>
        </w:rPr>
        <w:t>法定代表人或委托代理人签字：</w:t>
      </w:r>
    </w:p>
    <w:p>
      <w:pPr>
        <w:adjustRightInd w:val="0"/>
        <w:snapToGrid w:val="0"/>
        <w:spacing w:line="276" w:lineRule="auto"/>
        <w:ind w:right="958" w:firstLine="480" w:firstLineChars="200"/>
        <w:jc w:val="right"/>
        <w:rPr>
          <w:color w:val="auto"/>
          <w:sz w:val="24"/>
          <w:szCs w:val="24"/>
          <w:highlight w:val="none"/>
        </w:rPr>
      </w:pPr>
      <w:r>
        <w:rPr>
          <w:color w:val="auto"/>
          <w:sz w:val="24"/>
          <w:highlight w:val="none"/>
        </w:rPr>
        <w:t>年    月    日</w:t>
      </w:r>
    </w:p>
    <w:p>
      <w:pPr>
        <w:snapToGrid w:val="0"/>
        <w:spacing w:line="276" w:lineRule="auto"/>
        <w:ind w:firstLine="480" w:firstLineChars="200"/>
        <w:rPr>
          <w:color w:val="auto"/>
          <w:sz w:val="24"/>
          <w:szCs w:val="24"/>
          <w:highlight w:val="none"/>
        </w:rPr>
        <w:sectPr>
          <w:footerReference r:id="rId11" w:type="default"/>
          <w:pgSz w:w="11907" w:h="16840"/>
          <w:pgMar w:top="1134" w:right="1191" w:bottom="1134" w:left="1304" w:header="851" w:footer="992" w:gutter="0"/>
          <w:pgNumType w:fmt="numberInDash"/>
          <w:cols w:space="720" w:num="1"/>
          <w:docGrid w:linePitch="380" w:charSpace="-5735"/>
        </w:sectPr>
      </w:pPr>
    </w:p>
    <w:p>
      <w:pPr>
        <w:snapToGrid w:val="0"/>
        <w:spacing w:line="360" w:lineRule="auto"/>
        <w:ind w:firstLine="562" w:firstLineChars="200"/>
        <w:jc w:val="center"/>
        <w:rPr>
          <w:rFonts w:ascii="宋体" w:hAnsi="宋体" w:cs="宋体"/>
          <w:b/>
          <w:bCs/>
          <w:color w:val="auto"/>
          <w:szCs w:val="28"/>
          <w:highlight w:val="none"/>
        </w:rPr>
      </w:pPr>
      <w:r>
        <w:rPr>
          <w:rFonts w:hint="eastAsia" w:ascii="宋体" w:hAnsi="宋体" w:cs="宋体"/>
          <w:b/>
          <w:bCs/>
          <w:color w:val="auto"/>
          <w:szCs w:val="28"/>
          <w:highlight w:val="none"/>
        </w:rPr>
        <w:t>二、分项报价明细表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                                           单位：元</w:t>
      </w:r>
    </w:p>
    <w:p>
      <w:pPr>
        <w:spacing w:line="360" w:lineRule="auto"/>
        <w:ind w:firstLine="480" w:firstLineChars="200"/>
        <w:rPr>
          <w:rFonts w:ascii="宋体" w:hAnsi="宋体" w:cs="宋体"/>
          <w:color w:val="auto"/>
          <w:sz w:val="24"/>
          <w:szCs w:val="28"/>
          <w:highlight w:val="none"/>
        </w:rPr>
      </w:pPr>
    </w:p>
    <w:tbl>
      <w:tblPr>
        <w:tblStyle w:val="18"/>
        <w:tblW w:w="10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485"/>
        <w:gridCol w:w="1695"/>
        <w:gridCol w:w="2055"/>
        <w:gridCol w:w="1570"/>
        <w:gridCol w:w="960"/>
        <w:gridCol w:w="105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exact"/>
          <w:jc w:val="center"/>
        </w:trPr>
        <w:tc>
          <w:tcPr>
            <w:tcW w:w="827" w:type="dxa"/>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485" w:type="dxa"/>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系统名称</w:t>
            </w:r>
          </w:p>
        </w:tc>
        <w:tc>
          <w:tcPr>
            <w:tcW w:w="1695" w:type="dxa"/>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明细内容</w:t>
            </w:r>
          </w:p>
        </w:tc>
        <w:tc>
          <w:tcPr>
            <w:tcW w:w="2055" w:type="dxa"/>
            <w:vAlign w:val="center"/>
          </w:tcPr>
          <w:p>
            <w:pPr>
              <w:jc w:val="center"/>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品牌/原厂制造商</w:t>
            </w:r>
          </w:p>
        </w:tc>
        <w:tc>
          <w:tcPr>
            <w:tcW w:w="1570" w:type="dxa"/>
            <w:vAlign w:val="center"/>
          </w:tcPr>
          <w:p>
            <w:pPr>
              <w:jc w:val="center"/>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规格型号</w:t>
            </w:r>
          </w:p>
        </w:tc>
        <w:tc>
          <w:tcPr>
            <w:tcW w:w="960" w:type="dxa"/>
            <w:vAlign w:val="center"/>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数量</w:t>
            </w:r>
          </w:p>
        </w:tc>
        <w:tc>
          <w:tcPr>
            <w:tcW w:w="1050" w:type="dxa"/>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单价</w:t>
            </w:r>
          </w:p>
        </w:tc>
        <w:tc>
          <w:tcPr>
            <w:tcW w:w="1080" w:type="dxa"/>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827" w:type="dxa"/>
            <w:vMerge w:val="restart"/>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485" w:type="dxa"/>
            <w:vMerge w:val="restart"/>
            <w:vAlign w:val="center"/>
          </w:tcPr>
          <w:p>
            <w:pPr>
              <w:jc w:val="center"/>
              <w:rPr>
                <w:rFonts w:ascii="宋体" w:hAnsi="宋体" w:cs="宋体"/>
                <w:color w:val="auto"/>
                <w:sz w:val="24"/>
                <w:szCs w:val="24"/>
                <w:highlight w:val="none"/>
              </w:rPr>
            </w:pPr>
            <w:r>
              <w:rPr>
                <w:color w:val="auto"/>
                <w:sz w:val="24"/>
                <w:szCs w:val="24"/>
                <w:highlight w:val="none"/>
              </w:rPr>
              <w:t>Nanodcal 3.0量子电子运输计算平台</w:t>
            </w:r>
          </w:p>
        </w:tc>
        <w:tc>
          <w:tcPr>
            <w:tcW w:w="1695"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color w:val="auto"/>
                <w:sz w:val="24"/>
                <w:szCs w:val="24"/>
                <w:highlight w:val="none"/>
              </w:rPr>
              <w:t>Nanodcal</w:t>
            </w:r>
            <w:r>
              <w:rPr>
                <w:rFonts w:ascii="宋体"/>
                <w:color w:val="auto"/>
                <w:sz w:val="24"/>
                <w:szCs w:val="24"/>
                <w:highlight w:val="none"/>
              </w:rPr>
              <w:t>软件</w:t>
            </w:r>
          </w:p>
        </w:tc>
        <w:tc>
          <w:tcPr>
            <w:tcW w:w="2055" w:type="dxa"/>
            <w:vAlign w:val="center"/>
          </w:tcPr>
          <w:p>
            <w:pPr>
              <w:jc w:val="center"/>
              <w:rPr>
                <w:rFonts w:ascii="宋体" w:hAnsi="宋体" w:cs="宋体"/>
                <w:color w:val="auto"/>
                <w:sz w:val="24"/>
                <w:szCs w:val="24"/>
                <w:highlight w:val="none"/>
              </w:rPr>
            </w:pPr>
          </w:p>
        </w:tc>
        <w:tc>
          <w:tcPr>
            <w:tcW w:w="1570" w:type="dxa"/>
            <w:vAlign w:val="center"/>
          </w:tcPr>
          <w:p>
            <w:pPr>
              <w:jc w:val="center"/>
              <w:rPr>
                <w:rFonts w:ascii="宋体" w:hAnsi="宋体" w:cs="宋体"/>
                <w:color w:val="auto"/>
                <w:sz w:val="24"/>
                <w:szCs w:val="24"/>
                <w:highlight w:val="none"/>
              </w:rPr>
            </w:pPr>
          </w:p>
        </w:tc>
        <w:tc>
          <w:tcPr>
            <w:tcW w:w="960"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1套</w:t>
            </w:r>
          </w:p>
        </w:tc>
        <w:tc>
          <w:tcPr>
            <w:tcW w:w="1050" w:type="dxa"/>
            <w:vAlign w:val="center"/>
          </w:tcPr>
          <w:p>
            <w:pPr>
              <w:jc w:val="center"/>
              <w:rPr>
                <w:rFonts w:ascii="宋体" w:hAnsi="宋体" w:cs="宋体"/>
                <w:color w:val="auto"/>
                <w:sz w:val="24"/>
                <w:szCs w:val="24"/>
                <w:highlight w:val="none"/>
              </w:rPr>
            </w:pPr>
          </w:p>
        </w:tc>
        <w:tc>
          <w:tcPr>
            <w:tcW w:w="1080" w:type="dxa"/>
            <w:vAlign w:val="center"/>
          </w:tcPr>
          <w:p>
            <w:pPr>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827" w:type="dxa"/>
            <w:vMerge w:val="continue"/>
            <w:vAlign w:val="center"/>
          </w:tcPr>
          <w:p>
            <w:pPr>
              <w:jc w:val="center"/>
              <w:rPr>
                <w:rFonts w:ascii="宋体" w:hAnsi="宋体" w:cs="宋体"/>
                <w:color w:val="auto"/>
                <w:sz w:val="24"/>
                <w:szCs w:val="24"/>
                <w:highlight w:val="none"/>
              </w:rPr>
            </w:pPr>
          </w:p>
        </w:tc>
        <w:tc>
          <w:tcPr>
            <w:tcW w:w="1485" w:type="dxa"/>
            <w:vMerge w:val="continue"/>
            <w:vAlign w:val="center"/>
          </w:tcPr>
          <w:p>
            <w:pPr>
              <w:jc w:val="center"/>
              <w:rPr>
                <w:rFonts w:ascii="宋体" w:hAnsi="宋体" w:cs="宋体"/>
                <w:color w:val="auto"/>
                <w:sz w:val="24"/>
                <w:szCs w:val="24"/>
                <w:highlight w:val="none"/>
              </w:rPr>
            </w:pPr>
          </w:p>
        </w:tc>
        <w:tc>
          <w:tcPr>
            <w:tcW w:w="1695"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高性能服务器</w:t>
            </w:r>
          </w:p>
        </w:tc>
        <w:tc>
          <w:tcPr>
            <w:tcW w:w="2055" w:type="dxa"/>
            <w:vAlign w:val="center"/>
          </w:tcPr>
          <w:p>
            <w:pPr>
              <w:jc w:val="center"/>
              <w:rPr>
                <w:rFonts w:ascii="宋体" w:hAnsi="宋体" w:cs="宋体"/>
                <w:color w:val="auto"/>
                <w:sz w:val="24"/>
                <w:szCs w:val="24"/>
                <w:highlight w:val="none"/>
              </w:rPr>
            </w:pPr>
          </w:p>
        </w:tc>
        <w:tc>
          <w:tcPr>
            <w:tcW w:w="1570" w:type="dxa"/>
            <w:vAlign w:val="center"/>
          </w:tcPr>
          <w:p>
            <w:pPr>
              <w:jc w:val="center"/>
              <w:rPr>
                <w:rFonts w:ascii="宋体" w:hAnsi="宋体" w:cs="宋体"/>
                <w:color w:val="auto"/>
                <w:sz w:val="24"/>
                <w:szCs w:val="24"/>
                <w:highlight w:val="none"/>
              </w:rPr>
            </w:pPr>
          </w:p>
        </w:tc>
        <w:tc>
          <w:tcPr>
            <w:tcW w:w="960"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1台</w:t>
            </w:r>
          </w:p>
        </w:tc>
        <w:tc>
          <w:tcPr>
            <w:tcW w:w="1050" w:type="dxa"/>
            <w:vAlign w:val="center"/>
          </w:tcPr>
          <w:p>
            <w:pPr>
              <w:jc w:val="center"/>
              <w:rPr>
                <w:rFonts w:ascii="宋体" w:hAnsi="宋体" w:cs="宋体"/>
                <w:color w:val="auto"/>
                <w:sz w:val="24"/>
                <w:szCs w:val="24"/>
                <w:highlight w:val="none"/>
              </w:rPr>
            </w:pPr>
          </w:p>
        </w:tc>
        <w:tc>
          <w:tcPr>
            <w:tcW w:w="1080" w:type="dxa"/>
            <w:vAlign w:val="center"/>
          </w:tcPr>
          <w:p>
            <w:pPr>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827" w:type="dxa"/>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485" w:type="dxa"/>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695" w:type="dxa"/>
            <w:vAlign w:val="center"/>
          </w:tcPr>
          <w:p>
            <w:pPr>
              <w:pStyle w:val="8"/>
              <w:spacing w:line="240" w:lineRule="auto"/>
              <w:ind w:left="0"/>
              <w:jc w:val="center"/>
              <w:outlineLvl w:val="0"/>
              <w:rPr>
                <w:rFonts w:ascii="宋体" w:hAnsi="宋体" w:cs="宋体"/>
                <w:color w:val="auto"/>
                <w:sz w:val="24"/>
                <w:szCs w:val="24"/>
                <w:highlight w:val="none"/>
              </w:rPr>
            </w:pPr>
          </w:p>
        </w:tc>
        <w:tc>
          <w:tcPr>
            <w:tcW w:w="2055" w:type="dxa"/>
            <w:vAlign w:val="center"/>
          </w:tcPr>
          <w:p>
            <w:pPr>
              <w:jc w:val="center"/>
              <w:rPr>
                <w:rFonts w:ascii="宋体" w:hAnsi="宋体" w:cs="宋体"/>
                <w:color w:val="auto"/>
                <w:sz w:val="24"/>
                <w:szCs w:val="24"/>
                <w:highlight w:val="none"/>
              </w:rPr>
            </w:pPr>
          </w:p>
        </w:tc>
        <w:tc>
          <w:tcPr>
            <w:tcW w:w="1570" w:type="dxa"/>
            <w:vAlign w:val="center"/>
          </w:tcPr>
          <w:p>
            <w:pPr>
              <w:jc w:val="center"/>
              <w:rPr>
                <w:rFonts w:ascii="宋体" w:hAnsi="宋体" w:cs="宋体"/>
                <w:color w:val="auto"/>
                <w:sz w:val="24"/>
                <w:szCs w:val="24"/>
                <w:highlight w:val="none"/>
              </w:rPr>
            </w:pPr>
          </w:p>
        </w:tc>
        <w:tc>
          <w:tcPr>
            <w:tcW w:w="960" w:type="dxa"/>
            <w:vAlign w:val="center"/>
          </w:tcPr>
          <w:p>
            <w:pPr>
              <w:jc w:val="center"/>
              <w:rPr>
                <w:rFonts w:ascii="宋体" w:hAnsi="宋体" w:cs="宋体"/>
                <w:color w:val="auto"/>
                <w:sz w:val="24"/>
                <w:szCs w:val="24"/>
                <w:highlight w:val="none"/>
              </w:rPr>
            </w:pPr>
          </w:p>
        </w:tc>
        <w:tc>
          <w:tcPr>
            <w:tcW w:w="1050" w:type="dxa"/>
            <w:vAlign w:val="center"/>
          </w:tcPr>
          <w:p>
            <w:pPr>
              <w:jc w:val="center"/>
              <w:rPr>
                <w:rFonts w:ascii="宋体" w:hAnsi="宋体" w:cs="宋体"/>
                <w:color w:val="auto"/>
                <w:sz w:val="24"/>
                <w:szCs w:val="24"/>
                <w:highlight w:val="none"/>
              </w:rPr>
            </w:pPr>
          </w:p>
        </w:tc>
        <w:tc>
          <w:tcPr>
            <w:tcW w:w="1080" w:type="dxa"/>
            <w:vAlign w:val="center"/>
          </w:tcPr>
          <w:p>
            <w:pPr>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827" w:type="dxa"/>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合计</w:t>
            </w:r>
          </w:p>
        </w:tc>
        <w:tc>
          <w:tcPr>
            <w:tcW w:w="9895" w:type="dxa"/>
            <w:gridSpan w:val="7"/>
            <w:vAlign w:val="center"/>
          </w:tcPr>
          <w:p>
            <w:pPr>
              <w:jc w:val="center"/>
              <w:rPr>
                <w:rFonts w:ascii="宋体" w:hAnsi="宋体" w:cs="宋体"/>
                <w:color w:val="auto"/>
                <w:sz w:val="24"/>
                <w:szCs w:val="24"/>
                <w:highlight w:val="none"/>
              </w:rPr>
            </w:pPr>
          </w:p>
        </w:tc>
      </w:tr>
    </w:tbl>
    <w:p>
      <w:pPr>
        <w:spacing w:line="360" w:lineRule="auto"/>
        <w:ind w:firstLine="600" w:firstLineChars="250"/>
        <w:rPr>
          <w:rFonts w:ascii="宋体" w:hAnsi="宋体" w:cs="宋体"/>
          <w:color w:val="auto"/>
          <w:sz w:val="24"/>
          <w:szCs w:val="28"/>
          <w:highlight w:val="none"/>
        </w:rPr>
      </w:pPr>
    </w:p>
    <w:p>
      <w:pPr>
        <w:pStyle w:val="17"/>
        <w:rPr>
          <w:color w:val="auto"/>
          <w:highlight w:val="none"/>
        </w:rPr>
      </w:pPr>
    </w:p>
    <w:p>
      <w:pPr>
        <w:spacing w:line="360" w:lineRule="auto"/>
        <w:ind w:firstLine="600" w:firstLineChars="250"/>
        <w:rPr>
          <w:rFonts w:ascii="宋体" w:hAnsi="宋体" w:cs="宋体"/>
          <w:color w:val="auto"/>
          <w:sz w:val="24"/>
          <w:szCs w:val="28"/>
          <w:highlight w:val="none"/>
        </w:rPr>
      </w:pPr>
    </w:p>
    <w:p>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供应商：                       法定代表人（或法定代表人授权代表）：</w:t>
      </w: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（供应商公章）                               （签字或盖章）</w:t>
      </w:r>
    </w:p>
    <w:p>
      <w:pPr>
        <w:spacing w:line="360" w:lineRule="auto"/>
        <w:rPr>
          <w:rFonts w:ascii="宋体" w:hAnsi="宋体" w:cs="宋体"/>
          <w:color w:val="auto"/>
          <w:sz w:val="24"/>
          <w:szCs w:val="28"/>
          <w:highlight w:val="none"/>
        </w:rPr>
      </w:pP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1.请供应商完整填写本表；</w:t>
      </w:r>
    </w:p>
    <w:p>
      <w:pPr>
        <w:ind w:firstLine="480" w:firstLineChars="200"/>
        <w:rPr>
          <w:b/>
          <w:color w:val="auto"/>
          <w:highlight w:val="none"/>
        </w:rPr>
      </w:pPr>
      <w:r>
        <w:rPr>
          <w:rFonts w:hint="eastAsia" w:ascii="宋体" w:hAnsi="宋体" w:cs="宋体"/>
          <w:color w:val="auto"/>
          <w:sz w:val="24"/>
          <w:szCs w:val="28"/>
          <w:highlight w:val="none"/>
        </w:rPr>
        <w:t>2.该表可扩展，并逐页签字或盖章。</w:t>
      </w:r>
      <w:r>
        <w:rPr>
          <w:b/>
          <w:color w:val="auto"/>
          <w:highlight w:val="none"/>
        </w:rPr>
        <w:br w:type="page"/>
      </w:r>
    </w:p>
    <w:p>
      <w:pPr>
        <w:rPr>
          <w:b/>
          <w:color w:val="auto"/>
          <w:highlight w:val="none"/>
        </w:rPr>
      </w:pPr>
      <w:r>
        <w:rPr>
          <w:b/>
          <w:color w:val="auto"/>
          <w:highlight w:val="none"/>
        </w:rPr>
        <w:t>二、营业执照</w:t>
      </w:r>
    </w:p>
    <w:p>
      <w:pPr>
        <w:widowControl/>
        <w:ind w:firstLine="480" w:firstLineChars="200"/>
        <w:jc w:val="left"/>
        <w:rPr>
          <w:b/>
          <w:color w:val="auto"/>
          <w:sz w:val="24"/>
          <w:szCs w:val="24"/>
          <w:highlight w:val="none"/>
        </w:rPr>
      </w:pPr>
      <w:r>
        <w:rPr>
          <w:color w:val="auto"/>
          <w:sz w:val="24"/>
          <w:szCs w:val="24"/>
          <w:highlight w:val="none"/>
        </w:rPr>
        <w:t>法人营业执照（副本）或事业单位法人证书（副本）或个体工商户营业执照或有效的自然人身份证明或社会团体法人登记证书复印件。</w:t>
      </w:r>
      <w:r>
        <w:rPr>
          <w:color w:val="auto"/>
          <w:highlight w:val="none"/>
        </w:rPr>
        <w:br w:type="page"/>
      </w:r>
      <w:r>
        <w:rPr>
          <w:b/>
          <w:color w:val="auto"/>
          <w:sz w:val="24"/>
          <w:szCs w:val="24"/>
          <w:highlight w:val="none"/>
        </w:rPr>
        <w:t>三、法定代表人身份证明书（格式）</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项目名称：</w:t>
      </w:r>
      <w:r>
        <w:rPr>
          <w:color w:val="auto"/>
          <w:sz w:val="24"/>
          <w:highlight w:val="none"/>
          <w:u w:val="single"/>
        </w:rPr>
        <w:t xml:space="preserve">                                                </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致：</w:t>
      </w:r>
      <w:r>
        <w:rPr>
          <w:color w:val="auto"/>
          <w:sz w:val="24"/>
          <w:highlight w:val="none"/>
          <w:u w:val="single"/>
        </w:rPr>
        <w:t xml:space="preserve">                     </w:t>
      </w:r>
      <w:r>
        <w:rPr>
          <w:color w:val="auto"/>
          <w:sz w:val="24"/>
          <w:highlight w:val="none"/>
        </w:rPr>
        <w:t>（采购代理机构名称）：</w:t>
      </w:r>
    </w:p>
    <w:p>
      <w:pPr>
        <w:tabs>
          <w:tab w:val="left" w:pos="6300"/>
        </w:tabs>
        <w:snapToGrid w:val="0"/>
        <w:spacing w:line="500" w:lineRule="exact"/>
        <w:ind w:firstLine="570"/>
        <w:rPr>
          <w:color w:val="auto"/>
          <w:sz w:val="24"/>
          <w:highlight w:val="none"/>
        </w:rPr>
      </w:pPr>
      <w:r>
        <w:rPr>
          <w:color w:val="auto"/>
          <w:sz w:val="24"/>
          <w:highlight w:val="none"/>
          <w:u w:val="single"/>
        </w:rPr>
        <w:t xml:space="preserve">        </w:t>
      </w:r>
      <w:r>
        <w:rPr>
          <w:color w:val="auto"/>
          <w:sz w:val="24"/>
          <w:highlight w:val="none"/>
        </w:rPr>
        <w:t>（法定代表人姓名）在</w:t>
      </w:r>
      <w:r>
        <w:rPr>
          <w:color w:val="auto"/>
          <w:sz w:val="24"/>
          <w:highlight w:val="none"/>
          <w:u w:val="single"/>
        </w:rPr>
        <w:t xml:space="preserve">                       </w:t>
      </w:r>
      <w:r>
        <w:rPr>
          <w:color w:val="auto"/>
          <w:sz w:val="24"/>
          <w:highlight w:val="none"/>
        </w:rPr>
        <w:t>（供应商名称）任</w:t>
      </w:r>
      <w:r>
        <w:rPr>
          <w:color w:val="auto"/>
          <w:sz w:val="24"/>
          <w:highlight w:val="none"/>
          <w:u w:val="single"/>
        </w:rPr>
        <w:t xml:space="preserve">    </w:t>
      </w:r>
      <w:r>
        <w:rPr>
          <w:color w:val="auto"/>
          <w:sz w:val="24"/>
          <w:highlight w:val="none"/>
        </w:rPr>
        <w:t>（职务名称）职务，是（供应商名称）</w:t>
      </w:r>
      <w:r>
        <w:rPr>
          <w:color w:val="auto"/>
          <w:sz w:val="24"/>
          <w:highlight w:val="none"/>
          <w:u w:val="single"/>
        </w:rPr>
        <w:t xml:space="preserve">              </w:t>
      </w:r>
      <w:r>
        <w:rPr>
          <w:color w:val="auto"/>
          <w:sz w:val="24"/>
          <w:highlight w:val="none"/>
        </w:rPr>
        <w:t>的法定代表人。</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特此证明。</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 xml:space="preserve">                                             （供应商公章）</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 xml:space="preserve">                                             年   月   日</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r>
        <w:rPr>
          <w:color w:val="auto"/>
          <w:sz w:val="24"/>
          <w:highlight w:val="none"/>
        </w:rPr>
        <w:t>（附：法定代表人身份证正反面复印件）</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570"/>
        <w:rPr>
          <w:b/>
          <w:color w:val="auto"/>
          <w:sz w:val="24"/>
          <w:szCs w:val="24"/>
          <w:highlight w:val="none"/>
        </w:rPr>
      </w:pPr>
      <w:r>
        <w:rPr>
          <w:color w:val="auto"/>
          <w:highlight w:val="none"/>
        </w:rPr>
        <w:br w:type="column"/>
      </w:r>
      <w:r>
        <w:rPr>
          <w:b/>
          <w:color w:val="auto"/>
          <w:sz w:val="24"/>
          <w:szCs w:val="24"/>
          <w:highlight w:val="none"/>
        </w:rPr>
        <w:t>四、法定代表人授权委托书（格式）</w:t>
      </w:r>
    </w:p>
    <w:p>
      <w:pPr>
        <w:tabs>
          <w:tab w:val="left" w:pos="6300"/>
        </w:tabs>
        <w:snapToGrid w:val="0"/>
        <w:spacing w:line="500" w:lineRule="exact"/>
        <w:ind w:firstLine="570"/>
        <w:rPr>
          <w:color w:val="auto"/>
          <w:sz w:val="24"/>
          <w:highlight w:val="none"/>
        </w:rPr>
      </w:pPr>
    </w:p>
    <w:p>
      <w:pPr>
        <w:tabs>
          <w:tab w:val="left" w:pos="6300"/>
        </w:tabs>
        <w:snapToGrid w:val="0"/>
        <w:spacing w:line="500" w:lineRule="exact"/>
        <w:ind w:firstLine="480" w:firstLineChars="200"/>
        <w:rPr>
          <w:rFonts w:eastAsiaTheme="minorEastAsia"/>
          <w:color w:val="auto"/>
          <w:sz w:val="24"/>
          <w:highlight w:val="none"/>
        </w:rPr>
      </w:pPr>
      <w:r>
        <w:rPr>
          <w:rFonts w:eastAsiaTheme="minorEastAsia"/>
          <w:color w:val="auto"/>
          <w:sz w:val="24"/>
          <w:szCs w:val="28"/>
          <w:highlight w:val="none"/>
        </w:rPr>
        <w:t>项目名称</w:t>
      </w:r>
      <w:r>
        <w:rPr>
          <w:rFonts w:eastAsiaTheme="minorEastAsia"/>
          <w:color w:val="auto"/>
          <w:sz w:val="24"/>
          <w:highlight w:val="none"/>
        </w:rPr>
        <w:t>：</w:t>
      </w:r>
      <w:r>
        <w:rPr>
          <w:rFonts w:eastAsiaTheme="minorEastAsia"/>
          <w:color w:val="auto"/>
          <w:sz w:val="24"/>
          <w:highlight w:val="none"/>
          <w:u w:val="single"/>
        </w:rPr>
        <w:t xml:space="preserve">                                                </w:t>
      </w:r>
    </w:p>
    <w:p>
      <w:pPr>
        <w:tabs>
          <w:tab w:val="left" w:pos="6300"/>
        </w:tabs>
        <w:snapToGrid w:val="0"/>
        <w:spacing w:line="500" w:lineRule="exact"/>
        <w:ind w:firstLine="570"/>
        <w:rPr>
          <w:rFonts w:eastAsiaTheme="minorEastAsia"/>
          <w:color w:val="auto"/>
          <w:sz w:val="24"/>
          <w:highlight w:val="none"/>
        </w:rPr>
      </w:pPr>
    </w:p>
    <w:p>
      <w:pPr>
        <w:tabs>
          <w:tab w:val="left" w:pos="6300"/>
        </w:tabs>
        <w:snapToGrid w:val="0"/>
        <w:spacing w:line="500" w:lineRule="exact"/>
        <w:ind w:firstLine="480" w:firstLineChars="200"/>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 xml:space="preserve">                     </w:t>
      </w:r>
      <w:r>
        <w:rPr>
          <w:rFonts w:eastAsiaTheme="minorEastAsia"/>
          <w:color w:val="auto"/>
          <w:sz w:val="24"/>
          <w:highlight w:val="none"/>
        </w:rPr>
        <w:t>（采购代理机构名称）：</w:t>
      </w:r>
    </w:p>
    <w:p>
      <w:pPr>
        <w:tabs>
          <w:tab w:val="left" w:pos="6300"/>
        </w:tabs>
        <w:snapToGrid w:val="0"/>
        <w:spacing w:line="500" w:lineRule="exact"/>
        <w:ind w:firstLine="480" w:firstLineChars="200"/>
        <w:rPr>
          <w:rFonts w:eastAsiaTheme="minorEastAsia"/>
          <w:color w:val="auto"/>
          <w:sz w:val="24"/>
          <w:highlight w:val="none"/>
        </w:rPr>
      </w:pPr>
      <w:r>
        <w:rPr>
          <w:rFonts w:eastAsiaTheme="minorEastAsia"/>
          <w:color w:val="auto"/>
          <w:sz w:val="24"/>
          <w:highlight w:val="none"/>
          <w:u w:val="single"/>
        </w:rPr>
        <w:t xml:space="preserve">            </w:t>
      </w:r>
      <w:r>
        <w:rPr>
          <w:rFonts w:eastAsiaTheme="minorEastAsia"/>
          <w:color w:val="auto"/>
          <w:sz w:val="24"/>
          <w:highlight w:val="none"/>
        </w:rPr>
        <w:t>（供应商法定代表人名称）是</w:t>
      </w:r>
      <w:r>
        <w:rPr>
          <w:rFonts w:eastAsiaTheme="minorEastAsia"/>
          <w:color w:val="auto"/>
          <w:sz w:val="24"/>
          <w:highlight w:val="none"/>
          <w:u w:val="single"/>
        </w:rPr>
        <w:t xml:space="preserve">                    </w:t>
      </w:r>
      <w:r>
        <w:rPr>
          <w:rFonts w:eastAsiaTheme="minorEastAsia"/>
          <w:color w:val="auto"/>
          <w:sz w:val="24"/>
          <w:highlight w:val="none"/>
        </w:rPr>
        <w:t>（供应商名称）的法定代表人，特授权</w:t>
      </w:r>
      <w:r>
        <w:rPr>
          <w:rFonts w:eastAsiaTheme="minorEastAsia"/>
          <w:color w:val="auto"/>
          <w:sz w:val="24"/>
          <w:highlight w:val="none"/>
          <w:u w:val="single"/>
        </w:rPr>
        <w:t xml:space="preserve">          </w:t>
      </w:r>
      <w:r>
        <w:rPr>
          <w:rFonts w:eastAsiaTheme="minorEastAsia"/>
          <w:color w:val="auto"/>
          <w:sz w:val="24"/>
          <w:highlight w:val="none"/>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eastAsiaTheme="minorEastAsia"/>
          <w:color w:val="auto"/>
          <w:sz w:val="24"/>
          <w:highlight w:val="none"/>
        </w:rPr>
      </w:pPr>
      <w:r>
        <w:rPr>
          <w:rFonts w:eastAsiaTheme="minorEastAsia"/>
          <w:color w:val="auto"/>
          <w:sz w:val="24"/>
          <w:highlight w:val="none"/>
        </w:rPr>
        <w:t>我单位对被授权人的签字负全部责任。</w:t>
      </w:r>
    </w:p>
    <w:p>
      <w:pPr>
        <w:tabs>
          <w:tab w:val="left" w:pos="6300"/>
        </w:tabs>
        <w:snapToGrid w:val="0"/>
        <w:spacing w:line="500" w:lineRule="exact"/>
        <w:ind w:firstLine="480" w:firstLineChars="200"/>
        <w:rPr>
          <w:rFonts w:eastAsiaTheme="minorEastAsia"/>
          <w:color w:val="auto"/>
          <w:sz w:val="24"/>
          <w:highlight w:val="none"/>
        </w:rPr>
      </w:pPr>
      <w:r>
        <w:rPr>
          <w:rFonts w:eastAsiaTheme="minorEastAsia"/>
          <w:color w:val="auto"/>
          <w:sz w:val="24"/>
          <w:highlight w:val="none"/>
        </w:rPr>
        <w:t>在撤消授权的书面通知以前，本授权书一直有效。被授权人在授权书有效期内签署的所有文件不因授权的撤消而失效。</w:t>
      </w:r>
    </w:p>
    <w:p>
      <w:pPr>
        <w:tabs>
          <w:tab w:val="left" w:pos="6300"/>
        </w:tabs>
        <w:snapToGrid w:val="0"/>
        <w:spacing w:line="500" w:lineRule="exact"/>
        <w:ind w:firstLine="570"/>
        <w:rPr>
          <w:rFonts w:eastAsiaTheme="minorEastAsia"/>
          <w:color w:val="auto"/>
          <w:sz w:val="24"/>
          <w:highlight w:val="none"/>
        </w:rPr>
      </w:pPr>
    </w:p>
    <w:p>
      <w:pPr>
        <w:tabs>
          <w:tab w:val="left" w:pos="6300"/>
        </w:tabs>
        <w:snapToGrid w:val="0"/>
        <w:spacing w:line="500" w:lineRule="exact"/>
        <w:ind w:firstLine="570"/>
        <w:rPr>
          <w:rFonts w:eastAsiaTheme="minorEastAsia"/>
          <w:color w:val="auto"/>
          <w:sz w:val="24"/>
          <w:highlight w:val="none"/>
        </w:rPr>
      </w:pPr>
    </w:p>
    <w:p>
      <w:pPr>
        <w:tabs>
          <w:tab w:val="left" w:pos="6300"/>
        </w:tabs>
        <w:snapToGrid w:val="0"/>
        <w:spacing w:line="500" w:lineRule="exact"/>
        <w:ind w:firstLine="570"/>
        <w:rPr>
          <w:rFonts w:eastAsiaTheme="minorEastAsia"/>
          <w:color w:val="auto"/>
          <w:sz w:val="24"/>
          <w:highlight w:val="none"/>
        </w:rPr>
      </w:pPr>
      <w:r>
        <w:rPr>
          <w:rFonts w:eastAsiaTheme="minorEastAsia"/>
          <w:color w:val="auto"/>
          <w:sz w:val="24"/>
          <w:highlight w:val="none"/>
        </w:rPr>
        <w:t>被授权人：                                 供应商法定代表人：</w:t>
      </w:r>
    </w:p>
    <w:p>
      <w:pPr>
        <w:tabs>
          <w:tab w:val="left" w:pos="6300"/>
        </w:tabs>
        <w:snapToGrid w:val="0"/>
        <w:spacing w:line="500" w:lineRule="exact"/>
        <w:ind w:firstLine="570"/>
        <w:rPr>
          <w:rFonts w:eastAsiaTheme="minorEastAsia"/>
          <w:color w:val="auto"/>
          <w:sz w:val="24"/>
          <w:szCs w:val="28"/>
          <w:highlight w:val="none"/>
        </w:rPr>
      </w:pPr>
      <w:r>
        <w:rPr>
          <w:rFonts w:eastAsiaTheme="minorEastAsia"/>
          <w:color w:val="auto"/>
          <w:sz w:val="24"/>
          <w:szCs w:val="28"/>
          <w:highlight w:val="none"/>
        </w:rPr>
        <w:t>（签字或盖章）                                （签字或盖章）</w:t>
      </w:r>
    </w:p>
    <w:p>
      <w:pPr>
        <w:tabs>
          <w:tab w:val="left" w:pos="6300"/>
        </w:tabs>
        <w:snapToGrid w:val="0"/>
        <w:spacing w:line="500" w:lineRule="exact"/>
        <w:ind w:firstLine="570"/>
        <w:rPr>
          <w:rFonts w:eastAsiaTheme="minorEastAsia"/>
          <w:color w:val="auto"/>
          <w:sz w:val="24"/>
          <w:szCs w:val="28"/>
          <w:highlight w:val="none"/>
        </w:rPr>
      </w:pPr>
    </w:p>
    <w:p>
      <w:pPr>
        <w:tabs>
          <w:tab w:val="left" w:pos="6300"/>
        </w:tabs>
        <w:snapToGrid w:val="0"/>
        <w:spacing w:line="500" w:lineRule="exact"/>
        <w:ind w:firstLine="570"/>
        <w:rPr>
          <w:rFonts w:eastAsiaTheme="minorEastAsia"/>
          <w:color w:val="auto"/>
          <w:sz w:val="24"/>
          <w:highlight w:val="none"/>
        </w:rPr>
      </w:pPr>
    </w:p>
    <w:p>
      <w:pPr>
        <w:tabs>
          <w:tab w:val="left" w:pos="6300"/>
        </w:tabs>
        <w:snapToGrid w:val="0"/>
        <w:spacing w:line="500" w:lineRule="exact"/>
        <w:ind w:firstLine="570"/>
        <w:rPr>
          <w:rFonts w:eastAsiaTheme="minorEastAsia"/>
          <w:color w:val="auto"/>
          <w:sz w:val="24"/>
          <w:highlight w:val="none"/>
        </w:rPr>
      </w:pPr>
      <w:r>
        <w:rPr>
          <w:rFonts w:eastAsiaTheme="minorEastAsia"/>
          <w:color w:val="auto"/>
          <w:sz w:val="24"/>
          <w:highlight w:val="none"/>
        </w:rPr>
        <w:t>（附：被授权人身份证正反面复印件）</w:t>
      </w:r>
    </w:p>
    <w:p>
      <w:pPr>
        <w:tabs>
          <w:tab w:val="left" w:pos="6300"/>
        </w:tabs>
        <w:snapToGrid w:val="0"/>
        <w:spacing w:line="500" w:lineRule="exact"/>
        <w:ind w:firstLine="570"/>
        <w:rPr>
          <w:rFonts w:eastAsiaTheme="minorEastAsia"/>
          <w:color w:val="auto"/>
          <w:sz w:val="24"/>
          <w:highlight w:val="none"/>
        </w:rPr>
      </w:pPr>
      <w:r>
        <w:rPr>
          <w:rFonts w:eastAsiaTheme="minorEastAsia"/>
          <w:color w:val="auto"/>
          <w:sz w:val="24"/>
          <w:highlight w:val="none"/>
        </w:rPr>
        <w:t xml:space="preserve">                                          </w:t>
      </w:r>
    </w:p>
    <w:p>
      <w:pPr>
        <w:tabs>
          <w:tab w:val="left" w:pos="6300"/>
        </w:tabs>
        <w:snapToGrid w:val="0"/>
        <w:spacing w:line="500" w:lineRule="exact"/>
        <w:ind w:firstLine="570"/>
        <w:rPr>
          <w:rFonts w:eastAsiaTheme="minorEastAsia"/>
          <w:color w:val="auto"/>
          <w:sz w:val="24"/>
          <w:highlight w:val="none"/>
        </w:rPr>
      </w:pPr>
      <w:r>
        <w:rPr>
          <w:rFonts w:eastAsiaTheme="minorEastAsia"/>
          <w:color w:val="auto"/>
          <w:sz w:val="24"/>
          <w:highlight w:val="none"/>
        </w:rPr>
        <w:t>被授权人电话：XXXXXXX     电子邮箱：XXXXXX@XXXXX（若法定代表人办理并签署</w:t>
      </w:r>
      <w:r>
        <w:rPr>
          <w:rFonts w:hint="eastAsia" w:eastAsiaTheme="minorEastAsia"/>
          <w:color w:val="auto"/>
          <w:sz w:val="24"/>
          <w:highlight w:val="none"/>
        </w:rPr>
        <w:t>响应文件</w:t>
      </w:r>
      <w:r>
        <w:rPr>
          <w:rFonts w:eastAsiaTheme="minorEastAsia"/>
          <w:color w:val="auto"/>
          <w:sz w:val="24"/>
          <w:highlight w:val="none"/>
        </w:rPr>
        <w:t>的可不填写）</w:t>
      </w:r>
    </w:p>
    <w:p>
      <w:pPr>
        <w:tabs>
          <w:tab w:val="left" w:pos="6300"/>
        </w:tabs>
        <w:snapToGrid w:val="0"/>
        <w:spacing w:line="500" w:lineRule="exact"/>
        <w:ind w:firstLine="570"/>
        <w:rPr>
          <w:rFonts w:eastAsiaTheme="minorEastAsia"/>
          <w:color w:val="auto"/>
          <w:sz w:val="24"/>
          <w:highlight w:val="none"/>
        </w:rPr>
      </w:pPr>
    </w:p>
    <w:p>
      <w:pPr>
        <w:tabs>
          <w:tab w:val="left" w:pos="6300"/>
        </w:tabs>
        <w:snapToGrid w:val="0"/>
        <w:spacing w:line="500" w:lineRule="exact"/>
        <w:ind w:right="480" w:firstLine="570"/>
        <w:jc w:val="right"/>
        <w:rPr>
          <w:rFonts w:eastAsiaTheme="minorEastAsia"/>
          <w:color w:val="auto"/>
          <w:sz w:val="24"/>
          <w:highlight w:val="none"/>
        </w:rPr>
      </w:pPr>
      <w:r>
        <w:rPr>
          <w:rFonts w:eastAsiaTheme="minorEastAsia"/>
          <w:color w:val="auto"/>
          <w:sz w:val="24"/>
          <w:highlight w:val="none"/>
        </w:rPr>
        <w:t>（供应商公章）</w:t>
      </w:r>
    </w:p>
    <w:p>
      <w:pPr>
        <w:tabs>
          <w:tab w:val="left" w:pos="6300"/>
        </w:tabs>
        <w:snapToGrid w:val="0"/>
        <w:spacing w:line="500" w:lineRule="exact"/>
        <w:ind w:right="480" w:firstLine="570"/>
        <w:jc w:val="right"/>
        <w:rPr>
          <w:rFonts w:eastAsiaTheme="minorEastAsia"/>
          <w:color w:val="auto"/>
          <w:sz w:val="24"/>
          <w:highlight w:val="none"/>
        </w:rPr>
      </w:pPr>
      <w:r>
        <w:rPr>
          <w:rFonts w:eastAsiaTheme="minorEastAsia"/>
          <w:color w:val="auto"/>
          <w:sz w:val="24"/>
          <w:highlight w:val="none"/>
        </w:rPr>
        <w:t>年   月   日</w:t>
      </w:r>
    </w:p>
    <w:p>
      <w:pPr>
        <w:tabs>
          <w:tab w:val="left" w:pos="6300"/>
        </w:tabs>
        <w:snapToGrid w:val="0"/>
        <w:spacing w:line="500" w:lineRule="exact"/>
        <w:ind w:firstLine="570"/>
        <w:rPr>
          <w:rFonts w:eastAsiaTheme="minorEastAsia"/>
          <w:color w:val="auto"/>
          <w:sz w:val="24"/>
          <w:szCs w:val="24"/>
          <w:highlight w:val="none"/>
        </w:rPr>
      </w:pPr>
    </w:p>
    <w:p>
      <w:pPr>
        <w:widowControl/>
        <w:jc w:val="left"/>
        <w:rPr>
          <w:b/>
          <w:color w:val="auto"/>
          <w:sz w:val="24"/>
          <w:szCs w:val="24"/>
          <w:highlight w:val="none"/>
        </w:rPr>
      </w:pPr>
      <w:r>
        <w:rPr>
          <w:b/>
          <w:color w:val="auto"/>
          <w:sz w:val="24"/>
          <w:szCs w:val="24"/>
          <w:highlight w:val="none"/>
        </w:rPr>
        <w:br w:type="page"/>
      </w:r>
    </w:p>
    <w:p>
      <w:pPr>
        <w:spacing w:line="360" w:lineRule="auto"/>
        <w:ind w:firstLine="480" w:firstLineChars="200"/>
        <w:rPr>
          <w:color w:val="auto"/>
          <w:sz w:val="24"/>
          <w:szCs w:val="28"/>
          <w:highlight w:val="none"/>
        </w:rPr>
      </w:pPr>
      <w:r>
        <w:rPr>
          <w:color w:val="auto"/>
          <w:sz w:val="24"/>
          <w:szCs w:val="28"/>
          <w:highlight w:val="none"/>
        </w:rPr>
        <w:t>五、基本资格条件承诺函（格式）</w:t>
      </w:r>
    </w:p>
    <w:p>
      <w:pPr>
        <w:pStyle w:val="6"/>
        <w:ind w:firstLine="560"/>
        <w:rPr>
          <w:color w:val="auto"/>
          <w:highlight w:val="none"/>
        </w:rPr>
      </w:pPr>
    </w:p>
    <w:p>
      <w:pPr>
        <w:ind w:firstLine="643"/>
        <w:jc w:val="center"/>
        <w:rPr>
          <w:b/>
          <w:color w:val="auto"/>
          <w:sz w:val="32"/>
          <w:szCs w:val="32"/>
          <w:highlight w:val="none"/>
        </w:rPr>
      </w:pPr>
      <w:r>
        <w:rPr>
          <w:b/>
          <w:color w:val="auto"/>
          <w:sz w:val="32"/>
          <w:szCs w:val="32"/>
          <w:highlight w:val="none"/>
        </w:rPr>
        <w:t>基本资格条件承诺函</w:t>
      </w:r>
    </w:p>
    <w:p>
      <w:pPr>
        <w:tabs>
          <w:tab w:val="left" w:pos="6300"/>
        </w:tabs>
        <w:spacing w:line="360" w:lineRule="auto"/>
        <w:ind w:firstLine="480"/>
        <w:rPr>
          <w:color w:val="auto"/>
          <w:highlight w:val="none"/>
        </w:rPr>
      </w:pPr>
    </w:p>
    <w:p>
      <w:pPr>
        <w:tabs>
          <w:tab w:val="left" w:pos="6300"/>
        </w:tabs>
        <w:spacing w:line="360" w:lineRule="auto"/>
        <w:ind w:firstLine="480"/>
        <w:rPr>
          <w:color w:val="auto"/>
          <w:sz w:val="24"/>
          <w:szCs w:val="24"/>
          <w:highlight w:val="none"/>
        </w:rPr>
      </w:pPr>
      <w:r>
        <w:rPr>
          <w:color w:val="auto"/>
          <w:sz w:val="24"/>
          <w:szCs w:val="24"/>
          <w:highlight w:val="none"/>
        </w:rPr>
        <w:t xml:space="preserve">致 </w:t>
      </w:r>
      <w:r>
        <w:rPr>
          <w:color w:val="auto"/>
          <w:sz w:val="24"/>
          <w:szCs w:val="24"/>
          <w:highlight w:val="none"/>
          <w:u w:val="single"/>
        </w:rPr>
        <w:t>重庆工商大学</w:t>
      </w:r>
      <w:r>
        <w:rPr>
          <w:color w:val="auto"/>
          <w:sz w:val="24"/>
          <w:szCs w:val="24"/>
          <w:highlight w:val="none"/>
        </w:rPr>
        <w:t>（采购人名称）：</w:t>
      </w:r>
    </w:p>
    <w:p>
      <w:pPr>
        <w:tabs>
          <w:tab w:val="left" w:pos="6300"/>
        </w:tabs>
        <w:spacing w:line="360" w:lineRule="auto"/>
        <w:ind w:firstLine="480"/>
        <w:rPr>
          <w:color w:val="auto"/>
          <w:sz w:val="24"/>
          <w:szCs w:val="24"/>
          <w:highlight w:val="none"/>
        </w:rPr>
      </w:pPr>
      <w:r>
        <w:rPr>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名称）郑重承诺：</w:t>
      </w:r>
    </w:p>
    <w:p>
      <w:pPr>
        <w:tabs>
          <w:tab w:val="left" w:pos="6300"/>
        </w:tabs>
        <w:spacing w:line="360" w:lineRule="auto"/>
        <w:ind w:firstLine="480"/>
        <w:rPr>
          <w:color w:val="auto"/>
          <w:sz w:val="24"/>
          <w:szCs w:val="24"/>
          <w:highlight w:val="none"/>
        </w:rPr>
      </w:pPr>
      <w:r>
        <w:rPr>
          <w:color w:val="auto"/>
          <w:sz w:val="24"/>
          <w:szCs w:val="24"/>
          <w:highlight w:val="none"/>
        </w:rPr>
        <w:t>1.我方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pPr>
        <w:tabs>
          <w:tab w:val="left" w:pos="6300"/>
        </w:tabs>
        <w:spacing w:line="360" w:lineRule="auto"/>
        <w:ind w:firstLine="480"/>
        <w:rPr>
          <w:color w:val="auto"/>
          <w:sz w:val="24"/>
          <w:szCs w:val="24"/>
          <w:highlight w:val="none"/>
        </w:rPr>
      </w:pPr>
      <w:r>
        <w:rPr>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pPr>
        <w:tabs>
          <w:tab w:val="left" w:pos="6300"/>
        </w:tabs>
        <w:spacing w:line="360" w:lineRule="auto"/>
        <w:ind w:firstLine="480"/>
        <w:rPr>
          <w:color w:val="auto"/>
          <w:sz w:val="24"/>
          <w:szCs w:val="24"/>
          <w:highlight w:val="none"/>
        </w:rPr>
      </w:pPr>
      <w:r>
        <w:rPr>
          <w:color w:val="auto"/>
          <w:sz w:val="24"/>
          <w:szCs w:val="24"/>
          <w:highlight w:val="none"/>
        </w:rPr>
        <w:t>3.我方在采购项目评审（评标）环节结束后，随时接受采购人、采购代理机构的检查验证，配合提供相关证明材料，证明符合《中华人民共和国政府采购法》规定的</w:t>
      </w:r>
      <w:r>
        <w:rPr>
          <w:rFonts w:hint="eastAsia"/>
          <w:color w:val="auto"/>
          <w:sz w:val="24"/>
          <w:szCs w:val="24"/>
          <w:highlight w:val="none"/>
        </w:rPr>
        <w:t>供应商</w:t>
      </w:r>
      <w:r>
        <w:rPr>
          <w:color w:val="auto"/>
          <w:sz w:val="24"/>
          <w:szCs w:val="24"/>
          <w:highlight w:val="none"/>
        </w:rPr>
        <w:t>基本资格条件。</w:t>
      </w:r>
    </w:p>
    <w:p>
      <w:pPr>
        <w:tabs>
          <w:tab w:val="left" w:pos="6300"/>
        </w:tabs>
        <w:spacing w:line="360" w:lineRule="auto"/>
        <w:ind w:firstLine="480"/>
        <w:rPr>
          <w:color w:val="auto"/>
          <w:sz w:val="24"/>
          <w:szCs w:val="24"/>
          <w:highlight w:val="none"/>
        </w:rPr>
      </w:pPr>
      <w:r>
        <w:rPr>
          <w:color w:val="auto"/>
          <w:sz w:val="24"/>
          <w:szCs w:val="24"/>
          <w:highlight w:val="none"/>
        </w:rPr>
        <w:t>我方对以上承诺负全部法律责任。</w:t>
      </w:r>
    </w:p>
    <w:p>
      <w:pPr>
        <w:tabs>
          <w:tab w:val="left" w:pos="6300"/>
        </w:tabs>
        <w:spacing w:line="360" w:lineRule="auto"/>
        <w:ind w:firstLine="480"/>
        <w:rPr>
          <w:color w:val="auto"/>
          <w:sz w:val="24"/>
          <w:szCs w:val="24"/>
          <w:highlight w:val="none"/>
        </w:rPr>
      </w:pPr>
      <w:r>
        <w:rPr>
          <w:color w:val="auto"/>
          <w:sz w:val="24"/>
          <w:szCs w:val="24"/>
          <w:highlight w:val="none"/>
        </w:rPr>
        <w:t>特此承诺。</w:t>
      </w:r>
    </w:p>
    <w:p>
      <w:pPr>
        <w:tabs>
          <w:tab w:val="left" w:pos="6300"/>
        </w:tabs>
        <w:spacing w:line="360" w:lineRule="auto"/>
        <w:ind w:firstLine="480"/>
        <w:rPr>
          <w:color w:val="auto"/>
          <w:sz w:val="24"/>
          <w:szCs w:val="24"/>
          <w:highlight w:val="none"/>
        </w:rPr>
      </w:pPr>
    </w:p>
    <w:p>
      <w:pPr>
        <w:tabs>
          <w:tab w:val="left" w:pos="6300"/>
        </w:tabs>
        <w:spacing w:line="360" w:lineRule="auto"/>
        <w:ind w:firstLine="482"/>
        <w:jc w:val="right"/>
        <w:rPr>
          <w:b/>
          <w:color w:val="auto"/>
          <w:sz w:val="24"/>
          <w:szCs w:val="24"/>
          <w:highlight w:val="none"/>
        </w:rPr>
      </w:pPr>
      <w:r>
        <w:rPr>
          <w:b/>
          <w:color w:val="auto"/>
          <w:sz w:val="24"/>
          <w:szCs w:val="24"/>
          <w:highlight w:val="none"/>
        </w:rPr>
        <w:t>（</w:t>
      </w:r>
      <w:r>
        <w:rPr>
          <w:rFonts w:hint="eastAsia"/>
          <w:b/>
          <w:color w:val="auto"/>
          <w:sz w:val="24"/>
          <w:szCs w:val="24"/>
          <w:highlight w:val="none"/>
        </w:rPr>
        <w:t>供应商</w:t>
      </w:r>
      <w:r>
        <w:rPr>
          <w:b/>
          <w:color w:val="auto"/>
          <w:sz w:val="24"/>
          <w:szCs w:val="24"/>
          <w:highlight w:val="none"/>
        </w:rPr>
        <w:t>公章）</w:t>
      </w:r>
    </w:p>
    <w:p>
      <w:pPr>
        <w:tabs>
          <w:tab w:val="left" w:pos="6300"/>
        </w:tabs>
        <w:spacing w:line="360" w:lineRule="auto"/>
        <w:ind w:firstLine="480"/>
        <w:jc w:val="right"/>
        <w:rPr>
          <w:color w:val="auto"/>
          <w:sz w:val="24"/>
          <w:szCs w:val="24"/>
          <w:highlight w:val="none"/>
        </w:rPr>
      </w:pPr>
      <w:r>
        <w:rPr>
          <w:color w:val="auto"/>
          <w:sz w:val="24"/>
          <w:szCs w:val="24"/>
          <w:highlight w:val="none"/>
        </w:rPr>
        <w:t>年   月   日</w:t>
      </w:r>
    </w:p>
    <w:p>
      <w:pPr>
        <w:rPr>
          <w:b/>
          <w:color w:val="auto"/>
          <w:sz w:val="24"/>
          <w:szCs w:val="24"/>
          <w:highlight w:val="none"/>
        </w:rPr>
      </w:pPr>
      <w:r>
        <w:rPr>
          <w:b/>
          <w:color w:val="auto"/>
          <w:sz w:val="24"/>
          <w:szCs w:val="24"/>
          <w:highlight w:val="none"/>
        </w:rPr>
        <w:br w:type="page"/>
      </w:r>
    </w:p>
    <w:p>
      <w:pPr>
        <w:tabs>
          <w:tab w:val="left" w:pos="6300"/>
        </w:tabs>
        <w:snapToGrid w:val="0"/>
        <w:spacing w:line="500" w:lineRule="exact"/>
        <w:ind w:firstLine="482" w:firstLineChars="200"/>
        <w:rPr>
          <w:b/>
          <w:color w:val="auto"/>
          <w:sz w:val="24"/>
          <w:szCs w:val="24"/>
          <w:highlight w:val="none"/>
        </w:rPr>
      </w:pPr>
      <w:r>
        <w:rPr>
          <w:b/>
          <w:color w:val="auto"/>
          <w:sz w:val="24"/>
          <w:szCs w:val="24"/>
          <w:highlight w:val="none"/>
        </w:rPr>
        <w:t>六、其他应提供的资料</w:t>
      </w:r>
    </w:p>
    <w:p>
      <w:pPr>
        <w:snapToGrid w:val="0"/>
        <w:spacing w:line="400" w:lineRule="exact"/>
        <w:ind w:firstLine="480" w:firstLineChars="200"/>
        <w:jc w:val="left"/>
        <w:rPr>
          <w:color w:val="auto"/>
          <w:sz w:val="24"/>
          <w:szCs w:val="24"/>
          <w:highlight w:val="none"/>
        </w:rPr>
      </w:pPr>
      <w:r>
        <w:rPr>
          <w:color w:val="auto"/>
          <w:sz w:val="24"/>
          <w:szCs w:val="24"/>
          <w:highlight w:val="none"/>
        </w:rPr>
        <w:t>1.招标文件购买费的证明文件</w:t>
      </w:r>
    </w:p>
    <w:p>
      <w:pPr>
        <w:snapToGrid w:val="0"/>
        <w:spacing w:line="400" w:lineRule="exact"/>
        <w:ind w:firstLine="480" w:firstLineChars="200"/>
        <w:jc w:val="left"/>
        <w:rPr>
          <w:color w:val="auto"/>
          <w:sz w:val="24"/>
          <w:szCs w:val="24"/>
          <w:highlight w:val="none"/>
        </w:rPr>
      </w:pPr>
      <w:r>
        <w:rPr>
          <w:color w:val="auto"/>
          <w:sz w:val="24"/>
          <w:szCs w:val="24"/>
          <w:highlight w:val="none"/>
        </w:rPr>
        <w:t>2.其他与项目有关的资料（自附）。</w:t>
      </w:r>
    </w:p>
    <w:p>
      <w:pPr>
        <w:snapToGrid w:val="0"/>
        <w:spacing w:line="400" w:lineRule="exact"/>
        <w:ind w:firstLine="480" w:firstLineChars="200"/>
        <w:jc w:val="left"/>
        <w:rPr>
          <w:color w:val="auto"/>
          <w:sz w:val="24"/>
          <w:szCs w:val="24"/>
          <w:highlight w:val="none"/>
        </w:rPr>
      </w:pPr>
      <w:r>
        <w:rPr>
          <w:color w:val="auto"/>
          <w:sz w:val="24"/>
          <w:szCs w:val="24"/>
          <w:highlight w:val="none"/>
        </w:rPr>
        <w:t>3.供应商提供供应商名称、供应商基本账户开户银行、基本账户开户行账号、统一社会信用代码、授权代表联系电话等信息，并提供基本账户开户许可证，加盖供应商鲜章。</w:t>
      </w:r>
    </w:p>
    <w:p>
      <w:pPr>
        <w:widowControl/>
        <w:spacing w:line="400" w:lineRule="exact"/>
        <w:ind w:firstLine="482" w:firstLineChars="200"/>
        <w:jc w:val="center"/>
        <w:rPr>
          <w:rFonts w:eastAsiaTheme="minorEastAsia"/>
          <w:b/>
          <w:bCs/>
          <w:color w:val="auto"/>
          <w:sz w:val="24"/>
          <w:szCs w:val="24"/>
          <w:highlight w:val="none"/>
        </w:rPr>
      </w:pPr>
      <w:r>
        <w:rPr>
          <w:rFonts w:eastAsiaTheme="minorEastAsia"/>
          <w:b/>
          <w:bCs/>
          <w:color w:val="auto"/>
          <w:sz w:val="24"/>
          <w:szCs w:val="24"/>
          <w:highlight w:val="none"/>
        </w:rPr>
        <w:t>供应商信息表</w:t>
      </w:r>
    </w:p>
    <w:tbl>
      <w:tblPr>
        <w:tblStyle w:val="18"/>
        <w:tblW w:w="10030" w:type="dxa"/>
        <w:jc w:val="center"/>
        <w:tblLayout w:type="autofit"/>
        <w:tblCellMar>
          <w:top w:w="0" w:type="dxa"/>
          <w:left w:w="108" w:type="dxa"/>
          <w:bottom w:w="0" w:type="dxa"/>
          <w:right w:w="108" w:type="dxa"/>
        </w:tblCellMar>
      </w:tblPr>
      <w:tblGrid>
        <w:gridCol w:w="780"/>
        <w:gridCol w:w="1415"/>
        <w:gridCol w:w="1741"/>
        <w:gridCol w:w="2178"/>
        <w:gridCol w:w="1969"/>
        <w:gridCol w:w="1947"/>
      </w:tblGrid>
      <w:tr>
        <w:tblPrEx>
          <w:tblCellMar>
            <w:top w:w="0" w:type="dxa"/>
            <w:left w:w="108" w:type="dxa"/>
            <w:bottom w:w="0" w:type="dxa"/>
            <w:right w:w="108" w:type="dxa"/>
          </w:tblCellMar>
        </w:tblPrEx>
        <w:trPr>
          <w:trHeight w:val="634"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序号</w:t>
            </w:r>
          </w:p>
        </w:tc>
        <w:tc>
          <w:tcPr>
            <w:tcW w:w="1415" w:type="dxa"/>
            <w:tcBorders>
              <w:top w:val="single" w:color="auto" w:sz="4" w:space="0"/>
              <w:left w:val="nil"/>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竞标人</w:t>
            </w:r>
          </w:p>
        </w:tc>
        <w:tc>
          <w:tcPr>
            <w:tcW w:w="1741" w:type="dxa"/>
            <w:tcBorders>
              <w:top w:val="single" w:color="auto" w:sz="4" w:space="0"/>
              <w:left w:val="nil"/>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竞标人基本账户开户行</w:t>
            </w:r>
          </w:p>
        </w:tc>
        <w:tc>
          <w:tcPr>
            <w:tcW w:w="2178" w:type="dxa"/>
            <w:tcBorders>
              <w:top w:val="single" w:color="auto" w:sz="4" w:space="0"/>
              <w:left w:val="nil"/>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竞标人基本账户</w:t>
            </w:r>
          </w:p>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账号（卡号）</w:t>
            </w:r>
          </w:p>
        </w:tc>
        <w:tc>
          <w:tcPr>
            <w:tcW w:w="1969" w:type="dxa"/>
            <w:tcBorders>
              <w:top w:val="single" w:color="auto" w:sz="4" w:space="0"/>
              <w:left w:val="nil"/>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统一社会信用代码</w:t>
            </w:r>
          </w:p>
        </w:tc>
        <w:tc>
          <w:tcPr>
            <w:tcW w:w="194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授权代表联系电话（须为手机号）</w:t>
            </w:r>
          </w:p>
        </w:tc>
      </w:tr>
      <w:tr>
        <w:tblPrEx>
          <w:tblCellMar>
            <w:top w:w="0" w:type="dxa"/>
            <w:left w:w="108" w:type="dxa"/>
            <w:bottom w:w="0" w:type="dxa"/>
            <w:right w:w="108" w:type="dxa"/>
          </w:tblCellMar>
        </w:tblPrEx>
        <w:trPr>
          <w:trHeight w:val="600" w:hRule="atLeast"/>
          <w:jc w:val="center"/>
        </w:trPr>
        <w:tc>
          <w:tcPr>
            <w:tcW w:w="780" w:type="dxa"/>
            <w:tcBorders>
              <w:top w:val="nil"/>
              <w:left w:val="single" w:color="auto" w:sz="4" w:space="0"/>
              <w:bottom w:val="single" w:color="auto" w:sz="4" w:space="0"/>
              <w:right w:val="single" w:color="auto" w:sz="4" w:space="0"/>
            </w:tcBorders>
            <w:vAlign w:val="center"/>
          </w:tcPr>
          <w:p>
            <w:pPr>
              <w:widowControl/>
              <w:spacing w:line="400" w:lineRule="exact"/>
              <w:jc w:val="center"/>
              <w:rPr>
                <w:rFonts w:eastAsiaTheme="minorEastAsia"/>
                <w:color w:val="auto"/>
                <w:sz w:val="24"/>
                <w:szCs w:val="24"/>
                <w:highlight w:val="none"/>
              </w:rPr>
            </w:pPr>
            <w:r>
              <w:rPr>
                <w:rFonts w:eastAsiaTheme="minorEastAsia"/>
                <w:color w:val="auto"/>
                <w:sz w:val="24"/>
                <w:szCs w:val="24"/>
                <w:highlight w:val="none"/>
              </w:rPr>
              <w:t>1</w:t>
            </w:r>
          </w:p>
        </w:tc>
        <w:tc>
          <w:tcPr>
            <w:tcW w:w="1415" w:type="dxa"/>
            <w:tcBorders>
              <w:top w:val="nil"/>
              <w:left w:val="nil"/>
              <w:bottom w:val="single" w:color="auto" w:sz="4" w:space="0"/>
              <w:right w:val="single" w:color="auto" w:sz="4" w:space="0"/>
            </w:tcBorders>
            <w:vAlign w:val="center"/>
          </w:tcPr>
          <w:p>
            <w:pPr>
              <w:widowControl/>
              <w:spacing w:line="400" w:lineRule="exact"/>
              <w:ind w:firstLine="480" w:firstLineChars="200"/>
              <w:jc w:val="center"/>
              <w:rPr>
                <w:rFonts w:eastAsiaTheme="minorEastAsia"/>
                <w:color w:val="auto"/>
                <w:sz w:val="24"/>
                <w:szCs w:val="24"/>
                <w:highlight w:val="none"/>
              </w:rPr>
            </w:pPr>
          </w:p>
        </w:tc>
        <w:tc>
          <w:tcPr>
            <w:tcW w:w="1741" w:type="dxa"/>
            <w:tcBorders>
              <w:top w:val="nil"/>
              <w:left w:val="nil"/>
              <w:bottom w:val="single" w:color="auto" w:sz="4" w:space="0"/>
              <w:right w:val="single" w:color="auto" w:sz="4" w:space="0"/>
            </w:tcBorders>
            <w:vAlign w:val="center"/>
          </w:tcPr>
          <w:p>
            <w:pPr>
              <w:widowControl/>
              <w:spacing w:line="400" w:lineRule="exact"/>
              <w:ind w:firstLine="480" w:firstLineChars="200"/>
              <w:jc w:val="center"/>
              <w:rPr>
                <w:rFonts w:eastAsiaTheme="minorEastAsia"/>
                <w:color w:val="auto"/>
                <w:sz w:val="24"/>
                <w:szCs w:val="24"/>
                <w:highlight w:val="none"/>
              </w:rPr>
            </w:pPr>
          </w:p>
        </w:tc>
        <w:tc>
          <w:tcPr>
            <w:tcW w:w="2178" w:type="dxa"/>
            <w:tcBorders>
              <w:top w:val="nil"/>
              <w:left w:val="nil"/>
              <w:bottom w:val="single" w:color="auto" w:sz="4" w:space="0"/>
              <w:right w:val="single" w:color="auto" w:sz="4" w:space="0"/>
            </w:tcBorders>
            <w:vAlign w:val="center"/>
          </w:tcPr>
          <w:p>
            <w:pPr>
              <w:widowControl/>
              <w:spacing w:line="400" w:lineRule="exact"/>
              <w:ind w:firstLine="480" w:firstLineChars="200"/>
              <w:jc w:val="center"/>
              <w:rPr>
                <w:rFonts w:eastAsiaTheme="minorEastAsia"/>
                <w:color w:val="auto"/>
                <w:sz w:val="24"/>
                <w:szCs w:val="24"/>
                <w:highlight w:val="none"/>
              </w:rPr>
            </w:pPr>
          </w:p>
        </w:tc>
        <w:tc>
          <w:tcPr>
            <w:tcW w:w="1969" w:type="dxa"/>
            <w:tcBorders>
              <w:top w:val="single" w:color="auto" w:sz="4" w:space="0"/>
              <w:left w:val="nil"/>
              <w:bottom w:val="single" w:color="auto" w:sz="4" w:space="0"/>
              <w:right w:val="single" w:color="auto" w:sz="4" w:space="0"/>
            </w:tcBorders>
            <w:vAlign w:val="center"/>
          </w:tcPr>
          <w:p>
            <w:pPr>
              <w:widowControl/>
              <w:spacing w:line="400" w:lineRule="exact"/>
              <w:ind w:firstLine="480" w:firstLineChars="200"/>
              <w:jc w:val="center"/>
              <w:rPr>
                <w:rFonts w:eastAsiaTheme="minorEastAsia"/>
                <w:color w:val="auto"/>
                <w:sz w:val="24"/>
                <w:szCs w:val="24"/>
                <w:highlight w:val="none"/>
              </w:rPr>
            </w:pPr>
          </w:p>
        </w:tc>
        <w:tc>
          <w:tcPr>
            <w:tcW w:w="1947" w:type="dxa"/>
            <w:tcBorders>
              <w:top w:val="nil"/>
              <w:left w:val="single" w:color="auto" w:sz="4" w:space="0"/>
              <w:bottom w:val="single" w:color="auto" w:sz="4" w:space="0"/>
              <w:right w:val="single" w:color="auto" w:sz="4" w:space="0"/>
            </w:tcBorders>
            <w:vAlign w:val="center"/>
          </w:tcPr>
          <w:p>
            <w:pPr>
              <w:widowControl/>
              <w:spacing w:line="400" w:lineRule="exact"/>
              <w:ind w:firstLine="480" w:firstLineChars="200"/>
              <w:jc w:val="center"/>
              <w:rPr>
                <w:rFonts w:eastAsiaTheme="minorEastAsia"/>
                <w:color w:val="auto"/>
                <w:sz w:val="24"/>
                <w:szCs w:val="24"/>
                <w:highlight w:val="none"/>
              </w:rPr>
            </w:pPr>
          </w:p>
        </w:tc>
      </w:tr>
    </w:tbl>
    <w:p>
      <w:pPr>
        <w:widowControl/>
        <w:spacing w:line="400" w:lineRule="exact"/>
        <w:ind w:firstLine="480" w:firstLineChars="200"/>
        <w:jc w:val="left"/>
        <w:rPr>
          <w:rFonts w:eastAsiaTheme="minorEastAsia"/>
          <w:color w:val="auto"/>
          <w:sz w:val="24"/>
          <w:szCs w:val="24"/>
          <w:highlight w:val="none"/>
        </w:rPr>
      </w:pPr>
    </w:p>
    <w:p>
      <w:pPr>
        <w:widowControl/>
        <w:spacing w:line="400" w:lineRule="exact"/>
        <w:ind w:firstLine="480" w:firstLineChars="200"/>
        <w:jc w:val="left"/>
        <w:rPr>
          <w:rFonts w:eastAsiaTheme="minorEastAsia"/>
          <w:color w:val="auto"/>
          <w:sz w:val="24"/>
          <w:szCs w:val="24"/>
          <w:highlight w:val="none"/>
        </w:rPr>
      </w:pPr>
    </w:p>
    <w:p>
      <w:pPr>
        <w:widowControl/>
        <w:spacing w:line="400" w:lineRule="exact"/>
        <w:ind w:firstLine="480" w:firstLineChars="200"/>
        <w:jc w:val="left"/>
        <w:rPr>
          <w:rFonts w:eastAsiaTheme="minorEastAsia"/>
          <w:color w:val="auto"/>
          <w:sz w:val="24"/>
          <w:szCs w:val="24"/>
          <w:highlight w:val="none"/>
        </w:rPr>
      </w:pPr>
    </w:p>
    <w:p>
      <w:pPr>
        <w:widowControl/>
        <w:spacing w:line="400" w:lineRule="exact"/>
        <w:ind w:right="960" w:firstLine="480" w:firstLineChars="200"/>
        <w:jc w:val="right"/>
        <w:rPr>
          <w:rFonts w:eastAsiaTheme="minorEastAsia"/>
          <w:color w:val="auto"/>
          <w:sz w:val="24"/>
          <w:szCs w:val="24"/>
          <w:highlight w:val="none"/>
        </w:rPr>
      </w:pPr>
      <w:r>
        <w:rPr>
          <w:rFonts w:eastAsiaTheme="minorEastAsia"/>
          <w:color w:val="auto"/>
          <w:sz w:val="24"/>
          <w:szCs w:val="24"/>
          <w:highlight w:val="none"/>
        </w:rPr>
        <w:t xml:space="preserve">供应商名称（盖章）：        </w:t>
      </w:r>
    </w:p>
    <w:p>
      <w:pPr>
        <w:rPr>
          <w:color w:val="auto"/>
          <w:highlight w:val="none"/>
        </w:rPr>
      </w:pPr>
    </w:p>
    <w:p>
      <w:pPr>
        <w:pStyle w:val="2"/>
        <w:ind w:firstLine="560"/>
        <w:rPr>
          <w:color w:val="auto"/>
          <w:highlight w:val="none"/>
        </w:rPr>
      </w:pPr>
    </w:p>
    <w:p>
      <w:pPr>
        <w:rPr>
          <w:color w:val="auto"/>
          <w:highlight w:val="none"/>
        </w:rPr>
      </w:pPr>
    </w:p>
    <w:p>
      <w:pPr>
        <w:pStyle w:val="2"/>
        <w:ind w:firstLine="560"/>
        <w:rPr>
          <w:color w:val="auto"/>
          <w:highlight w:val="none"/>
        </w:rPr>
      </w:pPr>
    </w:p>
    <w:p>
      <w:pPr>
        <w:rPr>
          <w:color w:val="auto"/>
          <w:highlight w:val="none"/>
        </w:rPr>
      </w:pPr>
    </w:p>
    <w:p>
      <w:pPr>
        <w:pStyle w:val="2"/>
        <w:ind w:firstLine="560"/>
        <w:rPr>
          <w:color w:val="auto"/>
          <w:highlight w:val="none"/>
        </w:rPr>
      </w:pPr>
    </w:p>
    <w:p>
      <w:pPr>
        <w:rPr>
          <w:color w:val="auto"/>
          <w:highlight w:val="none"/>
        </w:rPr>
      </w:pPr>
    </w:p>
    <w:p>
      <w:pPr>
        <w:pStyle w:val="2"/>
        <w:ind w:firstLine="560"/>
        <w:rPr>
          <w:color w:val="auto"/>
          <w:highlight w:val="none"/>
        </w:rPr>
      </w:pPr>
    </w:p>
    <w:p>
      <w:pPr>
        <w:rPr>
          <w:color w:val="auto"/>
          <w:highlight w:val="none"/>
        </w:rPr>
      </w:pPr>
    </w:p>
    <w:p>
      <w:pPr>
        <w:pStyle w:val="2"/>
        <w:ind w:firstLine="560"/>
        <w:rPr>
          <w:color w:val="auto"/>
          <w:highlight w:val="none"/>
        </w:rPr>
      </w:pPr>
    </w:p>
    <w:p>
      <w:pPr>
        <w:rPr>
          <w:color w:val="auto"/>
          <w:highlight w:val="none"/>
        </w:rPr>
      </w:pPr>
    </w:p>
    <w:p>
      <w:pPr>
        <w:pStyle w:val="2"/>
        <w:ind w:firstLine="560"/>
        <w:rPr>
          <w:color w:val="auto"/>
          <w:highlight w:val="none"/>
        </w:rPr>
      </w:pPr>
    </w:p>
    <w:p>
      <w:pPr>
        <w:jc w:val="center"/>
        <w:rPr>
          <w:color w:val="auto"/>
          <w:highlight w:val="none"/>
        </w:rPr>
      </w:pPr>
      <w:r>
        <w:rPr>
          <w:color w:val="auto"/>
          <w:sz w:val="24"/>
          <w:szCs w:val="24"/>
          <w:highlight w:val="none"/>
        </w:rPr>
        <w:t>（单一来源谈判文件结束）</w:t>
      </w:r>
      <w:bookmarkStart w:id="150" w:name="_Toc477248436"/>
      <w:bookmarkEnd w:id="150"/>
    </w:p>
    <w:p>
      <w:pPr>
        <w:rPr>
          <w:color w:val="auto"/>
          <w:highlight w:val="none"/>
        </w:rPr>
      </w:pPr>
    </w:p>
    <w:sectPr>
      <w:pgSz w:w="11906" w:h="16838"/>
      <w:pgMar w:top="1134" w:right="1191" w:bottom="1134" w:left="1304" w:header="851" w:footer="992" w:gutter="0"/>
      <w:pgNumType w:fmt="numberInDash" w:chapStyle="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0"/>
      </w:rPr>
    </w:pPr>
    <w:r>
      <w:fldChar w:fldCharType="begin"/>
    </w:r>
    <w:r>
      <w:rPr>
        <w:rStyle w:val="20"/>
      </w:rPr>
      <w:instrText xml:space="preserve">PAGE  </w:instrText>
    </w:r>
    <w: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0"/>
      </w:rPr>
    </w:pPr>
  </w:p>
  <w:p>
    <w:pPr>
      <w:pStyle w:val="13"/>
      <w:jc w:val="center"/>
      <w:rPr>
        <w:rFonts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asci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4010" cy="172720"/>
              <wp:effectExtent l="0" t="0" r="0" b="0"/>
              <wp:wrapNone/>
              <wp:docPr id="28" name="Text Box 1"/>
              <wp:cNvGraphicFramePr/>
              <a:graphic xmlns:a="http://schemas.openxmlformats.org/drawingml/2006/main">
                <a:graphicData uri="http://schemas.microsoft.com/office/word/2010/wordprocessingShape">
                  <wps:wsp>
                    <wps:cNvSpPr txBox="1">
                      <a:spLocks noChangeArrowheads="1"/>
                    </wps:cNvSpPr>
                    <wps:spPr bwMode="auto">
                      <a:xfrm>
                        <a:off x="0" y="0"/>
                        <a:ext cx="334010" cy="172720"/>
                      </a:xfrm>
                      <a:prstGeom prst="rect">
                        <a:avLst/>
                      </a:prstGeom>
                      <a:noFill/>
                      <a:ln>
                        <a:noFill/>
                      </a:ln>
                    </wps:spPr>
                    <wps:txbx>
                      <w:txbxContent>
                        <w:p>
                          <w:pPr>
                            <w:pStyle w:val="13"/>
                            <w:jc w:val="center"/>
                          </w:pPr>
                          <w:r>
                            <w:rPr>
                              <w:rStyle w:val="20"/>
                              <w:rFonts w:ascii="宋体" w:hAnsi="宋体"/>
                              <w:sz w:val="21"/>
                              <w:szCs w:val="21"/>
                            </w:rPr>
                            <w:fldChar w:fldCharType="begin"/>
                          </w:r>
                          <w:r>
                            <w:rPr>
                              <w:rStyle w:val="20"/>
                              <w:rFonts w:ascii="宋体" w:hAnsi="宋体"/>
                              <w:sz w:val="21"/>
                              <w:szCs w:val="21"/>
                            </w:rPr>
                            <w:instrText xml:space="preserve"> PAGE </w:instrText>
                          </w:r>
                          <w:r>
                            <w:rPr>
                              <w:rStyle w:val="20"/>
                              <w:rFonts w:ascii="宋体" w:hAnsi="宋体"/>
                              <w:sz w:val="21"/>
                              <w:szCs w:val="21"/>
                            </w:rPr>
                            <w:fldChar w:fldCharType="separate"/>
                          </w:r>
                          <w:r>
                            <w:rPr>
                              <w:rStyle w:val="20"/>
                              <w:rFonts w:ascii="宋体" w:hAnsi="宋体"/>
                              <w:sz w:val="21"/>
                              <w:szCs w:val="21"/>
                            </w:rPr>
                            <w:t>- 2 -</w:t>
                          </w:r>
                          <w:r>
                            <w:rPr>
                              <w:rStyle w:val="20"/>
                              <w:rFonts w:ascii="宋体" w:hAnsi="宋体"/>
                              <w:sz w:val="21"/>
                              <w:szCs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26.3pt;mso-position-horizontal:center;mso-position-horizontal-relative:margin;mso-wrap-style:none;z-index:251659264;mso-width-relative:page;mso-height-relative:page;" filled="f" stroked="f" coordsize="21600,21600" o:gfxdata="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7/jPHdEAAAADAQAADwAAAAAAAAABACAAAAAiAAAAZHJzL2Rvd25yZXYueG1sUEsBAhQA&#10;FAAAAAgAh07iQKWL93z5AQAAAgQAAA4AAAAAAAAAAQAgAAAAIAEAAGRycy9lMm9Eb2MueG1sUEsF&#10;BgAAAAAGAAYAWQEAAIsFAAAAAA==&#10;">
              <v:fill on="f" focussize="0,0"/>
              <v:stroke on="f"/>
              <v:imagedata o:title=""/>
              <o:lock v:ext="edit" aspectratio="f"/>
              <v:textbox inset="0mm,0mm,0mm,0mm" style="mso-fit-shape-to-text:t;">
                <w:txbxContent>
                  <w:p>
                    <w:pPr>
                      <w:pStyle w:val="13"/>
                      <w:jc w:val="center"/>
                    </w:pPr>
                    <w:r>
                      <w:rPr>
                        <w:rStyle w:val="20"/>
                        <w:rFonts w:ascii="宋体" w:hAnsi="宋体"/>
                        <w:sz w:val="21"/>
                        <w:szCs w:val="21"/>
                      </w:rPr>
                      <w:fldChar w:fldCharType="begin"/>
                    </w:r>
                    <w:r>
                      <w:rPr>
                        <w:rStyle w:val="20"/>
                        <w:rFonts w:ascii="宋体" w:hAnsi="宋体"/>
                        <w:sz w:val="21"/>
                        <w:szCs w:val="21"/>
                      </w:rPr>
                      <w:instrText xml:space="preserve"> PAGE </w:instrText>
                    </w:r>
                    <w:r>
                      <w:rPr>
                        <w:rStyle w:val="20"/>
                        <w:rFonts w:ascii="宋体" w:hAnsi="宋体"/>
                        <w:sz w:val="21"/>
                        <w:szCs w:val="21"/>
                      </w:rPr>
                      <w:fldChar w:fldCharType="separate"/>
                    </w:r>
                    <w:r>
                      <w:rPr>
                        <w:rStyle w:val="20"/>
                        <w:rFonts w:ascii="宋体" w:hAnsi="宋体"/>
                        <w:sz w:val="21"/>
                        <w:szCs w:val="21"/>
                      </w:rPr>
                      <w:t>- 2 -</w:t>
                    </w:r>
                    <w:r>
                      <w:rPr>
                        <w:rStyle w:val="20"/>
                        <w:rFonts w:ascii="宋体" w:hAnsi="宋体"/>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72720"/>
              <wp:effectExtent l="0" t="0" r="0" b="0"/>
              <wp:wrapNone/>
              <wp:docPr id="27" name="Text Box 2"/>
              <wp:cNvGraphicFramePr/>
              <a:graphic xmlns:a="http://schemas.openxmlformats.org/drawingml/2006/main">
                <a:graphicData uri="http://schemas.microsoft.com/office/word/2010/wordprocessingShape">
                  <wps:wsp>
                    <wps:cNvSpPr txBox="1">
                      <a:spLocks noChangeArrowheads="1"/>
                    </wps:cNvSpPr>
                    <wps:spPr bwMode="auto">
                      <a:xfrm>
                        <a:off x="0" y="0"/>
                        <a:ext cx="400685" cy="172720"/>
                      </a:xfrm>
                      <a:prstGeom prst="rect">
                        <a:avLst/>
                      </a:prstGeom>
                      <a:noFill/>
                      <a:ln>
                        <a:noFill/>
                      </a:ln>
                    </wps:spPr>
                    <wps:txbx>
                      <w:txbxContent>
                        <w:p>
                          <w:pPr>
                            <w:pStyle w:val="13"/>
                            <w:jc w:val="center"/>
                          </w:pPr>
                          <w:r>
                            <w:rPr>
                              <w:rFonts w:ascii="宋体" w:hAnsi="宋体"/>
                              <w:sz w:val="21"/>
                              <w:szCs w:val="21"/>
                            </w:rPr>
                            <w:fldChar w:fldCharType="begin"/>
                          </w:r>
                          <w:r>
                            <w:rPr>
                              <w:rStyle w:val="20"/>
                              <w:rFonts w:ascii="宋体" w:hAnsi="宋体"/>
                              <w:sz w:val="21"/>
                              <w:szCs w:val="21"/>
                            </w:rPr>
                            <w:instrText xml:space="preserve"> PAGE </w:instrText>
                          </w:r>
                          <w:r>
                            <w:rPr>
                              <w:rFonts w:ascii="宋体" w:hAnsi="宋体"/>
                              <w:sz w:val="21"/>
                              <w:szCs w:val="21"/>
                            </w:rPr>
                            <w:fldChar w:fldCharType="separate"/>
                          </w:r>
                          <w:r>
                            <w:rPr>
                              <w:rStyle w:val="20"/>
                              <w:rFonts w:ascii="宋体" w:hAnsi="宋体"/>
                              <w:sz w:val="21"/>
                              <w:szCs w:val="21"/>
                            </w:rPr>
                            <w:t>- 32 -</w:t>
                          </w:r>
                          <w:r>
                            <w:rPr>
                              <w:rFonts w:ascii="宋体" w:hAnsi="宋体"/>
                              <w:sz w:val="21"/>
                              <w:szCs w:val="21"/>
                            </w:rPr>
                            <w:fldChar w:fldCharType="end"/>
                          </w: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3.6pt;width:31.55pt;mso-position-horizontal:center;mso-position-horizontal-relative:margin;mso-wrap-style:none;z-index:251660288;mso-width-relative:page;mso-height-relative:page;" filled="f" stroked="f" coordsize="21600,21600" o:gfxdata="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Bgop2vRAAAAAwEAAA8AAAAAAAAAAQAgAAAAIgAAAGRycy9kb3ducmV2LnhtbFBLAQIU&#10;ABQAAAAIAIdO4kANMzC1+gEAAAIEAAAOAAAAAAAAAAEAIAAAACABAABkcnMvZTJvRG9jLnhtbFBL&#10;BQYAAAAABgAGAFkBAACMBQAAAAA=&#10;">
              <v:fill on="f" focussize="0,0"/>
              <v:stroke on="f"/>
              <v:imagedata o:title=""/>
              <o:lock v:ext="edit" aspectratio="f"/>
              <v:textbox inset="0mm,0mm,0mm,0mm" style="mso-fit-shape-to-text:t;">
                <w:txbxContent>
                  <w:p>
                    <w:pPr>
                      <w:pStyle w:val="13"/>
                      <w:jc w:val="center"/>
                    </w:pPr>
                    <w:r>
                      <w:rPr>
                        <w:rFonts w:ascii="宋体" w:hAnsi="宋体"/>
                        <w:sz w:val="21"/>
                        <w:szCs w:val="21"/>
                      </w:rPr>
                      <w:fldChar w:fldCharType="begin"/>
                    </w:r>
                    <w:r>
                      <w:rPr>
                        <w:rStyle w:val="20"/>
                        <w:rFonts w:ascii="宋体" w:hAnsi="宋体"/>
                        <w:sz w:val="21"/>
                        <w:szCs w:val="21"/>
                      </w:rPr>
                      <w:instrText xml:space="preserve"> PAGE </w:instrText>
                    </w:r>
                    <w:r>
                      <w:rPr>
                        <w:rFonts w:ascii="宋体" w:hAnsi="宋体"/>
                        <w:sz w:val="21"/>
                        <w:szCs w:val="21"/>
                      </w:rPr>
                      <w:fldChar w:fldCharType="separate"/>
                    </w:r>
                    <w:r>
                      <w:rPr>
                        <w:rStyle w:val="20"/>
                        <w:rFonts w:ascii="宋体" w:hAnsi="宋体"/>
                        <w:sz w:val="21"/>
                        <w:szCs w:val="21"/>
                      </w:rPr>
                      <w:t>- 32 -</w:t>
                    </w:r>
                    <w:r>
                      <w:rPr>
                        <w:rFonts w:ascii="宋体" w:hAnsi="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rPr>
        <w:szCs w:val="21"/>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rFonts w:ascii="方正仿宋_GBK" w:eastAsia="方正仿宋_GBK"/>
        <w:sz w:val="21"/>
        <w:szCs w:val="21"/>
      </w:rPr>
    </w:pPr>
    <w:r>
      <w:rPr>
        <w:rFonts w:hint="eastAsia" w:ascii="方正仿宋_GBK" w:eastAsia="方正仿宋_GBK"/>
        <w:sz w:val="21"/>
        <w:szCs w:val="21"/>
      </w:rPr>
      <w:t>重庆工商大学                                                           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NjJjNjJlN2U5YThkYzY4NzA0ODliMDA5YTFhNjkifQ=="/>
  </w:docVars>
  <w:rsids>
    <w:rsidRoot w:val="221B6C56"/>
    <w:rsid w:val="002F6CA4"/>
    <w:rsid w:val="0033706D"/>
    <w:rsid w:val="009267D5"/>
    <w:rsid w:val="00A73D3E"/>
    <w:rsid w:val="00B22705"/>
    <w:rsid w:val="00B909EF"/>
    <w:rsid w:val="00F77155"/>
    <w:rsid w:val="00F94838"/>
    <w:rsid w:val="04653A3F"/>
    <w:rsid w:val="063A75DB"/>
    <w:rsid w:val="08FD6983"/>
    <w:rsid w:val="095F13EB"/>
    <w:rsid w:val="0F3F4FE6"/>
    <w:rsid w:val="158E67C0"/>
    <w:rsid w:val="162E2871"/>
    <w:rsid w:val="1BC20431"/>
    <w:rsid w:val="218F3487"/>
    <w:rsid w:val="221B6C56"/>
    <w:rsid w:val="224C328B"/>
    <w:rsid w:val="22FB71CA"/>
    <w:rsid w:val="252742D5"/>
    <w:rsid w:val="270E1AA9"/>
    <w:rsid w:val="275C782B"/>
    <w:rsid w:val="28A148D6"/>
    <w:rsid w:val="2D5269EE"/>
    <w:rsid w:val="324F79A0"/>
    <w:rsid w:val="33541DC5"/>
    <w:rsid w:val="37595514"/>
    <w:rsid w:val="3A913CEC"/>
    <w:rsid w:val="3B0357CB"/>
    <w:rsid w:val="40BE2671"/>
    <w:rsid w:val="46084379"/>
    <w:rsid w:val="46FF5B67"/>
    <w:rsid w:val="48030BA0"/>
    <w:rsid w:val="4962207F"/>
    <w:rsid w:val="4BEE22C7"/>
    <w:rsid w:val="531D3D83"/>
    <w:rsid w:val="54AC624F"/>
    <w:rsid w:val="56B539C6"/>
    <w:rsid w:val="57B162CD"/>
    <w:rsid w:val="5A8D1BDF"/>
    <w:rsid w:val="5EC319E8"/>
    <w:rsid w:val="5FAE6830"/>
    <w:rsid w:val="60165CD1"/>
    <w:rsid w:val="60F07753"/>
    <w:rsid w:val="61B66E21"/>
    <w:rsid w:val="63632183"/>
    <w:rsid w:val="638A3F09"/>
    <w:rsid w:val="68BC3248"/>
    <w:rsid w:val="69322B2E"/>
    <w:rsid w:val="77986C57"/>
    <w:rsid w:val="794C2AA0"/>
    <w:rsid w:val="79CC49FF"/>
    <w:rsid w:val="7CB57555"/>
    <w:rsid w:val="7E9A798F"/>
    <w:rsid w:val="7FDB7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2"/>
    <w:basedOn w:val="1"/>
    <w:next w:val="1"/>
    <w:qFormat/>
    <w:uiPriority w:val="99"/>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semiHidden/>
    <w:unhideWhenUsed/>
    <w:qFormat/>
    <w:uiPriority w:val="99"/>
    <w:pPr>
      <w:ind w:firstLine="420" w:firstLineChars="200"/>
    </w:pPr>
  </w:style>
  <w:style w:type="paragraph" w:styleId="5">
    <w:name w:val="annotation text"/>
    <w:basedOn w:val="1"/>
    <w:link w:val="27"/>
    <w:qFormat/>
    <w:uiPriority w:val="0"/>
    <w:pPr>
      <w:jc w:val="left"/>
    </w:pPr>
  </w:style>
  <w:style w:type="paragraph" w:styleId="6">
    <w:name w:val="Body Text"/>
    <w:basedOn w:val="1"/>
    <w:next w:val="7"/>
    <w:unhideWhenUsed/>
    <w:qFormat/>
    <w:uiPriority w:val="99"/>
    <w:pPr>
      <w:spacing w:after="120"/>
    </w:pPr>
  </w:style>
  <w:style w:type="paragraph" w:styleId="7">
    <w:name w:val="Quote"/>
    <w:basedOn w:val="1"/>
    <w:next w:val="1"/>
    <w:qFormat/>
    <w:uiPriority w:val="0"/>
    <w:pPr>
      <w:widowControl/>
      <w:jc w:val="left"/>
    </w:pPr>
    <w:rPr>
      <w:rFonts w:ascii="Calibri" w:hAnsi="Calibri"/>
      <w:i/>
      <w:kern w:val="0"/>
      <w:sz w:val="24"/>
      <w:szCs w:val="24"/>
    </w:rPr>
  </w:style>
  <w:style w:type="paragraph" w:styleId="8">
    <w:name w:val="Body Text Indent"/>
    <w:basedOn w:val="1"/>
    <w:qFormat/>
    <w:uiPriority w:val="0"/>
    <w:pPr>
      <w:spacing w:line="700" w:lineRule="exact"/>
      <w:ind w:left="960"/>
    </w:pPr>
    <w:rPr>
      <w:sz w:val="44"/>
    </w:rPr>
  </w:style>
  <w:style w:type="paragraph" w:styleId="9">
    <w:name w:val="toc 3"/>
    <w:basedOn w:val="1"/>
    <w:next w:val="1"/>
    <w:qFormat/>
    <w:uiPriority w:val="39"/>
    <w:pPr>
      <w:ind w:left="840" w:leftChars="400"/>
    </w:pPr>
  </w:style>
  <w:style w:type="paragraph" w:styleId="10">
    <w:name w:val="Plain Text"/>
    <w:basedOn w:val="1"/>
    <w:qFormat/>
    <w:uiPriority w:val="0"/>
    <w:rPr>
      <w:rFonts w:ascii="宋体" w:hAnsi="Courier New"/>
      <w:sz w:val="21"/>
    </w:rPr>
  </w:style>
  <w:style w:type="paragraph" w:styleId="11">
    <w:name w:val="Date"/>
    <w:basedOn w:val="1"/>
    <w:next w:val="1"/>
    <w:qFormat/>
    <w:uiPriority w:val="0"/>
  </w:style>
  <w:style w:type="paragraph" w:styleId="12">
    <w:name w:val="Balloon Text"/>
    <w:basedOn w:val="1"/>
    <w:link w:val="25"/>
    <w:qFormat/>
    <w:uiPriority w:val="0"/>
    <w:rPr>
      <w:sz w:val="18"/>
      <w:szCs w:val="18"/>
    </w:rPr>
  </w:style>
  <w:style w:type="paragraph" w:styleId="13">
    <w:name w:val="footer"/>
    <w:basedOn w:val="1"/>
    <w:qFormat/>
    <w:uiPriority w:val="99"/>
    <w:pPr>
      <w:tabs>
        <w:tab w:val="center" w:pos="4153"/>
        <w:tab w:val="right" w:pos="8306"/>
      </w:tabs>
      <w:snapToGrid w:val="0"/>
      <w:jc w:val="left"/>
    </w:pPr>
    <w:rPr>
      <w:rFonts w:asciiTheme="minorHAnsi" w:hAnsiTheme="minorHAnsi" w:eastAsiaTheme="minorEastAsia" w:cstheme="minorBidi"/>
      <w:sz w:val="18"/>
      <w:szCs w:val="22"/>
    </w:rPr>
  </w:style>
  <w:style w:type="paragraph" w:styleId="14">
    <w:name w:val="header"/>
    <w:basedOn w:val="1"/>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22"/>
    </w:rPr>
  </w:style>
  <w:style w:type="paragraph" w:styleId="15">
    <w:name w:val="toc 2"/>
    <w:basedOn w:val="1"/>
    <w:next w:val="1"/>
    <w:qFormat/>
    <w:uiPriority w:val="39"/>
    <w:pPr>
      <w:ind w:left="420" w:leftChars="200"/>
    </w:pPr>
  </w:style>
  <w:style w:type="paragraph" w:styleId="16">
    <w:name w:val="annotation subject"/>
    <w:basedOn w:val="5"/>
    <w:next w:val="5"/>
    <w:link w:val="28"/>
    <w:qFormat/>
    <w:uiPriority w:val="0"/>
    <w:rPr>
      <w:b/>
      <w:bCs/>
    </w:rPr>
  </w:style>
  <w:style w:type="paragraph" w:styleId="17">
    <w:name w:val="Body Text First Indent"/>
    <w:basedOn w:val="6"/>
    <w:next w:val="1"/>
    <w:qFormat/>
    <w:uiPriority w:val="0"/>
    <w:pPr>
      <w:spacing w:line="360" w:lineRule="auto"/>
      <w:ind w:firstLine="420"/>
    </w:pPr>
    <w:rPr>
      <w:rFonts w:ascii="宋体" w:hAnsi="宋体"/>
      <w:sz w:val="24"/>
    </w:rPr>
  </w:style>
  <w:style w:type="character" w:styleId="20">
    <w:name w:val="page number"/>
    <w:basedOn w:val="19"/>
    <w:qFormat/>
    <w:uiPriority w:val="99"/>
  </w:style>
  <w:style w:type="character" w:styleId="21">
    <w:name w:val="annotation reference"/>
    <w:basedOn w:val="19"/>
    <w:qFormat/>
    <w:uiPriority w:val="0"/>
    <w:rPr>
      <w:sz w:val="21"/>
      <w:szCs w:val="21"/>
    </w:rPr>
  </w:style>
  <w:style w:type="character" w:customStyle="1" w:styleId="22">
    <w:name w:val="font31"/>
    <w:basedOn w:val="19"/>
    <w:qFormat/>
    <w:uiPriority w:val="0"/>
    <w:rPr>
      <w:rFonts w:hint="eastAsia" w:ascii="宋体" w:hAnsi="宋体" w:eastAsia="宋体" w:cs="宋体"/>
      <w:color w:val="000000"/>
      <w:sz w:val="22"/>
      <w:szCs w:val="22"/>
      <w:u w:val="none"/>
    </w:rPr>
  </w:style>
  <w:style w:type="paragraph" w:styleId="23">
    <w:name w:val="List Paragraph"/>
    <w:basedOn w:val="1"/>
    <w:qFormat/>
    <w:uiPriority w:val="34"/>
    <w:pPr>
      <w:ind w:firstLine="420" w:firstLineChars="200"/>
    </w:pPr>
    <w:rPr>
      <w:rFonts w:asciiTheme="minorHAnsi" w:hAnsiTheme="minorHAnsi" w:eastAsiaTheme="minorEastAsia" w:cstheme="minorBidi"/>
      <w:sz w:val="21"/>
      <w:szCs w:val="22"/>
    </w:rPr>
  </w:style>
  <w:style w:type="paragraph" w:customStyle="1" w:styleId="24">
    <w:name w:val="1"/>
    <w:basedOn w:val="1"/>
    <w:next w:val="10"/>
    <w:qFormat/>
    <w:uiPriority w:val="0"/>
    <w:rPr>
      <w:rFonts w:ascii="宋体" w:hAnsi="Courier New"/>
      <w:sz w:val="21"/>
    </w:rPr>
  </w:style>
  <w:style w:type="character" w:customStyle="1" w:styleId="25">
    <w:name w:val="批注框文本 字符"/>
    <w:basedOn w:val="19"/>
    <w:link w:val="12"/>
    <w:qFormat/>
    <w:uiPriority w:val="0"/>
    <w:rPr>
      <w:kern w:val="2"/>
      <w:sz w:val="18"/>
      <w:szCs w:val="18"/>
    </w:rPr>
  </w:style>
  <w:style w:type="paragraph" w:customStyle="1" w:styleId="26">
    <w:name w:val="Revision"/>
    <w:hidden/>
    <w:unhideWhenUsed/>
    <w:qFormat/>
    <w:uiPriority w:val="99"/>
    <w:rPr>
      <w:rFonts w:ascii="Times New Roman" w:hAnsi="Times New Roman" w:eastAsia="宋体" w:cs="Times New Roman"/>
      <w:kern w:val="2"/>
      <w:sz w:val="28"/>
      <w:lang w:val="en-US" w:eastAsia="zh-CN" w:bidi="ar-SA"/>
    </w:rPr>
  </w:style>
  <w:style w:type="character" w:customStyle="1" w:styleId="27">
    <w:name w:val="批注文字 字符"/>
    <w:basedOn w:val="19"/>
    <w:link w:val="5"/>
    <w:qFormat/>
    <w:uiPriority w:val="0"/>
    <w:rPr>
      <w:kern w:val="2"/>
      <w:sz w:val="28"/>
    </w:rPr>
  </w:style>
  <w:style w:type="character" w:customStyle="1" w:styleId="28">
    <w:name w:val="批注主题 字符"/>
    <w:basedOn w:val="27"/>
    <w:link w:val="16"/>
    <w:qFormat/>
    <w:uiPriority w:val="0"/>
    <w:rPr>
      <w:b/>
      <w:bCs/>
      <w:kern w:val="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33</Pages>
  <Words>18385</Words>
  <Characters>19378</Characters>
  <Lines>165</Lines>
  <Paragraphs>46</Paragraphs>
  <TotalTime>2</TotalTime>
  <ScaleCrop>false</ScaleCrop>
  <LinksUpToDate>false</LinksUpToDate>
  <CharactersWithSpaces>20357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2023-08-13T02:31:00Z</dcterms:created>
  <dc:creator>阎晗</dc:creator>
  <cp:lastModifiedBy>阎晗</cp:lastModifiedBy>
  <dcterms:modified xsi:type="dcterms:W3CDTF">2023-08-28T09:49:53Z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F8CDC8F429E14B259D1DC93C37A7BE93_11</vt:lpwstr>
  </property>
</Properties>
</file>