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056D6">
      <w:pPr>
        <w:pStyle w:val="25"/>
        <w:rPr>
          <w:color w:val="auto"/>
          <w:highlight w:val="none"/>
        </w:rPr>
      </w:pPr>
    </w:p>
    <w:p w14:paraId="499010A1">
      <w:pPr>
        <w:spacing w:line="1600" w:lineRule="exact"/>
        <w:jc w:val="center"/>
        <w:outlineLvl w:val="0"/>
        <w:rPr>
          <w:rFonts w:ascii="宋体" w:hAnsi="宋体" w:cs="宋体"/>
          <w:color w:val="auto"/>
          <w:sz w:val="130"/>
          <w:szCs w:val="130"/>
          <w:highlight w:val="none"/>
        </w:rPr>
      </w:pPr>
    </w:p>
    <w:p w14:paraId="36DAD5DE">
      <w:pPr>
        <w:spacing w:line="1600" w:lineRule="exact"/>
        <w:jc w:val="center"/>
        <w:outlineLvl w:val="0"/>
        <w:rPr>
          <w:rFonts w:ascii="宋体" w:hAnsi="宋体" w:cs="宋体"/>
          <w:color w:val="auto"/>
          <w:sz w:val="130"/>
          <w:szCs w:val="130"/>
          <w:highlight w:val="none"/>
        </w:rPr>
      </w:pPr>
      <w:r>
        <w:rPr>
          <w:rFonts w:hint="eastAsia" w:ascii="宋体" w:hAnsi="宋体" w:cs="宋体"/>
          <w:color w:val="auto"/>
          <w:sz w:val="130"/>
          <w:szCs w:val="130"/>
          <w:highlight w:val="none"/>
        </w:rPr>
        <w:t>招 标 文 件</w:t>
      </w:r>
    </w:p>
    <w:p w14:paraId="044B7646">
      <w:pPr>
        <w:pStyle w:val="8"/>
        <w:spacing w:line="500" w:lineRule="exact"/>
        <w:ind w:left="0"/>
        <w:jc w:val="center"/>
        <w:rPr>
          <w:rFonts w:ascii="宋体" w:hAnsi="宋体" w:cs="宋体"/>
          <w:color w:val="auto"/>
          <w:sz w:val="32"/>
          <w:highlight w:val="none"/>
        </w:rPr>
      </w:pPr>
    </w:p>
    <w:p w14:paraId="5E051FFD">
      <w:pPr>
        <w:pStyle w:val="8"/>
        <w:spacing w:line="500" w:lineRule="exact"/>
        <w:ind w:left="0"/>
        <w:jc w:val="center"/>
        <w:rPr>
          <w:rFonts w:ascii="宋体" w:hAnsi="宋体" w:cs="宋体"/>
          <w:color w:val="auto"/>
          <w:sz w:val="32"/>
          <w:highlight w:val="none"/>
        </w:rPr>
      </w:pPr>
    </w:p>
    <w:p w14:paraId="05A90E78">
      <w:pPr>
        <w:pStyle w:val="8"/>
        <w:spacing w:line="500" w:lineRule="exact"/>
        <w:ind w:left="0"/>
        <w:jc w:val="center"/>
        <w:rPr>
          <w:rFonts w:ascii="宋体" w:hAnsi="宋体" w:cs="宋体"/>
          <w:color w:val="auto"/>
          <w:sz w:val="32"/>
          <w:highlight w:val="none"/>
        </w:rPr>
      </w:pPr>
    </w:p>
    <w:p w14:paraId="419CD81A">
      <w:pPr>
        <w:pStyle w:val="8"/>
        <w:spacing w:line="500" w:lineRule="exact"/>
        <w:ind w:left="0"/>
        <w:jc w:val="center"/>
        <w:rPr>
          <w:rFonts w:ascii="宋体" w:hAnsi="宋体" w:cs="宋体"/>
          <w:color w:val="auto"/>
          <w:sz w:val="32"/>
          <w:highlight w:val="none"/>
        </w:rPr>
      </w:pPr>
    </w:p>
    <w:p w14:paraId="391B345D">
      <w:pPr>
        <w:pStyle w:val="8"/>
        <w:spacing w:line="500" w:lineRule="exact"/>
        <w:ind w:left="0"/>
        <w:jc w:val="center"/>
        <w:rPr>
          <w:rFonts w:ascii="宋体" w:hAnsi="宋体" w:cs="宋体"/>
          <w:color w:val="auto"/>
          <w:sz w:val="32"/>
          <w:highlight w:val="none"/>
        </w:rPr>
      </w:pPr>
    </w:p>
    <w:p w14:paraId="63B4A23C">
      <w:pPr>
        <w:pStyle w:val="8"/>
        <w:spacing w:line="500" w:lineRule="exact"/>
        <w:ind w:left="0"/>
        <w:jc w:val="center"/>
        <w:rPr>
          <w:rFonts w:ascii="宋体" w:hAnsi="宋体" w:cs="宋体"/>
          <w:color w:val="auto"/>
          <w:sz w:val="32"/>
          <w:highlight w:val="none"/>
        </w:rPr>
      </w:pPr>
    </w:p>
    <w:p w14:paraId="23C0B875">
      <w:pPr>
        <w:pStyle w:val="8"/>
        <w:spacing w:line="500" w:lineRule="exact"/>
        <w:ind w:left="0"/>
        <w:jc w:val="center"/>
        <w:rPr>
          <w:rFonts w:ascii="宋体" w:hAnsi="宋体" w:cs="宋体"/>
          <w:color w:val="auto"/>
          <w:sz w:val="32"/>
          <w:highlight w:val="none"/>
        </w:rPr>
      </w:pPr>
    </w:p>
    <w:p w14:paraId="3371201E">
      <w:pPr>
        <w:pStyle w:val="8"/>
        <w:spacing w:line="500" w:lineRule="exact"/>
        <w:ind w:left="0"/>
        <w:jc w:val="center"/>
        <w:rPr>
          <w:rFonts w:ascii="宋体" w:hAnsi="宋体" w:cs="宋体"/>
          <w:color w:val="auto"/>
          <w:sz w:val="32"/>
          <w:highlight w:val="none"/>
        </w:rPr>
      </w:pPr>
    </w:p>
    <w:p w14:paraId="15EA00E8">
      <w:pPr>
        <w:spacing w:line="360" w:lineRule="auto"/>
        <w:ind w:firstLine="2247" w:firstLineChars="746"/>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采购项目编号：CTBU-JZ2025197</w:t>
      </w:r>
    </w:p>
    <w:p w14:paraId="4D318E3C">
      <w:pPr>
        <w:spacing w:line="360" w:lineRule="auto"/>
        <w:ind w:left="4484" w:leftChars="799" w:hanging="2247" w:hangingChars="746"/>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采购项目名称：重庆工商大学2026-2029教材服务商采购项目</w:t>
      </w:r>
    </w:p>
    <w:p w14:paraId="012A785B">
      <w:pPr>
        <w:pStyle w:val="8"/>
        <w:spacing w:line="500" w:lineRule="exact"/>
        <w:ind w:left="0"/>
        <w:jc w:val="center"/>
        <w:rPr>
          <w:rFonts w:ascii="宋体" w:hAnsi="宋体" w:cs="宋体"/>
          <w:color w:val="auto"/>
          <w:sz w:val="32"/>
          <w:highlight w:val="none"/>
        </w:rPr>
      </w:pPr>
    </w:p>
    <w:p w14:paraId="5557E564">
      <w:pPr>
        <w:pStyle w:val="8"/>
        <w:spacing w:line="500" w:lineRule="exact"/>
        <w:ind w:left="0"/>
        <w:jc w:val="center"/>
        <w:rPr>
          <w:rFonts w:ascii="宋体" w:hAnsi="宋体" w:cs="宋体"/>
          <w:color w:val="auto"/>
          <w:sz w:val="32"/>
          <w:highlight w:val="none"/>
        </w:rPr>
      </w:pPr>
    </w:p>
    <w:p w14:paraId="28081F39">
      <w:pPr>
        <w:pStyle w:val="8"/>
        <w:spacing w:line="500" w:lineRule="exact"/>
        <w:ind w:left="0"/>
        <w:jc w:val="center"/>
        <w:rPr>
          <w:rFonts w:ascii="宋体" w:hAnsi="宋体" w:cs="宋体"/>
          <w:color w:val="auto"/>
          <w:sz w:val="32"/>
          <w:highlight w:val="none"/>
        </w:rPr>
      </w:pPr>
    </w:p>
    <w:p w14:paraId="5AA2903E">
      <w:pPr>
        <w:pStyle w:val="8"/>
        <w:spacing w:line="500" w:lineRule="exact"/>
        <w:ind w:left="0"/>
        <w:jc w:val="center"/>
        <w:rPr>
          <w:rFonts w:ascii="宋体" w:hAnsi="宋体" w:cs="宋体"/>
          <w:color w:val="auto"/>
          <w:sz w:val="32"/>
          <w:highlight w:val="none"/>
        </w:rPr>
      </w:pPr>
    </w:p>
    <w:p w14:paraId="29847FC1">
      <w:pPr>
        <w:spacing w:line="500" w:lineRule="exact"/>
        <w:jc w:val="center"/>
        <w:rPr>
          <w:rFonts w:ascii="宋体" w:hAnsi="宋体" w:cs="宋体"/>
          <w:color w:val="auto"/>
          <w:sz w:val="36"/>
          <w:szCs w:val="36"/>
          <w:highlight w:val="none"/>
        </w:rPr>
      </w:pPr>
    </w:p>
    <w:p w14:paraId="5B25D1CC">
      <w:pPr>
        <w:spacing w:line="360" w:lineRule="auto"/>
        <w:ind w:firstLine="2520" w:firstLineChars="700"/>
        <w:outlineLvl w:val="0"/>
        <w:rPr>
          <w:rFonts w:ascii="宋体" w:hAnsi="宋体" w:cs="宋体"/>
          <w:color w:val="auto"/>
          <w:sz w:val="36"/>
          <w:szCs w:val="36"/>
          <w:highlight w:val="none"/>
        </w:rPr>
      </w:pPr>
      <w:r>
        <w:rPr>
          <w:rFonts w:hint="eastAsia" w:ascii="宋体" w:hAnsi="宋体" w:cs="宋体"/>
          <w:color w:val="auto"/>
          <w:sz w:val="36"/>
          <w:szCs w:val="36"/>
          <w:highlight w:val="none"/>
        </w:rPr>
        <w:t>采  购  人：重庆工商大学</w:t>
      </w:r>
    </w:p>
    <w:p w14:paraId="54EE7246">
      <w:pPr>
        <w:snapToGrid w:val="0"/>
        <w:spacing w:line="500" w:lineRule="exact"/>
        <w:jc w:val="center"/>
        <w:rPr>
          <w:rFonts w:ascii="宋体" w:hAnsi="宋体" w:cs="宋体"/>
          <w:color w:val="auto"/>
          <w:sz w:val="36"/>
          <w:szCs w:val="36"/>
          <w:highlight w:val="none"/>
        </w:rPr>
      </w:pPr>
    </w:p>
    <w:p w14:paraId="5AA2C83C">
      <w:pPr>
        <w:snapToGrid w:val="0"/>
        <w:spacing w:line="500" w:lineRule="exact"/>
        <w:jc w:val="center"/>
        <w:rPr>
          <w:rFonts w:ascii="宋体" w:hAnsi="宋体" w:cs="宋体"/>
          <w:color w:val="auto"/>
          <w:sz w:val="36"/>
          <w:szCs w:val="36"/>
          <w:highlight w:val="none"/>
        </w:rPr>
      </w:pPr>
      <w:r>
        <w:rPr>
          <w:rFonts w:hint="eastAsia" w:ascii="宋体" w:hAnsi="宋体" w:cs="宋体"/>
          <w:color w:val="auto"/>
          <w:sz w:val="36"/>
          <w:szCs w:val="36"/>
          <w:highlight w:val="none"/>
        </w:rPr>
        <w:t>二〇二六年三月</w:t>
      </w:r>
    </w:p>
    <w:p w14:paraId="31E899B6">
      <w:pPr>
        <w:pStyle w:val="6"/>
        <w:ind w:firstLine="0"/>
        <w:rPr>
          <w:rFonts w:ascii="宋体" w:hAnsi="宋体" w:cs="宋体"/>
          <w:color w:val="auto"/>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435DB4E2">
      <w:pPr>
        <w:snapToGrid w:val="0"/>
        <w:spacing w:line="500" w:lineRule="exact"/>
        <w:jc w:val="center"/>
        <w:rPr>
          <w:rFonts w:ascii="宋体" w:hAnsi="宋体" w:cs="宋体"/>
          <w:color w:val="auto"/>
          <w:sz w:val="44"/>
          <w:highlight w:val="none"/>
        </w:rPr>
      </w:pPr>
      <w:r>
        <w:rPr>
          <w:rFonts w:hint="eastAsia" w:ascii="宋体" w:hAnsi="宋体" w:cs="宋体"/>
          <w:color w:val="auto"/>
          <w:sz w:val="44"/>
          <w:highlight w:val="none"/>
        </w:rPr>
        <w:t>目  录</w:t>
      </w:r>
    </w:p>
    <w:p w14:paraId="7CF10CCD">
      <w:pPr>
        <w:pStyle w:val="15"/>
        <w:tabs>
          <w:tab w:val="right" w:leader="dot" w:pos="9412"/>
          <w:tab w:val="clear" w:pos="1260"/>
          <w:tab w:val="clear" w:pos="1685"/>
          <w:tab w:val="clear" w:pos="8400"/>
        </w:tabs>
        <w:ind w:firstLine="210"/>
        <w:rPr>
          <w:color w:val="auto"/>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TOC \o "1-2" \h \z </w:instrText>
      </w:r>
      <w:r>
        <w:rPr>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"_Toc24040" </w:instrText>
      </w:r>
      <w:r>
        <w:rPr>
          <w:color w:val="auto"/>
          <w:highlight w:val="none"/>
        </w:rPr>
        <w:fldChar w:fldCharType="separate"/>
      </w:r>
      <w:r>
        <w:rPr>
          <w:rFonts w:hint="eastAsia" w:ascii="宋体" w:hAnsi="宋体" w:cs="宋体"/>
          <w:bCs/>
          <w:color w:val="auto"/>
          <w:highlight w:val="none"/>
        </w:rPr>
        <w:t>第一篇 投标邀请书</w:t>
      </w:r>
      <w:r>
        <w:rPr>
          <w:color w:val="auto"/>
          <w:highlight w:val="none"/>
        </w:rPr>
        <w:tab/>
      </w:r>
      <w:r>
        <w:rPr>
          <w:color w:val="auto"/>
          <w:highlight w:val="none"/>
        </w:rPr>
        <w:fldChar w:fldCharType="begin"/>
      </w:r>
      <w:r>
        <w:rPr>
          <w:color w:val="auto"/>
          <w:highlight w:val="none"/>
        </w:rPr>
        <w:instrText xml:space="preserve"> PAGEREF _Toc24040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46851859">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"_Toc12759" </w:instrText>
      </w:r>
      <w:r>
        <w:rPr>
          <w:color w:val="auto"/>
          <w:highlight w:val="none"/>
        </w:rPr>
        <w:fldChar w:fldCharType="separate"/>
      </w:r>
      <w:r>
        <w:rPr>
          <w:rFonts w:hint="eastAsia" w:cs="宋体"/>
          <w:color w:val="auto"/>
          <w:highlight w:val="none"/>
        </w:rPr>
        <w:t>一、招标项目内容</w:t>
      </w:r>
      <w:r>
        <w:rPr>
          <w:color w:val="auto"/>
          <w:highlight w:val="none"/>
        </w:rPr>
        <w:tab/>
      </w:r>
      <w:r>
        <w:rPr>
          <w:color w:val="auto"/>
          <w:highlight w:val="none"/>
        </w:rPr>
        <w:fldChar w:fldCharType="begin"/>
      </w:r>
      <w:r>
        <w:rPr>
          <w:color w:val="auto"/>
          <w:highlight w:val="none"/>
        </w:rPr>
        <w:instrText xml:space="preserve"> PAGEREF _Toc12759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7B03DC2E">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"_Toc18826" </w:instrText>
      </w:r>
      <w:r>
        <w:rPr>
          <w:color w:val="auto"/>
          <w:highlight w:val="none"/>
        </w:rPr>
        <w:fldChar w:fldCharType="separate"/>
      </w:r>
      <w:r>
        <w:rPr>
          <w:rFonts w:hint="eastAsia" w:cs="宋体"/>
          <w:color w:val="auto"/>
          <w:highlight w:val="none"/>
        </w:rPr>
        <w:t>二、资金来源</w:t>
      </w:r>
      <w:r>
        <w:rPr>
          <w:color w:val="auto"/>
          <w:highlight w:val="none"/>
        </w:rPr>
        <w:tab/>
      </w:r>
      <w:r>
        <w:rPr>
          <w:color w:val="auto"/>
          <w:highlight w:val="none"/>
        </w:rPr>
        <w:fldChar w:fldCharType="begin"/>
      </w:r>
      <w:r>
        <w:rPr>
          <w:color w:val="auto"/>
          <w:highlight w:val="none"/>
        </w:rPr>
        <w:instrText xml:space="preserve"> PAGEREF _Toc18826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5E22C659">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"_Toc26461" </w:instrText>
      </w:r>
      <w:r>
        <w:rPr>
          <w:color w:val="auto"/>
          <w:highlight w:val="none"/>
        </w:rPr>
        <w:fldChar w:fldCharType="separate"/>
      </w:r>
      <w:r>
        <w:rPr>
          <w:rFonts w:hint="eastAsia" w:cs="宋体"/>
          <w:color w:val="auto"/>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_Toc26461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77202510">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"_Toc16589" </w:instrText>
      </w:r>
      <w:r>
        <w:rPr>
          <w:color w:val="auto"/>
          <w:highlight w:val="none"/>
        </w:rPr>
        <w:fldChar w:fldCharType="separate"/>
      </w:r>
      <w:r>
        <w:rPr>
          <w:rFonts w:hint="eastAsia" w:cs="宋体"/>
          <w:color w:val="auto"/>
          <w:highlight w:val="none"/>
        </w:rPr>
        <w:t>四、投标、开标有关说明</w:t>
      </w:r>
      <w:r>
        <w:rPr>
          <w:color w:val="auto"/>
          <w:highlight w:val="none"/>
        </w:rPr>
        <w:tab/>
      </w:r>
      <w:r>
        <w:rPr>
          <w:color w:val="auto"/>
          <w:highlight w:val="none"/>
        </w:rPr>
        <w:fldChar w:fldCharType="begin"/>
      </w:r>
      <w:r>
        <w:rPr>
          <w:color w:val="auto"/>
          <w:highlight w:val="none"/>
        </w:rPr>
        <w:instrText xml:space="preserve"> PAGEREF _Toc16589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273AC3C3">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"_Toc14000" </w:instrText>
      </w:r>
      <w:r>
        <w:rPr>
          <w:color w:val="auto"/>
          <w:highlight w:val="none"/>
        </w:rPr>
        <w:fldChar w:fldCharType="separate"/>
      </w:r>
      <w:r>
        <w:rPr>
          <w:rFonts w:hint="eastAsia" w:cs="宋体"/>
          <w:color w:val="auto"/>
          <w:highlight w:val="none"/>
        </w:rPr>
        <w:t>五、招标文件购买费、投标保证金</w:t>
      </w:r>
      <w:r>
        <w:rPr>
          <w:color w:val="auto"/>
          <w:highlight w:val="none"/>
        </w:rPr>
        <w:tab/>
      </w:r>
      <w:r>
        <w:rPr>
          <w:color w:val="auto"/>
          <w:highlight w:val="none"/>
        </w:rPr>
        <w:fldChar w:fldCharType="begin"/>
      </w:r>
      <w:r>
        <w:rPr>
          <w:color w:val="auto"/>
          <w:highlight w:val="none"/>
        </w:rPr>
        <w:instrText xml:space="preserve"> PAGEREF _Toc14000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1474C784">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"_Toc15779" </w:instrText>
      </w:r>
      <w:r>
        <w:rPr>
          <w:color w:val="auto"/>
          <w:highlight w:val="none"/>
        </w:rPr>
        <w:fldChar w:fldCharType="separate"/>
      </w:r>
      <w:r>
        <w:rPr>
          <w:rFonts w:hint="eastAsia" w:cs="宋体"/>
          <w:color w:val="auto"/>
          <w:highlight w:val="none"/>
        </w:rPr>
        <w:t>六、投标有关规定</w:t>
      </w:r>
      <w:r>
        <w:rPr>
          <w:color w:val="auto"/>
          <w:highlight w:val="none"/>
        </w:rPr>
        <w:tab/>
      </w:r>
      <w:r>
        <w:rPr>
          <w:color w:val="auto"/>
          <w:highlight w:val="none"/>
        </w:rPr>
        <w:fldChar w:fldCharType="begin"/>
      </w:r>
      <w:r>
        <w:rPr>
          <w:color w:val="auto"/>
          <w:highlight w:val="none"/>
        </w:rPr>
        <w:instrText xml:space="preserve"> PAGEREF _Toc15779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14:paraId="5F16C4DB">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"_Toc24940" </w:instrText>
      </w:r>
      <w:r>
        <w:rPr>
          <w:color w:val="auto"/>
          <w:highlight w:val="none"/>
        </w:rPr>
        <w:fldChar w:fldCharType="separate"/>
      </w:r>
      <w:r>
        <w:rPr>
          <w:rFonts w:hint="eastAsia" w:cs="宋体"/>
          <w:color w:val="auto"/>
          <w:highlight w:val="none"/>
        </w:rPr>
        <w:t>七、联系方式</w:t>
      </w:r>
      <w:r>
        <w:rPr>
          <w:color w:val="auto"/>
          <w:highlight w:val="none"/>
        </w:rPr>
        <w:tab/>
      </w:r>
      <w:r>
        <w:rPr>
          <w:color w:val="auto"/>
          <w:highlight w:val="none"/>
        </w:rPr>
        <w:fldChar w:fldCharType="begin"/>
      </w:r>
      <w:r>
        <w:rPr>
          <w:color w:val="auto"/>
          <w:highlight w:val="none"/>
        </w:rPr>
        <w:instrText xml:space="preserve"> PAGEREF _Toc24940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14:paraId="078ADE5A">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"_Toc13529" </w:instrText>
      </w:r>
      <w:r>
        <w:rPr>
          <w:color w:val="auto"/>
          <w:highlight w:val="none"/>
        </w:rPr>
        <w:fldChar w:fldCharType="separate"/>
      </w:r>
      <w:r>
        <w:rPr>
          <w:rFonts w:hint="eastAsia" w:cs="宋体"/>
          <w:color w:val="auto"/>
          <w:highlight w:val="none"/>
        </w:rPr>
        <w:t>八、其他要求</w:t>
      </w:r>
      <w:r>
        <w:rPr>
          <w:color w:val="auto"/>
          <w:highlight w:val="none"/>
        </w:rPr>
        <w:tab/>
      </w:r>
      <w:r>
        <w:rPr>
          <w:color w:val="auto"/>
          <w:highlight w:val="none"/>
        </w:rPr>
        <w:fldChar w:fldCharType="begin"/>
      </w:r>
      <w:r>
        <w:rPr>
          <w:color w:val="auto"/>
          <w:highlight w:val="none"/>
        </w:rPr>
        <w:instrText xml:space="preserve"> PAGEREF _Toc13529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14:paraId="7580DF89">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"_Toc1064" </w:instrText>
      </w:r>
      <w:r>
        <w:rPr>
          <w:color w:val="auto"/>
          <w:highlight w:val="none"/>
        </w:rPr>
        <w:fldChar w:fldCharType="separate"/>
      </w:r>
      <w:r>
        <w:rPr>
          <w:rFonts w:hint="eastAsia" w:ascii="宋体" w:hAnsi="宋体" w:cs="宋体"/>
          <w:bCs/>
          <w:color w:val="auto"/>
          <w:highlight w:val="none"/>
        </w:rPr>
        <w:t>第二篇 项目服务需求</w:t>
      </w:r>
      <w:r>
        <w:rPr>
          <w:color w:val="auto"/>
          <w:highlight w:val="none"/>
        </w:rPr>
        <w:tab/>
      </w:r>
      <w:r>
        <w:rPr>
          <w:color w:val="auto"/>
          <w:highlight w:val="none"/>
        </w:rPr>
        <w:fldChar w:fldCharType="begin"/>
      </w:r>
      <w:r>
        <w:rPr>
          <w:color w:val="auto"/>
          <w:highlight w:val="none"/>
        </w:rPr>
        <w:instrText xml:space="preserve"> PAGEREF _Toc1064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14:paraId="6C0C777D">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"_Toc26538" </w:instrText>
      </w:r>
      <w:r>
        <w:rPr>
          <w:color w:val="auto"/>
          <w:highlight w:val="none"/>
        </w:rPr>
        <w:fldChar w:fldCharType="separate"/>
      </w:r>
      <w:r>
        <w:rPr>
          <w:rFonts w:hint="eastAsia" w:cs="宋体"/>
          <w:color w:val="auto"/>
          <w:szCs w:val="24"/>
          <w:highlight w:val="none"/>
        </w:rPr>
        <w:t>一、招标项目一览表</w:t>
      </w:r>
      <w:r>
        <w:rPr>
          <w:color w:val="auto"/>
          <w:highlight w:val="none"/>
        </w:rPr>
        <w:tab/>
      </w:r>
      <w:r>
        <w:rPr>
          <w:color w:val="auto"/>
          <w:highlight w:val="none"/>
        </w:rPr>
        <w:fldChar w:fldCharType="begin"/>
      </w:r>
      <w:r>
        <w:rPr>
          <w:color w:val="auto"/>
          <w:highlight w:val="none"/>
        </w:rPr>
        <w:instrText xml:space="preserve"> PAGEREF _Toc26538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14:paraId="3550E5D4">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"_Toc32328" </w:instrText>
      </w:r>
      <w:r>
        <w:rPr>
          <w:color w:val="auto"/>
          <w:highlight w:val="none"/>
        </w:rPr>
        <w:fldChar w:fldCharType="separate"/>
      </w:r>
      <w:r>
        <w:rPr>
          <w:rFonts w:hint="eastAsia" w:cs="宋体"/>
          <w:color w:val="auto"/>
          <w:szCs w:val="24"/>
          <w:highlight w:val="none"/>
        </w:rPr>
        <w:t>二、项目服务需求</w:t>
      </w:r>
      <w:r>
        <w:rPr>
          <w:color w:val="auto"/>
          <w:highlight w:val="none"/>
        </w:rPr>
        <w:tab/>
      </w:r>
      <w:r>
        <w:rPr>
          <w:color w:val="auto"/>
          <w:highlight w:val="none"/>
        </w:rPr>
        <w:fldChar w:fldCharType="begin"/>
      </w:r>
      <w:r>
        <w:rPr>
          <w:color w:val="auto"/>
          <w:highlight w:val="none"/>
        </w:rPr>
        <w:instrText xml:space="preserve"> PAGEREF _Toc32328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14:paraId="7B8DD3BF">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"_Toc5807" </w:instrText>
      </w:r>
      <w:r>
        <w:rPr>
          <w:color w:val="auto"/>
          <w:highlight w:val="none"/>
        </w:rPr>
        <w:fldChar w:fldCharType="separate"/>
      </w:r>
      <w:r>
        <w:rPr>
          <w:rFonts w:hint="eastAsia" w:ascii="宋体" w:hAnsi="宋体" w:cs="宋体"/>
          <w:bCs/>
          <w:color w:val="auto"/>
          <w:highlight w:val="none"/>
        </w:rPr>
        <w:t>第三篇  项目商务需求</w:t>
      </w:r>
      <w:r>
        <w:rPr>
          <w:color w:val="auto"/>
          <w:highlight w:val="none"/>
        </w:rPr>
        <w:tab/>
      </w:r>
      <w:r>
        <w:rPr>
          <w:color w:val="auto"/>
          <w:highlight w:val="none"/>
        </w:rPr>
        <w:fldChar w:fldCharType="begin"/>
      </w:r>
      <w:r>
        <w:rPr>
          <w:color w:val="auto"/>
          <w:highlight w:val="none"/>
        </w:rPr>
        <w:instrText xml:space="preserve"> PAGEREF _Toc5807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14:paraId="0B014F82">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"_Toc6560" </w:instrText>
      </w:r>
      <w:r>
        <w:rPr>
          <w:color w:val="auto"/>
          <w:highlight w:val="none"/>
        </w:rPr>
        <w:fldChar w:fldCharType="separate"/>
      </w:r>
      <w:r>
        <w:rPr>
          <w:rFonts w:hint="eastAsia" w:cs="宋体"/>
          <w:bCs/>
          <w:color w:val="auto"/>
          <w:szCs w:val="24"/>
          <w:highlight w:val="none"/>
        </w:rPr>
        <w:t>一、服务期、服务地点及验收方式</w:t>
      </w:r>
      <w:r>
        <w:rPr>
          <w:color w:val="auto"/>
          <w:highlight w:val="none"/>
        </w:rPr>
        <w:tab/>
      </w:r>
      <w:r>
        <w:rPr>
          <w:color w:val="auto"/>
          <w:highlight w:val="none"/>
        </w:rPr>
        <w:fldChar w:fldCharType="begin"/>
      </w:r>
      <w:r>
        <w:rPr>
          <w:color w:val="auto"/>
          <w:highlight w:val="none"/>
        </w:rPr>
        <w:instrText xml:space="preserve"> PAGEREF _Toc6560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14:paraId="4C53F149">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"_Toc18828" </w:instrText>
      </w:r>
      <w:r>
        <w:rPr>
          <w:color w:val="auto"/>
          <w:highlight w:val="none"/>
        </w:rPr>
        <w:fldChar w:fldCharType="separate"/>
      </w:r>
      <w:r>
        <w:rPr>
          <w:rFonts w:hint="eastAsia" w:cs="宋体"/>
          <w:bCs/>
          <w:color w:val="auto"/>
          <w:kern w:val="0"/>
          <w:szCs w:val="24"/>
          <w:highlight w:val="none"/>
        </w:rPr>
        <w:t>二、报价要求</w:t>
      </w:r>
      <w:r>
        <w:rPr>
          <w:color w:val="auto"/>
          <w:highlight w:val="none"/>
        </w:rPr>
        <w:tab/>
      </w:r>
      <w:r>
        <w:rPr>
          <w:color w:val="auto"/>
          <w:highlight w:val="none"/>
        </w:rPr>
        <w:fldChar w:fldCharType="begin"/>
      </w:r>
      <w:r>
        <w:rPr>
          <w:color w:val="auto"/>
          <w:highlight w:val="none"/>
        </w:rPr>
        <w:instrText xml:space="preserve"> PAGEREF _Toc18828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14:paraId="4B5C6D2A">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"_Toc30714" </w:instrText>
      </w:r>
      <w:r>
        <w:rPr>
          <w:color w:val="auto"/>
          <w:highlight w:val="none"/>
        </w:rPr>
        <w:fldChar w:fldCharType="separate"/>
      </w:r>
      <w:r>
        <w:rPr>
          <w:rFonts w:hint="eastAsia" w:cs="宋体"/>
          <w:bCs/>
          <w:color w:val="auto"/>
          <w:kern w:val="0"/>
          <w:szCs w:val="24"/>
          <w:highlight w:val="none"/>
        </w:rPr>
        <w:t>三、质量保证及售后服务</w:t>
      </w:r>
      <w:r>
        <w:rPr>
          <w:color w:val="auto"/>
          <w:highlight w:val="none"/>
        </w:rPr>
        <w:tab/>
      </w:r>
      <w:r>
        <w:rPr>
          <w:color w:val="auto"/>
          <w:highlight w:val="none"/>
        </w:rPr>
        <w:fldChar w:fldCharType="begin"/>
      </w:r>
      <w:r>
        <w:rPr>
          <w:color w:val="auto"/>
          <w:highlight w:val="none"/>
        </w:rPr>
        <w:instrText xml:space="preserve"> PAGEREF _Toc30714 \h </w:instrText>
      </w:r>
      <w:r>
        <w:rPr>
          <w:color w:val="auto"/>
          <w:highlight w:val="none"/>
        </w:rPr>
        <w:fldChar w:fldCharType="separate"/>
      </w:r>
      <w:r>
        <w:rPr>
          <w:color w:val="auto"/>
          <w:highlight w:val="none"/>
        </w:rPr>
        <w:t>- 14 -</w:t>
      </w:r>
      <w:r>
        <w:rPr>
          <w:color w:val="auto"/>
          <w:highlight w:val="none"/>
        </w:rPr>
        <w:fldChar w:fldCharType="end"/>
      </w:r>
      <w:r>
        <w:rPr>
          <w:color w:val="auto"/>
          <w:highlight w:val="none"/>
        </w:rPr>
        <w:fldChar w:fldCharType="end"/>
      </w:r>
    </w:p>
    <w:p w14:paraId="33D4B076">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"_Toc14540" </w:instrText>
      </w:r>
      <w:r>
        <w:rPr>
          <w:color w:val="auto"/>
          <w:highlight w:val="none"/>
        </w:rPr>
        <w:fldChar w:fldCharType="separate"/>
      </w:r>
      <w:r>
        <w:rPr>
          <w:rFonts w:hint="eastAsia" w:cs="宋体"/>
          <w:bCs/>
          <w:color w:val="auto"/>
          <w:kern w:val="0"/>
          <w:szCs w:val="24"/>
          <w:highlight w:val="none"/>
        </w:rPr>
        <w:t>四、付款方式</w:t>
      </w:r>
      <w:r>
        <w:rPr>
          <w:color w:val="auto"/>
          <w:highlight w:val="none"/>
        </w:rPr>
        <w:tab/>
      </w:r>
      <w:r>
        <w:rPr>
          <w:color w:val="auto"/>
          <w:highlight w:val="none"/>
        </w:rPr>
        <w:fldChar w:fldCharType="begin"/>
      </w:r>
      <w:r>
        <w:rPr>
          <w:color w:val="auto"/>
          <w:highlight w:val="none"/>
        </w:rPr>
        <w:instrText xml:space="preserve"> PAGEREF _Toc14540 \h </w:instrText>
      </w:r>
      <w:r>
        <w:rPr>
          <w:color w:val="auto"/>
          <w:highlight w:val="none"/>
        </w:rPr>
        <w:fldChar w:fldCharType="separate"/>
      </w:r>
      <w:r>
        <w:rPr>
          <w:color w:val="auto"/>
          <w:highlight w:val="none"/>
        </w:rPr>
        <w:t>- 14 -</w:t>
      </w:r>
      <w:r>
        <w:rPr>
          <w:color w:val="auto"/>
          <w:highlight w:val="none"/>
        </w:rPr>
        <w:fldChar w:fldCharType="end"/>
      </w:r>
      <w:r>
        <w:rPr>
          <w:color w:val="auto"/>
          <w:highlight w:val="none"/>
        </w:rPr>
        <w:fldChar w:fldCharType="end"/>
      </w:r>
    </w:p>
    <w:p w14:paraId="01826E4C">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"_Toc15863" </w:instrText>
      </w:r>
      <w:r>
        <w:rPr>
          <w:color w:val="auto"/>
          <w:highlight w:val="none"/>
        </w:rPr>
        <w:fldChar w:fldCharType="separate"/>
      </w:r>
      <w:r>
        <w:rPr>
          <w:rFonts w:hint="eastAsia" w:cs="宋体"/>
          <w:bCs/>
          <w:color w:val="auto"/>
          <w:kern w:val="0"/>
          <w:szCs w:val="24"/>
          <w:highlight w:val="none"/>
        </w:rPr>
        <w:t>五、履约保证金</w:t>
      </w:r>
      <w:r>
        <w:rPr>
          <w:color w:val="auto"/>
          <w:highlight w:val="none"/>
        </w:rPr>
        <w:tab/>
      </w:r>
      <w:r>
        <w:rPr>
          <w:color w:val="auto"/>
          <w:highlight w:val="none"/>
        </w:rPr>
        <w:fldChar w:fldCharType="begin"/>
      </w:r>
      <w:r>
        <w:rPr>
          <w:color w:val="auto"/>
          <w:highlight w:val="none"/>
        </w:rPr>
        <w:instrText xml:space="preserve"> PAGEREF _Toc15863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14:paraId="03CDFB68">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"_Toc5057" </w:instrText>
      </w:r>
      <w:r>
        <w:rPr>
          <w:color w:val="auto"/>
          <w:highlight w:val="none"/>
        </w:rPr>
        <w:fldChar w:fldCharType="separate"/>
      </w:r>
      <w:r>
        <w:rPr>
          <w:rFonts w:hint="eastAsia" w:cs="宋体"/>
          <w:bCs/>
          <w:color w:val="auto"/>
          <w:kern w:val="0"/>
          <w:szCs w:val="24"/>
          <w:highlight w:val="none"/>
        </w:rPr>
        <w:t>六、违约责任</w:t>
      </w:r>
      <w:r>
        <w:rPr>
          <w:color w:val="auto"/>
          <w:highlight w:val="none"/>
        </w:rPr>
        <w:tab/>
      </w:r>
      <w:r>
        <w:rPr>
          <w:color w:val="auto"/>
          <w:highlight w:val="none"/>
        </w:rPr>
        <w:fldChar w:fldCharType="begin"/>
      </w:r>
      <w:r>
        <w:rPr>
          <w:color w:val="auto"/>
          <w:highlight w:val="none"/>
        </w:rPr>
        <w:instrText xml:space="preserve"> PAGEREF _Toc5057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14:paraId="10327530">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"_Toc28142" </w:instrText>
      </w:r>
      <w:r>
        <w:rPr>
          <w:color w:val="auto"/>
          <w:highlight w:val="none"/>
        </w:rPr>
        <w:fldChar w:fldCharType="separate"/>
      </w:r>
      <w:r>
        <w:rPr>
          <w:rFonts w:hint="eastAsia" w:cs="宋体"/>
          <w:bCs/>
          <w:color w:val="auto"/>
          <w:kern w:val="0"/>
          <w:szCs w:val="24"/>
          <w:highlight w:val="none"/>
        </w:rPr>
        <w:t>七、知识产权</w:t>
      </w:r>
      <w:r>
        <w:rPr>
          <w:color w:val="auto"/>
          <w:highlight w:val="none"/>
        </w:rPr>
        <w:tab/>
      </w:r>
      <w:r>
        <w:rPr>
          <w:color w:val="auto"/>
          <w:highlight w:val="none"/>
        </w:rPr>
        <w:fldChar w:fldCharType="begin"/>
      </w:r>
      <w:r>
        <w:rPr>
          <w:color w:val="auto"/>
          <w:highlight w:val="none"/>
        </w:rPr>
        <w:instrText xml:space="preserve"> PAGEREF _Toc28142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14:paraId="7AC67E72">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"_Toc27252" </w:instrText>
      </w:r>
      <w:r>
        <w:rPr>
          <w:color w:val="auto"/>
          <w:highlight w:val="none"/>
        </w:rPr>
        <w:fldChar w:fldCharType="separate"/>
      </w:r>
      <w:r>
        <w:rPr>
          <w:rFonts w:hint="eastAsia" w:cs="宋体"/>
          <w:bCs/>
          <w:color w:val="auto"/>
          <w:kern w:val="0"/>
          <w:szCs w:val="24"/>
          <w:highlight w:val="none"/>
        </w:rPr>
        <w:t>八、其他商务要求内容</w:t>
      </w:r>
      <w:r>
        <w:rPr>
          <w:color w:val="auto"/>
          <w:highlight w:val="none"/>
        </w:rPr>
        <w:tab/>
      </w:r>
      <w:r>
        <w:rPr>
          <w:color w:val="auto"/>
          <w:highlight w:val="none"/>
        </w:rPr>
        <w:fldChar w:fldCharType="begin"/>
      </w:r>
      <w:r>
        <w:rPr>
          <w:color w:val="auto"/>
          <w:highlight w:val="none"/>
        </w:rPr>
        <w:instrText xml:space="preserve"> PAGEREF _Toc27252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14:paraId="2BEDCB57">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"_Toc15020" </w:instrText>
      </w:r>
      <w:r>
        <w:rPr>
          <w:color w:val="auto"/>
          <w:highlight w:val="none"/>
        </w:rPr>
        <w:fldChar w:fldCharType="separate"/>
      </w:r>
      <w:r>
        <w:rPr>
          <w:rFonts w:hint="eastAsia" w:ascii="宋体" w:hAnsi="宋体" w:cs="宋体"/>
          <w:bCs/>
          <w:color w:val="auto"/>
          <w:highlight w:val="none"/>
        </w:rPr>
        <w:t>第四篇 资格审查及评标办法</w:t>
      </w:r>
      <w:r>
        <w:rPr>
          <w:color w:val="auto"/>
          <w:highlight w:val="none"/>
        </w:rPr>
        <w:tab/>
      </w:r>
      <w:r>
        <w:rPr>
          <w:color w:val="auto"/>
          <w:highlight w:val="none"/>
        </w:rPr>
        <w:fldChar w:fldCharType="begin"/>
      </w:r>
      <w:r>
        <w:rPr>
          <w:color w:val="auto"/>
          <w:highlight w:val="none"/>
        </w:rPr>
        <w:instrText xml:space="preserve"> PAGEREF _Toc15020 \h </w:instrText>
      </w:r>
      <w:r>
        <w:rPr>
          <w:color w:val="auto"/>
          <w:highlight w:val="none"/>
        </w:rPr>
        <w:fldChar w:fldCharType="separate"/>
      </w:r>
      <w:r>
        <w:rPr>
          <w:color w:val="auto"/>
          <w:highlight w:val="none"/>
        </w:rPr>
        <w:t>- 18 -</w:t>
      </w:r>
      <w:r>
        <w:rPr>
          <w:color w:val="auto"/>
          <w:highlight w:val="none"/>
        </w:rPr>
        <w:fldChar w:fldCharType="end"/>
      </w:r>
      <w:r>
        <w:rPr>
          <w:color w:val="auto"/>
          <w:highlight w:val="none"/>
        </w:rPr>
        <w:fldChar w:fldCharType="end"/>
      </w:r>
    </w:p>
    <w:p w14:paraId="5C9E9242">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"_Toc986" </w:instrText>
      </w:r>
      <w:r>
        <w:rPr>
          <w:color w:val="auto"/>
          <w:highlight w:val="none"/>
        </w:rPr>
        <w:fldChar w:fldCharType="separate"/>
      </w:r>
      <w:r>
        <w:rPr>
          <w:rFonts w:hint="eastAsia" w:cs="宋体"/>
          <w:color w:val="auto"/>
          <w:szCs w:val="24"/>
          <w:highlight w:val="none"/>
        </w:rPr>
        <w:t>一、资格审查</w:t>
      </w:r>
      <w:r>
        <w:rPr>
          <w:color w:val="auto"/>
          <w:highlight w:val="none"/>
        </w:rPr>
        <w:tab/>
      </w:r>
      <w:r>
        <w:rPr>
          <w:color w:val="auto"/>
          <w:highlight w:val="none"/>
        </w:rPr>
        <w:fldChar w:fldCharType="begin"/>
      </w:r>
      <w:r>
        <w:rPr>
          <w:color w:val="auto"/>
          <w:highlight w:val="none"/>
        </w:rPr>
        <w:instrText xml:space="preserve"> PAGEREF _Toc986 \h </w:instrText>
      </w:r>
      <w:r>
        <w:rPr>
          <w:color w:val="auto"/>
          <w:highlight w:val="none"/>
        </w:rPr>
        <w:fldChar w:fldCharType="separate"/>
      </w:r>
      <w:r>
        <w:rPr>
          <w:color w:val="auto"/>
          <w:highlight w:val="none"/>
        </w:rPr>
        <w:t>- 18 -</w:t>
      </w:r>
      <w:r>
        <w:rPr>
          <w:color w:val="auto"/>
          <w:highlight w:val="none"/>
        </w:rPr>
        <w:fldChar w:fldCharType="end"/>
      </w:r>
      <w:r>
        <w:rPr>
          <w:color w:val="auto"/>
          <w:highlight w:val="none"/>
        </w:rPr>
        <w:fldChar w:fldCharType="end"/>
      </w:r>
    </w:p>
    <w:p w14:paraId="4A5DDD05">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"_Toc6463" </w:instrText>
      </w:r>
      <w:r>
        <w:rPr>
          <w:color w:val="auto"/>
          <w:highlight w:val="none"/>
        </w:rPr>
        <w:fldChar w:fldCharType="separate"/>
      </w:r>
      <w:r>
        <w:rPr>
          <w:rFonts w:hint="eastAsia" w:cs="宋体"/>
          <w:color w:val="auto"/>
          <w:szCs w:val="24"/>
          <w:highlight w:val="none"/>
        </w:rPr>
        <w:t>二、评标方法</w:t>
      </w:r>
      <w:r>
        <w:rPr>
          <w:color w:val="auto"/>
          <w:highlight w:val="none"/>
        </w:rPr>
        <w:tab/>
      </w:r>
      <w:r>
        <w:rPr>
          <w:color w:val="auto"/>
          <w:highlight w:val="none"/>
        </w:rPr>
        <w:fldChar w:fldCharType="begin"/>
      </w:r>
      <w:r>
        <w:rPr>
          <w:color w:val="auto"/>
          <w:highlight w:val="none"/>
        </w:rPr>
        <w:instrText xml:space="preserve"> PAGEREF _Toc6463 \h </w:instrText>
      </w:r>
      <w:r>
        <w:rPr>
          <w:color w:val="auto"/>
          <w:highlight w:val="none"/>
        </w:rPr>
        <w:fldChar w:fldCharType="separate"/>
      </w:r>
      <w:r>
        <w:rPr>
          <w:color w:val="auto"/>
          <w:highlight w:val="none"/>
        </w:rPr>
        <w:t>- 19 -</w:t>
      </w:r>
      <w:r>
        <w:rPr>
          <w:color w:val="auto"/>
          <w:highlight w:val="none"/>
        </w:rPr>
        <w:fldChar w:fldCharType="end"/>
      </w:r>
      <w:r>
        <w:rPr>
          <w:color w:val="auto"/>
          <w:highlight w:val="none"/>
        </w:rPr>
        <w:fldChar w:fldCharType="end"/>
      </w:r>
    </w:p>
    <w:p w14:paraId="0DF4EA00">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"_Toc27372" </w:instrText>
      </w:r>
      <w:r>
        <w:rPr>
          <w:color w:val="auto"/>
          <w:highlight w:val="none"/>
        </w:rPr>
        <w:fldChar w:fldCharType="separate"/>
      </w:r>
      <w:r>
        <w:rPr>
          <w:rFonts w:hint="eastAsia" w:cs="宋体"/>
          <w:color w:val="auto"/>
          <w:szCs w:val="24"/>
          <w:highlight w:val="none"/>
        </w:rPr>
        <w:t>三、评标标准</w:t>
      </w:r>
      <w:r>
        <w:rPr>
          <w:color w:val="auto"/>
          <w:highlight w:val="none"/>
        </w:rPr>
        <w:tab/>
      </w:r>
      <w:r>
        <w:rPr>
          <w:color w:val="auto"/>
          <w:highlight w:val="none"/>
        </w:rPr>
        <w:fldChar w:fldCharType="begin"/>
      </w:r>
      <w:r>
        <w:rPr>
          <w:color w:val="auto"/>
          <w:highlight w:val="none"/>
        </w:rPr>
        <w:instrText xml:space="preserve"> PAGEREF _Toc27372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14:paraId="07C1CC08">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"_Toc21058" </w:instrText>
      </w:r>
      <w:r>
        <w:rPr>
          <w:color w:val="auto"/>
          <w:highlight w:val="none"/>
        </w:rPr>
        <w:fldChar w:fldCharType="separate"/>
      </w:r>
      <w:r>
        <w:rPr>
          <w:rFonts w:hint="eastAsia" w:ascii="宋体" w:hAnsi="宋体" w:cs="宋体"/>
          <w:color w:val="auto"/>
          <w:highlight w:val="none"/>
        </w:rPr>
        <w:t>第五篇  投标人须知</w:t>
      </w:r>
      <w:r>
        <w:rPr>
          <w:color w:val="auto"/>
          <w:highlight w:val="none"/>
        </w:rPr>
        <w:tab/>
      </w:r>
      <w:r>
        <w:rPr>
          <w:color w:val="auto"/>
          <w:highlight w:val="none"/>
        </w:rPr>
        <w:fldChar w:fldCharType="begin"/>
      </w:r>
      <w:r>
        <w:rPr>
          <w:color w:val="auto"/>
          <w:highlight w:val="none"/>
        </w:rPr>
        <w:instrText xml:space="preserve"> PAGEREF _Toc21058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14:paraId="30BD1411">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"_Toc4442" </w:instrText>
      </w:r>
      <w:r>
        <w:rPr>
          <w:color w:val="auto"/>
          <w:highlight w:val="none"/>
        </w:rPr>
        <w:fldChar w:fldCharType="separate"/>
      </w:r>
      <w:r>
        <w:rPr>
          <w:rFonts w:hint="eastAsia" w:cs="宋体"/>
          <w:color w:val="auto"/>
          <w:highlight w:val="none"/>
        </w:rPr>
        <w:t>一、投标人</w:t>
      </w:r>
      <w:r>
        <w:rPr>
          <w:color w:val="auto"/>
          <w:highlight w:val="none"/>
        </w:rPr>
        <w:tab/>
      </w:r>
      <w:r>
        <w:rPr>
          <w:color w:val="auto"/>
          <w:highlight w:val="none"/>
        </w:rPr>
        <w:fldChar w:fldCharType="begin"/>
      </w:r>
      <w:r>
        <w:rPr>
          <w:color w:val="auto"/>
          <w:highlight w:val="none"/>
        </w:rPr>
        <w:instrText xml:space="preserve"> PAGEREF _Toc4442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14:paraId="60B79CC0">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"_Toc5686" </w:instrText>
      </w:r>
      <w:r>
        <w:rPr>
          <w:color w:val="auto"/>
          <w:highlight w:val="none"/>
        </w:rPr>
        <w:fldChar w:fldCharType="separate"/>
      </w:r>
      <w:r>
        <w:rPr>
          <w:rFonts w:hint="eastAsia"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_Toc5686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14:paraId="7F056403">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"_Toc7402" </w:instrText>
      </w:r>
      <w:r>
        <w:rPr>
          <w:color w:val="auto"/>
          <w:highlight w:val="none"/>
        </w:rPr>
        <w:fldChar w:fldCharType="separate"/>
      </w:r>
      <w:r>
        <w:rPr>
          <w:rFonts w:hint="eastAsia" w:cs="宋体"/>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_Toc7402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14:paraId="0CDAC75F">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"_Toc30185" </w:instrText>
      </w:r>
      <w:r>
        <w:rPr>
          <w:color w:val="auto"/>
          <w:highlight w:val="none"/>
        </w:rPr>
        <w:fldChar w:fldCharType="separate"/>
      </w:r>
      <w:r>
        <w:rPr>
          <w:rFonts w:hint="eastAsia" w:cs="宋体"/>
          <w:color w:val="auto"/>
          <w:highlight w:val="none"/>
        </w:rPr>
        <w:t>四、开标</w:t>
      </w:r>
      <w:r>
        <w:rPr>
          <w:color w:val="auto"/>
          <w:highlight w:val="none"/>
        </w:rPr>
        <w:tab/>
      </w:r>
      <w:r>
        <w:rPr>
          <w:color w:val="auto"/>
          <w:highlight w:val="none"/>
        </w:rPr>
        <w:fldChar w:fldCharType="begin"/>
      </w:r>
      <w:r>
        <w:rPr>
          <w:color w:val="auto"/>
          <w:highlight w:val="none"/>
        </w:rPr>
        <w:instrText xml:space="preserve"> PAGEREF _Toc30185 \h </w:instrText>
      </w:r>
      <w:r>
        <w:rPr>
          <w:color w:val="auto"/>
          <w:highlight w:val="none"/>
        </w:rPr>
        <w:fldChar w:fldCharType="separate"/>
      </w:r>
      <w:r>
        <w:rPr>
          <w:color w:val="auto"/>
          <w:highlight w:val="none"/>
        </w:rPr>
        <w:t>- 27 -</w:t>
      </w:r>
      <w:r>
        <w:rPr>
          <w:color w:val="auto"/>
          <w:highlight w:val="none"/>
        </w:rPr>
        <w:fldChar w:fldCharType="end"/>
      </w:r>
      <w:r>
        <w:rPr>
          <w:color w:val="auto"/>
          <w:highlight w:val="none"/>
        </w:rPr>
        <w:fldChar w:fldCharType="end"/>
      </w:r>
    </w:p>
    <w:p w14:paraId="401F39CA">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"_Toc23751" </w:instrText>
      </w:r>
      <w:r>
        <w:rPr>
          <w:color w:val="auto"/>
          <w:highlight w:val="none"/>
        </w:rPr>
        <w:fldChar w:fldCharType="separate"/>
      </w:r>
      <w:r>
        <w:rPr>
          <w:rFonts w:hint="eastAsia" w:cs="宋体"/>
          <w:color w:val="auto"/>
          <w:highlight w:val="none"/>
        </w:rPr>
        <w:t>五、评标</w:t>
      </w:r>
      <w:r>
        <w:rPr>
          <w:color w:val="auto"/>
          <w:highlight w:val="none"/>
        </w:rPr>
        <w:tab/>
      </w:r>
      <w:r>
        <w:rPr>
          <w:color w:val="auto"/>
          <w:highlight w:val="none"/>
        </w:rPr>
        <w:fldChar w:fldCharType="begin"/>
      </w:r>
      <w:r>
        <w:rPr>
          <w:color w:val="auto"/>
          <w:highlight w:val="none"/>
        </w:rPr>
        <w:instrText xml:space="preserve"> PAGEREF _Toc23751 \h </w:instrText>
      </w:r>
      <w:r>
        <w:rPr>
          <w:color w:val="auto"/>
          <w:highlight w:val="none"/>
        </w:rPr>
        <w:fldChar w:fldCharType="separate"/>
      </w:r>
      <w:r>
        <w:rPr>
          <w:color w:val="auto"/>
          <w:highlight w:val="none"/>
        </w:rPr>
        <w:t>- 28 -</w:t>
      </w:r>
      <w:r>
        <w:rPr>
          <w:color w:val="auto"/>
          <w:highlight w:val="none"/>
        </w:rPr>
        <w:fldChar w:fldCharType="end"/>
      </w:r>
      <w:r>
        <w:rPr>
          <w:color w:val="auto"/>
          <w:highlight w:val="none"/>
        </w:rPr>
        <w:fldChar w:fldCharType="end"/>
      </w:r>
    </w:p>
    <w:p w14:paraId="08F8CFA8">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"_Toc26381" </w:instrText>
      </w:r>
      <w:r>
        <w:rPr>
          <w:color w:val="auto"/>
          <w:highlight w:val="none"/>
        </w:rPr>
        <w:fldChar w:fldCharType="separate"/>
      </w:r>
      <w:r>
        <w:rPr>
          <w:rFonts w:hint="eastAsia" w:cs="宋体"/>
          <w:color w:val="auto"/>
          <w:highlight w:val="none"/>
        </w:rPr>
        <w:t>六、定标</w:t>
      </w:r>
      <w:r>
        <w:rPr>
          <w:color w:val="auto"/>
          <w:highlight w:val="none"/>
        </w:rPr>
        <w:tab/>
      </w:r>
      <w:r>
        <w:rPr>
          <w:color w:val="auto"/>
          <w:highlight w:val="none"/>
        </w:rPr>
        <w:fldChar w:fldCharType="begin"/>
      </w:r>
      <w:r>
        <w:rPr>
          <w:color w:val="auto"/>
          <w:highlight w:val="none"/>
        </w:rPr>
        <w:instrText xml:space="preserve"> PAGEREF _Toc26381 \h </w:instrText>
      </w:r>
      <w:r>
        <w:rPr>
          <w:color w:val="auto"/>
          <w:highlight w:val="none"/>
        </w:rPr>
        <w:fldChar w:fldCharType="separate"/>
      </w:r>
      <w:r>
        <w:rPr>
          <w:color w:val="auto"/>
          <w:highlight w:val="none"/>
        </w:rPr>
        <w:t>- 28 -</w:t>
      </w:r>
      <w:r>
        <w:rPr>
          <w:color w:val="auto"/>
          <w:highlight w:val="none"/>
        </w:rPr>
        <w:fldChar w:fldCharType="end"/>
      </w:r>
      <w:r>
        <w:rPr>
          <w:color w:val="auto"/>
          <w:highlight w:val="none"/>
        </w:rPr>
        <w:fldChar w:fldCharType="end"/>
      </w:r>
    </w:p>
    <w:p w14:paraId="4C430844">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"_Toc3658" </w:instrText>
      </w:r>
      <w:r>
        <w:rPr>
          <w:color w:val="auto"/>
          <w:highlight w:val="none"/>
        </w:rPr>
        <w:fldChar w:fldCharType="separate"/>
      </w:r>
      <w:r>
        <w:rPr>
          <w:rFonts w:hint="eastAsia" w:cs="宋体"/>
          <w:color w:val="auto"/>
          <w:highlight w:val="none"/>
        </w:rPr>
        <w:t>七、中标</w:t>
      </w:r>
      <w:r>
        <w:rPr>
          <w:color w:val="auto"/>
          <w:highlight w:val="none"/>
        </w:rPr>
        <w:tab/>
      </w:r>
      <w:r>
        <w:rPr>
          <w:color w:val="auto"/>
          <w:highlight w:val="none"/>
        </w:rPr>
        <w:fldChar w:fldCharType="begin"/>
      </w:r>
      <w:r>
        <w:rPr>
          <w:color w:val="auto"/>
          <w:highlight w:val="none"/>
        </w:rPr>
        <w:instrText xml:space="preserve"> PAGEREF _Toc3658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42A1074C">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"_Toc32346" </w:instrText>
      </w:r>
      <w:r>
        <w:rPr>
          <w:color w:val="auto"/>
          <w:highlight w:val="none"/>
        </w:rPr>
        <w:fldChar w:fldCharType="separate"/>
      </w:r>
      <w:r>
        <w:rPr>
          <w:rFonts w:hint="eastAsia" w:cs="宋体"/>
          <w:color w:val="auto"/>
          <w:highlight w:val="none"/>
        </w:rPr>
        <w:t>八、询问、质疑和投诉</w:t>
      </w:r>
      <w:r>
        <w:rPr>
          <w:color w:val="auto"/>
          <w:highlight w:val="none"/>
        </w:rPr>
        <w:tab/>
      </w:r>
      <w:r>
        <w:rPr>
          <w:color w:val="auto"/>
          <w:highlight w:val="none"/>
        </w:rPr>
        <w:fldChar w:fldCharType="begin"/>
      </w:r>
      <w:r>
        <w:rPr>
          <w:color w:val="auto"/>
          <w:highlight w:val="none"/>
        </w:rPr>
        <w:instrText xml:space="preserve"> PAGEREF _Toc32346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36A1CC58">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"_Toc5377" </w:instrText>
      </w:r>
      <w:r>
        <w:rPr>
          <w:color w:val="auto"/>
          <w:highlight w:val="none"/>
        </w:rPr>
        <w:fldChar w:fldCharType="separate"/>
      </w:r>
      <w:r>
        <w:rPr>
          <w:rFonts w:hint="eastAsia" w:cs="宋体"/>
          <w:color w:val="auto"/>
          <w:highlight w:val="none"/>
        </w:rPr>
        <w:t>九、签订合同</w:t>
      </w:r>
      <w:r>
        <w:rPr>
          <w:color w:val="auto"/>
          <w:highlight w:val="none"/>
        </w:rPr>
        <w:tab/>
      </w:r>
      <w:r>
        <w:rPr>
          <w:color w:val="auto"/>
          <w:highlight w:val="none"/>
        </w:rPr>
        <w:fldChar w:fldCharType="begin"/>
      </w:r>
      <w:r>
        <w:rPr>
          <w:color w:val="auto"/>
          <w:highlight w:val="none"/>
        </w:rPr>
        <w:instrText xml:space="preserve"> PAGEREF _Toc5377 \h </w:instrText>
      </w:r>
      <w:r>
        <w:rPr>
          <w:color w:val="auto"/>
          <w:highlight w:val="none"/>
        </w:rPr>
        <w:fldChar w:fldCharType="separate"/>
      </w:r>
      <w:r>
        <w:rPr>
          <w:color w:val="auto"/>
          <w:highlight w:val="none"/>
        </w:rPr>
        <w:t>- 31 -</w:t>
      </w:r>
      <w:r>
        <w:rPr>
          <w:color w:val="auto"/>
          <w:highlight w:val="none"/>
        </w:rPr>
        <w:fldChar w:fldCharType="end"/>
      </w:r>
      <w:r>
        <w:rPr>
          <w:color w:val="auto"/>
          <w:highlight w:val="none"/>
        </w:rPr>
        <w:fldChar w:fldCharType="end"/>
      </w:r>
    </w:p>
    <w:p w14:paraId="78292EB9">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"_Toc5112" </w:instrText>
      </w:r>
      <w:r>
        <w:rPr>
          <w:color w:val="auto"/>
          <w:highlight w:val="none"/>
        </w:rPr>
        <w:fldChar w:fldCharType="separate"/>
      </w:r>
      <w:r>
        <w:rPr>
          <w:rFonts w:hint="eastAsia" w:ascii="宋体" w:hAnsi="宋体" w:cs="宋体"/>
          <w:color w:val="auto"/>
          <w:highlight w:val="none"/>
        </w:rPr>
        <w:t>第六篇  合同主要条款和格式合同（样本）</w:t>
      </w:r>
      <w:r>
        <w:rPr>
          <w:color w:val="auto"/>
          <w:highlight w:val="none"/>
        </w:rPr>
        <w:tab/>
      </w:r>
      <w:r>
        <w:rPr>
          <w:color w:val="auto"/>
          <w:highlight w:val="none"/>
        </w:rPr>
        <w:fldChar w:fldCharType="begin"/>
      </w:r>
      <w:r>
        <w:rPr>
          <w:color w:val="auto"/>
          <w:highlight w:val="none"/>
        </w:rPr>
        <w:instrText xml:space="preserve"> PAGEREF _Toc5112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14:paraId="5EF2587B">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"_Toc10242" </w:instrText>
      </w:r>
      <w:r>
        <w:rPr>
          <w:color w:val="auto"/>
          <w:highlight w:val="none"/>
        </w:rPr>
        <w:fldChar w:fldCharType="separate"/>
      </w:r>
      <w:r>
        <w:rPr>
          <w:rFonts w:hint="eastAsia" w:cs="宋体"/>
          <w:color w:val="auto"/>
          <w:highlight w:val="none"/>
        </w:rPr>
        <w:t>一、采购合同（格式）</w:t>
      </w:r>
      <w:r>
        <w:rPr>
          <w:color w:val="auto"/>
          <w:highlight w:val="none"/>
        </w:rPr>
        <w:tab/>
      </w:r>
      <w:r>
        <w:rPr>
          <w:color w:val="auto"/>
          <w:highlight w:val="none"/>
        </w:rPr>
        <w:fldChar w:fldCharType="begin"/>
      </w:r>
      <w:r>
        <w:rPr>
          <w:color w:val="auto"/>
          <w:highlight w:val="none"/>
        </w:rPr>
        <w:instrText xml:space="preserve"> PAGEREF _Toc10242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14:paraId="12394878">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"_Toc27651" </w:instrText>
      </w:r>
      <w:r>
        <w:rPr>
          <w:color w:val="auto"/>
          <w:highlight w:val="none"/>
        </w:rPr>
        <w:fldChar w:fldCharType="separate"/>
      </w:r>
      <w:r>
        <w:rPr>
          <w:rFonts w:hint="eastAsia" w:cs="宋体"/>
          <w:color w:val="auto"/>
          <w:highlight w:val="none"/>
        </w:rPr>
        <w:t>二、采购廉洁协议格式</w:t>
      </w:r>
      <w:r>
        <w:rPr>
          <w:color w:val="auto"/>
          <w:highlight w:val="none"/>
        </w:rPr>
        <w:tab/>
      </w:r>
      <w:r>
        <w:rPr>
          <w:color w:val="auto"/>
          <w:highlight w:val="none"/>
        </w:rPr>
        <w:fldChar w:fldCharType="begin"/>
      </w:r>
      <w:r>
        <w:rPr>
          <w:color w:val="auto"/>
          <w:highlight w:val="none"/>
        </w:rPr>
        <w:instrText xml:space="preserve"> PAGEREF _Toc27651 \h </w:instrText>
      </w:r>
      <w:r>
        <w:rPr>
          <w:color w:val="auto"/>
          <w:highlight w:val="none"/>
        </w:rPr>
        <w:fldChar w:fldCharType="separate"/>
      </w:r>
      <w:r>
        <w:rPr>
          <w:color w:val="auto"/>
          <w:highlight w:val="none"/>
        </w:rPr>
        <w:t>- 34 -</w:t>
      </w:r>
      <w:r>
        <w:rPr>
          <w:color w:val="auto"/>
          <w:highlight w:val="none"/>
        </w:rPr>
        <w:fldChar w:fldCharType="end"/>
      </w:r>
      <w:r>
        <w:rPr>
          <w:color w:val="auto"/>
          <w:highlight w:val="none"/>
        </w:rPr>
        <w:fldChar w:fldCharType="end"/>
      </w:r>
    </w:p>
    <w:p w14:paraId="3A9DD8A5">
      <w:pPr>
        <w:pStyle w:val="15"/>
        <w:tabs>
          <w:tab w:val="right" w:leader="dot" w:pos="9412"/>
          <w:tab w:val="clear" w:pos="1260"/>
          <w:tab w:val="clear" w:pos="1685"/>
          <w:tab w:val="clear" w:pos="8400"/>
        </w:tabs>
        <w:rPr>
          <w:color w:val="auto"/>
          <w:highlight w:val="none"/>
        </w:rPr>
      </w:pPr>
      <w:r>
        <w:rPr>
          <w:color w:val="auto"/>
          <w:highlight w:val="none"/>
        </w:rPr>
        <w:fldChar w:fldCharType="begin"/>
      </w:r>
      <w:r>
        <w:rPr>
          <w:color w:val="auto"/>
          <w:highlight w:val="none"/>
        </w:rPr>
        <w:instrText xml:space="preserve"> HYPERLINK \l "_Toc18130" </w:instrText>
      </w:r>
      <w:r>
        <w:rPr>
          <w:color w:val="auto"/>
          <w:highlight w:val="none"/>
        </w:rPr>
        <w:fldChar w:fldCharType="separate"/>
      </w:r>
      <w:r>
        <w:rPr>
          <w:rFonts w:hint="eastAsia" w:ascii="宋体" w:hAnsi="宋体" w:cs="宋体"/>
          <w:bCs/>
          <w:color w:val="auto"/>
          <w:highlight w:val="none"/>
        </w:rPr>
        <w:t>第七篇  投标文件格式</w:t>
      </w:r>
      <w:r>
        <w:rPr>
          <w:color w:val="auto"/>
          <w:highlight w:val="none"/>
        </w:rPr>
        <w:tab/>
      </w:r>
      <w:r>
        <w:rPr>
          <w:color w:val="auto"/>
          <w:highlight w:val="none"/>
        </w:rPr>
        <w:fldChar w:fldCharType="begin"/>
      </w:r>
      <w:r>
        <w:rPr>
          <w:color w:val="auto"/>
          <w:highlight w:val="none"/>
        </w:rPr>
        <w:instrText xml:space="preserve"> PAGEREF _Toc18130 \h </w:instrText>
      </w:r>
      <w:r>
        <w:rPr>
          <w:color w:val="auto"/>
          <w:highlight w:val="none"/>
        </w:rPr>
        <w:fldChar w:fldCharType="separate"/>
      </w:r>
      <w:r>
        <w:rPr>
          <w:color w:val="auto"/>
          <w:highlight w:val="none"/>
        </w:rPr>
        <w:t>- 36 -</w:t>
      </w:r>
      <w:r>
        <w:rPr>
          <w:color w:val="auto"/>
          <w:highlight w:val="none"/>
        </w:rPr>
        <w:fldChar w:fldCharType="end"/>
      </w:r>
      <w:r>
        <w:rPr>
          <w:color w:val="auto"/>
          <w:highlight w:val="none"/>
        </w:rPr>
        <w:fldChar w:fldCharType="end"/>
      </w:r>
    </w:p>
    <w:p w14:paraId="548CFC7E">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"_Toc3174" </w:instrText>
      </w:r>
      <w:r>
        <w:rPr>
          <w:color w:val="auto"/>
          <w:highlight w:val="none"/>
        </w:rPr>
        <w:fldChar w:fldCharType="separate"/>
      </w:r>
      <w:r>
        <w:rPr>
          <w:rFonts w:hint="eastAsia" w:cs="宋体"/>
          <w:color w:val="auto"/>
          <w:szCs w:val="28"/>
          <w:highlight w:val="none"/>
        </w:rPr>
        <w:t>一、经济文件</w:t>
      </w:r>
      <w:r>
        <w:rPr>
          <w:color w:val="auto"/>
          <w:highlight w:val="none"/>
        </w:rPr>
        <w:tab/>
      </w:r>
      <w:r>
        <w:rPr>
          <w:color w:val="auto"/>
          <w:highlight w:val="none"/>
        </w:rPr>
        <w:fldChar w:fldCharType="begin"/>
      </w:r>
      <w:r>
        <w:rPr>
          <w:color w:val="auto"/>
          <w:highlight w:val="none"/>
        </w:rPr>
        <w:instrText xml:space="preserve"> PAGEREF _Toc3174 \h </w:instrText>
      </w:r>
      <w:r>
        <w:rPr>
          <w:color w:val="auto"/>
          <w:highlight w:val="none"/>
        </w:rPr>
        <w:fldChar w:fldCharType="separate"/>
      </w:r>
      <w:r>
        <w:rPr>
          <w:color w:val="auto"/>
          <w:highlight w:val="none"/>
        </w:rPr>
        <w:t>- 37 -</w:t>
      </w:r>
      <w:r>
        <w:rPr>
          <w:color w:val="auto"/>
          <w:highlight w:val="none"/>
        </w:rPr>
        <w:fldChar w:fldCharType="end"/>
      </w:r>
      <w:r>
        <w:rPr>
          <w:color w:val="auto"/>
          <w:highlight w:val="none"/>
        </w:rPr>
        <w:fldChar w:fldCharType="end"/>
      </w:r>
    </w:p>
    <w:p w14:paraId="3FBF63B6">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"_Toc6744" </w:instrText>
      </w:r>
      <w:r>
        <w:rPr>
          <w:color w:val="auto"/>
          <w:highlight w:val="none"/>
        </w:rPr>
        <w:fldChar w:fldCharType="separate"/>
      </w:r>
      <w:r>
        <w:rPr>
          <w:rFonts w:hint="eastAsia" w:cs="宋体"/>
          <w:color w:val="auto"/>
          <w:szCs w:val="28"/>
          <w:highlight w:val="none"/>
        </w:rPr>
        <w:t>二、服务部分</w:t>
      </w:r>
      <w:r>
        <w:rPr>
          <w:color w:val="auto"/>
          <w:highlight w:val="none"/>
        </w:rPr>
        <w:tab/>
      </w:r>
      <w:r>
        <w:rPr>
          <w:color w:val="auto"/>
          <w:highlight w:val="none"/>
        </w:rPr>
        <w:fldChar w:fldCharType="begin"/>
      </w:r>
      <w:r>
        <w:rPr>
          <w:color w:val="auto"/>
          <w:highlight w:val="none"/>
        </w:rPr>
        <w:instrText xml:space="preserve"> PAGEREF _Toc6744 \h </w:instrText>
      </w:r>
      <w:r>
        <w:rPr>
          <w:color w:val="auto"/>
          <w:highlight w:val="none"/>
        </w:rPr>
        <w:fldChar w:fldCharType="separate"/>
      </w:r>
      <w:r>
        <w:rPr>
          <w:color w:val="auto"/>
          <w:highlight w:val="none"/>
        </w:rPr>
        <w:t>- 39 -</w:t>
      </w:r>
      <w:r>
        <w:rPr>
          <w:color w:val="auto"/>
          <w:highlight w:val="none"/>
        </w:rPr>
        <w:fldChar w:fldCharType="end"/>
      </w:r>
      <w:r>
        <w:rPr>
          <w:color w:val="auto"/>
          <w:highlight w:val="none"/>
        </w:rPr>
        <w:fldChar w:fldCharType="end"/>
      </w:r>
    </w:p>
    <w:p w14:paraId="2C611336">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"_Toc29284" </w:instrText>
      </w:r>
      <w:r>
        <w:rPr>
          <w:color w:val="auto"/>
          <w:highlight w:val="none"/>
        </w:rPr>
        <w:fldChar w:fldCharType="separate"/>
      </w:r>
      <w:r>
        <w:rPr>
          <w:rFonts w:hint="eastAsia" w:cs="宋体"/>
          <w:color w:val="auto"/>
          <w:szCs w:val="28"/>
          <w:highlight w:val="none"/>
        </w:rPr>
        <w:t>三、商务文件</w:t>
      </w:r>
      <w:r>
        <w:rPr>
          <w:color w:val="auto"/>
          <w:highlight w:val="none"/>
        </w:rPr>
        <w:tab/>
      </w:r>
      <w:r>
        <w:rPr>
          <w:color w:val="auto"/>
          <w:highlight w:val="none"/>
        </w:rPr>
        <w:fldChar w:fldCharType="begin"/>
      </w:r>
      <w:r>
        <w:rPr>
          <w:color w:val="auto"/>
          <w:highlight w:val="none"/>
        </w:rPr>
        <w:instrText xml:space="preserve"> PAGEREF _Toc29284 \h </w:instrText>
      </w:r>
      <w:r>
        <w:rPr>
          <w:color w:val="auto"/>
          <w:highlight w:val="none"/>
        </w:rPr>
        <w:fldChar w:fldCharType="separate"/>
      </w:r>
      <w:r>
        <w:rPr>
          <w:color w:val="auto"/>
          <w:highlight w:val="none"/>
        </w:rPr>
        <w:t>- 41 -</w:t>
      </w:r>
      <w:r>
        <w:rPr>
          <w:color w:val="auto"/>
          <w:highlight w:val="none"/>
        </w:rPr>
        <w:fldChar w:fldCharType="end"/>
      </w:r>
      <w:r>
        <w:rPr>
          <w:color w:val="auto"/>
          <w:highlight w:val="none"/>
        </w:rPr>
        <w:fldChar w:fldCharType="end"/>
      </w:r>
    </w:p>
    <w:p w14:paraId="232ACD25">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"_Toc19141" </w:instrText>
      </w:r>
      <w:r>
        <w:rPr>
          <w:color w:val="auto"/>
          <w:highlight w:val="none"/>
        </w:rPr>
        <w:fldChar w:fldCharType="separate"/>
      </w:r>
      <w:r>
        <w:rPr>
          <w:rFonts w:hint="eastAsia" w:cs="宋体"/>
          <w:color w:val="auto"/>
          <w:szCs w:val="28"/>
          <w:highlight w:val="none"/>
        </w:rPr>
        <w:t>四、其他</w:t>
      </w:r>
      <w:r>
        <w:rPr>
          <w:color w:val="auto"/>
          <w:highlight w:val="none"/>
        </w:rPr>
        <w:tab/>
      </w:r>
      <w:r>
        <w:rPr>
          <w:color w:val="auto"/>
          <w:highlight w:val="none"/>
        </w:rPr>
        <w:fldChar w:fldCharType="begin"/>
      </w:r>
      <w:r>
        <w:rPr>
          <w:color w:val="auto"/>
          <w:highlight w:val="none"/>
        </w:rPr>
        <w:instrText xml:space="preserve"> PAGEREF _Toc19141 \h </w:instrText>
      </w:r>
      <w:r>
        <w:rPr>
          <w:color w:val="auto"/>
          <w:highlight w:val="none"/>
        </w:rPr>
        <w:fldChar w:fldCharType="separate"/>
      </w:r>
      <w:r>
        <w:rPr>
          <w:color w:val="auto"/>
          <w:highlight w:val="none"/>
        </w:rPr>
        <w:t>- 44 -</w:t>
      </w:r>
      <w:r>
        <w:rPr>
          <w:color w:val="auto"/>
          <w:highlight w:val="none"/>
        </w:rPr>
        <w:fldChar w:fldCharType="end"/>
      </w:r>
      <w:r>
        <w:rPr>
          <w:color w:val="auto"/>
          <w:highlight w:val="none"/>
        </w:rPr>
        <w:fldChar w:fldCharType="end"/>
      </w:r>
    </w:p>
    <w:p w14:paraId="3C0CC5B4">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"_Toc11651" </w:instrText>
      </w:r>
      <w:r>
        <w:rPr>
          <w:color w:val="auto"/>
          <w:highlight w:val="none"/>
        </w:rPr>
        <w:fldChar w:fldCharType="separate"/>
      </w:r>
      <w:r>
        <w:rPr>
          <w:rFonts w:hint="eastAsia" w:cs="宋体"/>
          <w:color w:val="auto"/>
          <w:szCs w:val="28"/>
          <w:highlight w:val="none"/>
        </w:rPr>
        <w:t>五、资格文件</w:t>
      </w:r>
      <w:r>
        <w:rPr>
          <w:color w:val="auto"/>
          <w:highlight w:val="none"/>
        </w:rPr>
        <w:tab/>
      </w:r>
      <w:r>
        <w:rPr>
          <w:color w:val="auto"/>
          <w:highlight w:val="none"/>
        </w:rPr>
        <w:fldChar w:fldCharType="begin"/>
      </w:r>
      <w:r>
        <w:rPr>
          <w:color w:val="auto"/>
          <w:highlight w:val="none"/>
        </w:rPr>
        <w:instrText xml:space="preserve"> PAGEREF _Toc11651 \h </w:instrText>
      </w:r>
      <w:r>
        <w:rPr>
          <w:color w:val="auto"/>
          <w:highlight w:val="none"/>
        </w:rPr>
        <w:fldChar w:fldCharType="separate"/>
      </w:r>
      <w:r>
        <w:rPr>
          <w:color w:val="auto"/>
          <w:highlight w:val="none"/>
        </w:rPr>
        <w:t>- 45 -</w:t>
      </w:r>
      <w:r>
        <w:rPr>
          <w:color w:val="auto"/>
          <w:highlight w:val="none"/>
        </w:rPr>
        <w:fldChar w:fldCharType="end"/>
      </w:r>
      <w:r>
        <w:rPr>
          <w:color w:val="auto"/>
          <w:highlight w:val="none"/>
        </w:rPr>
        <w:fldChar w:fldCharType="end"/>
      </w:r>
    </w:p>
    <w:p w14:paraId="51096C3F">
      <w:pPr>
        <w:pStyle w:val="15"/>
        <w:ind w:firstLine="0" w:firstLineChars="0"/>
        <w:rPr>
          <w:rFonts w:ascii="宋体" w:hAnsi="宋体" w:cs="宋体"/>
          <w:color w:val="auto"/>
          <w:sz w:val="32"/>
          <w:highlight w:val="none"/>
        </w:rPr>
        <w:sectPr>
          <w:pgSz w:w="11907" w:h="16840"/>
          <w:pgMar w:top="1134" w:right="1191" w:bottom="1134" w:left="1304" w:header="964" w:footer="992" w:gutter="0"/>
          <w:pgNumType w:fmt="numberInDash" w:start="1"/>
          <w:cols w:space="720" w:num="1"/>
          <w:docGrid w:linePitch="312" w:charSpace="0"/>
        </w:sectPr>
      </w:pPr>
      <w:r>
        <w:rPr>
          <w:rFonts w:hint="eastAsia" w:ascii="宋体" w:hAnsi="宋体" w:cs="宋体"/>
          <w:color w:val="auto"/>
          <w:szCs w:val="21"/>
          <w:highlight w:val="none"/>
        </w:rPr>
        <w:fldChar w:fldCharType="end"/>
      </w:r>
    </w:p>
    <w:p w14:paraId="718A8F44">
      <w:pPr>
        <w:pStyle w:val="4"/>
        <w:spacing w:before="0" w:beforeLines="0" w:after="0" w:afterLines="0" w:line="360" w:lineRule="auto"/>
        <w:rPr>
          <w:rFonts w:ascii="宋体" w:hAnsi="宋体" w:eastAsia="宋体" w:cs="宋体"/>
          <w:bCs/>
          <w:color w:val="auto"/>
          <w:highlight w:val="none"/>
        </w:rPr>
      </w:pPr>
      <w:bookmarkStart w:id="0" w:name="_Toc19566"/>
      <w:bookmarkStart w:id="1" w:name="_Toc24040"/>
      <w:r>
        <w:rPr>
          <w:rFonts w:hint="eastAsia" w:ascii="宋体" w:hAnsi="宋体" w:eastAsia="宋体" w:cs="宋体"/>
          <w:bCs/>
          <w:color w:val="auto"/>
          <w:highlight w:val="none"/>
        </w:rPr>
        <w:t>第一篇 投标邀请书</w:t>
      </w:r>
      <w:bookmarkEnd w:id="0"/>
      <w:bookmarkEnd w:id="1"/>
    </w:p>
    <w:p w14:paraId="6BA7107F">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重庆工商大学对重庆工商大学2026-2029教材服务商采购项目(采购项目编号：CTBU-JZ2025197)进行公开招标，欢迎有资格的投标人参加投标。</w:t>
      </w:r>
    </w:p>
    <w:p w14:paraId="0330CE74">
      <w:pPr>
        <w:pStyle w:val="5"/>
        <w:ind w:firstLine="482" w:firstLineChars="200"/>
        <w:rPr>
          <w:rFonts w:cs="宋体"/>
          <w:b/>
          <w:color w:val="auto"/>
          <w:sz w:val="24"/>
          <w:highlight w:val="none"/>
        </w:rPr>
      </w:pPr>
      <w:bookmarkStart w:id="2" w:name="_Toc12759"/>
      <w:bookmarkStart w:id="3" w:name="_Toc13984"/>
      <w:r>
        <w:rPr>
          <w:rFonts w:hint="eastAsia" w:cs="宋体"/>
          <w:b/>
          <w:color w:val="auto"/>
          <w:sz w:val="24"/>
          <w:highlight w:val="none"/>
        </w:rPr>
        <w:t>一、招标项目内容</w:t>
      </w:r>
      <w:bookmarkEnd w:id="2"/>
      <w:bookmarkEnd w:id="3"/>
    </w:p>
    <w:tbl>
      <w:tblPr>
        <w:tblStyle w:val="19"/>
        <w:tblW w:w="10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1780"/>
        <w:gridCol w:w="1252"/>
        <w:gridCol w:w="1560"/>
        <w:gridCol w:w="1463"/>
        <w:gridCol w:w="2346"/>
      </w:tblGrid>
      <w:tr w14:paraId="6B18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14:paraId="026CE46D">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项目名称</w:t>
            </w:r>
          </w:p>
        </w:tc>
        <w:tc>
          <w:tcPr>
            <w:tcW w:w="1780" w:type="dxa"/>
            <w:tcBorders>
              <w:top w:val="single" w:color="auto" w:sz="4" w:space="0"/>
              <w:left w:val="single" w:color="auto" w:sz="4" w:space="0"/>
              <w:bottom w:val="single" w:color="auto" w:sz="4" w:space="0"/>
              <w:right w:val="single" w:color="auto" w:sz="4" w:space="0"/>
            </w:tcBorders>
            <w:vAlign w:val="center"/>
          </w:tcPr>
          <w:p w14:paraId="2683EA7D">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最高折扣</w:t>
            </w:r>
          </w:p>
          <w:p w14:paraId="2DC7936D">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率限价</w:t>
            </w:r>
          </w:p>
        </w:tc>
        <w:tc>
          <w:tcPr>
            <w:tcW w:w="1252" w:type="dxa"/>
            <w:tcBorders>
              <w:top w:val="single" w:color="auto" w:sz="4" w:space="0"/>
              <w:left w:val="single" w:color="auto" w:sz="4" w:space="0"/>
              <w:bottom w:val="single" w:color="auto" w:sz="4" w:space="0"/>
              <w:right w:val="single" w:color="auto" w:sz="4" w:space="0"/>
            </w:tcBorders>
            <w:vAlign w:val="center"/>
          </w:tcPr>
          <w:p w14:paraId="5C6F7C83">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预估金额</w:t>
            </w:r>
          </w:p>
          <w:p w14:paraId="3C08851B">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（万元）</w:t>
            </w:r>
          </w:p>
        </w:tc>
        <w:tc>
          <w:tcPr>
            <w:tcW w:w="1560" w:type="dxa"/>
            <w:tcBorders>
              <w:top w:val="single" w:color="auto" w:sz="4" w:space="0"/>
              <w:left w:val="single" w:color="auto" w:sz="4" w:space="0"/>
              <w:bottom w:val="single" w:color="auto" w:sz="4" w:space="0"/>
              <w:right w:val="single" w:color="auto" w:sz="4" w:space="0"/>
            </w:tcBorders>
            <w:vAlign w:val="center"/>
          </w:tcPr>
          <w:p w14:paraId="2DE73CA5">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投标保证金</w:t>
            </w:r>
          </w:p>
          <w:p w14:paraId="1B0E45A2">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（万元）</w:t>
            </w:r>
          </w:p>
        </w:tc>
        <w:tc>
          <w:tcPr>
            <w:tcW w:w="1463" w:type="dxa"/>
            <w:tcBorders>
              <w:top w:val="single" w:color="auto" w:sz="4" w:space="0"/>
              <w:left w:val="single" w:color="auto" w:sz="4" w:space="0"/>
              <w:bottom w:val="single" w:color="auto" w:sz="4" w:space="0"/>
              <w:right w:val="single" w:color="auto" w:sz="4" w:space="0"/>
            </w:tcBorders>
            <w:vAlign w:val="center"/>
          </w:tcPr>
          <w:p w14:paraId="0D921A77">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中标人数量（名）</w:t>
            </w:r>
          </w:p>
        </w:tc>
        <w:tc>
          <w:tcPr>
            <w:tcW w:w="2346" w:type="dxa"/>
            <w:tcBorders>
              <w:top w:val="single" w:color="auto" w:sz="4" w:space="0"/>
              <w:left w:val="single" w:color="auto" w:sz="4" w:space="0"/>
              <w:bottom w:val="single" w:color="auto" w:sz="4" w:space="0"/>
              <w:right w:val="single" w:color="auto" w:sz="4" w:space="0"/>
            </w:tcBorders>
            <w:vAlign w:val="center"/>
          </w:tcPr>
          <w:p w14:paraId="390E0D10">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6910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14:paraId="13545D34">
            <w:pPr>
              <w:pStyle w:val="6"/>
              <w:spacing w:line="240" w:lineRule="atLeast"/>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重庆工商大学2026-2029教材服务商采购项目</w:t>
            </w:r>
          </w:p>
        </w:tc>
        <w:tc>
          <w:tcPr>
            <w:tcW w:w="1780" w:type="dxa"/>
            <w:tcBorders>
              <w:top w:val="single" w:color="auto" w:sz="4" w:space="0"/>
              <w:left w:val="single" w:color="auto" w:sz="4" w:space="0"/>
              <w:bottom w:val="single" w:color="auto" w:sz="4" w:space="0"/>
              <w:right w:val="single" w:color="auto" w:sz="4" w:space="0"/>
            </w:tcBorders>
            <w:vAlign w:val="center"/>
          </w:tcPr>
          <w:p w14:paraId="26884AF7">
            <w:pPr>
              <w:pStyle w:val="6"/>
              <w:spacing w:line="240" w:lineRule="atLeast"/>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78%（即填报的投标折扣率应小于等于78%）</w:t>
            </w:r>
          </w:p>
        </w:tc>
        <w:tc>
          <w:tcPr>
            <w:tcW w:w="1252" w:type="dxa"/>
            <w:tcBorders>
              <w:top w:val="single" w:color="auto" w:sz="4" w:space="0"/>
              <w:left w:val="single" w:color="auto" w:sz="4" w:space="0"/>
              <w:bottom w:val="single" w:color="auto" w:sz="4" w:space="0"/>
              <w:right w:val="single" w:color="auto" w:sz="4" w:space="0"/>
            </w:tcBorders>
            <w:vAlign w:val="center"/>
          </w:tcPr>
          <w:p w14:paraId="55B0AC9D">
            <w:pPr>
              <w:pStyle w:val="8"/>
              <w:spacing w:line="240" w:lineRule="atLeast"/>
              <w:ind w:left="0"/>
              <w:jc w:val="center"/>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450</w:t>
            </w:r>
          </w:p>
        </w:tc>
        <w:tc>
          <w:tcPr>
            <w:tcW w:w="1560" w:type="dxa"/>
            <w:tcBorders>
              <w:top w:val="single" w:color="auto" w:sz="4" w:space="0"/>
              <w:left w:val="single" w:color="auto" w:sz="4" w:space="0"/>
              <w:bottom w:val="single" w:color="auto" w:sz="4" w:space="0"/>
              <w:right w:val="single" w:color="auto" w:sz="4" w:space="0"/>
            </w:tcBorders>
            <w:vAlign w:val="center"/>
          </w:tcPr>
          <w:p w14:paraId="75DAD66D">
            <w:pPr>
              <w:pStyle w:val="8"/>
              <w:spacing w:line="240" w:lineRule="atLeast"/>
              <w:ind w:lef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9</w:t>
            </w:r>
          </w:p>
        </w:tc>
        <w:tc>
          <w:tcPr>
            <w:tcW w:w="1463" w:type="dxa"/>
            <w:tcBorders>
              <w:top w:val="single" w:color="auto" w:sz="4" w:space="0"/>
              <w:left w:val="single" w:color="auto" w:sz="4" w:space="0"/>
              <w:bottom w:val="single" w:color="auto" w:sz="4" w:space="0"/>
              <w:right w:val="single" w:color="auto" w:sz="4" w:space="0"/>
            </w:tcBorders>
            <w:vAlign w:val="center"/>
          </w:tcPr>
          <w:p w14:paraId="67611A2B">
            <w:pPr>
              <w:pStyle w:val="8"/>
              <w:spacing w:line="240" w:lineRule="atLeast"/>
              <w:ind w:lef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p w14:paraId="1335C628">
            <w:pPr>
              <w:pStyle w:val="8"/>
              <w:spacing w:line="240" w:lineRule="atLeast"/>
              <w:ind w:left="0"/>
              <w:jc w:val="center"/>
              <w:rPr>
                <w:rFonts w:ascii="宋体" w:hAnsi="宋体" w:cs="宋体"/>
                <w:color w:val="auto"/>
                <w:sz w:val="24"/>
                <w:szCs w:val="24"/>
                <w:highlight w:val="none"/>
              </w:rPr>
            </w:pPr>
            <w:r>
              <w:rPr>
                <w:rFonts w:hint="eastAsia" w:ascii="宋体" w:hAnsi="宋体" w:cs="宋体"/>
                <w:bCs/>
                <w:color w:val="auto"/>
                <w:sz w:val="24"/>
                <w:szCs w:val="24"/>
                <w:highlight w:val="none"/>
              </w:rPr>
              <w:t>（一用一备）</w:t>
            </w:r>
          </w:p>
        </w:tc>
        <w:tc>
          <w:tcPr>
            <w:tcW w:w="2346" w:type="dxa"/>
            <w:tcBorders>
              <w:top w:val="single" w:color="auto" w:sz="4" w:space="0"/>
              <w:left w:val="single" w:color="auto" w:sz="4" w:space="0"/>
              <w:bottom w:val="single" w:color="auto" w:sz="4" w:space="0"/>
              <w:right w:val="single" w:color="auto" w:sz="4" w:space="0"/>
            </w:tcBorders>
            <w:vAlign w:val="center"/>
          </w:tcPr>
          <w:p w14:paraId="10FF9A8A">
            <w:pPr>
              <w:pStyle w:val="8"/>
              <w:spacing w:line="240" w:lineRule="atLeast"/>
              <w:ind w:left="0"/>
              <w:jc w:val="left"/>
              <w:rPr>
                <w:rFonts w:ascii="宋体" w:hAnsi="宋体" w:cs="宋体"/>
                <w:bCs/>
                <w:color w:val="auto"/>
                <w:sz w:val="24"/>
                <w:szCs w:val="24"/>
                <w:highlight w:val="none"/>
              </w:rPr>
            </w:pPr>
            <w:r>
              <w:rPr>
                <w:rFonts w:hint="eastAsia" w:ascii="宋体" w:hAnsi="宋体" w:cs="宋体"/>
                <w:bCs/>
                <w:color w:val="auto"/>
                <w:sz w:val="24"/>
                <w:szCs w:val="24"/>
                <w:highlight w:val="none"/>
              </w:rPr>
              <w:t>1、本分包投标产品或服务必须为中国大陆境内生产或提供。</w:t>
            </w:r>
          </w:p>
          <w:p w14:paraId="38D867D7">
            <w:pPr>
              <w:pStyle w:val="8"/>
              <w:spacing w:line="240" w:lineRule="atLeast"/>
              <w:ind w:left="0"/>
              <w:jc w:val="left"/>
              <w:rPr>
                <w:rFonts w:ascii="宋体" w:hAnsi="宋体" w:cs="宋体"/>
                <w:bCs/>
                <w:color w:val="auto"/>
                <w:sz w:val="24"/>
                <w:szCs w:val="24"/>
                <w:highlight w:val="none"/>
              </w:rPr>
            </w:pPr>
            <w:r>
              <w:rPr>
                <w:rFonts w:hint="eastAsia" w:ascii="宋体" w:hAnsi="宋体" w:cs="宋体"/>
                <w:bCs/>
                <w:color w:val="auto"/>
                <w:sz w:val="24"/>
                <w:szCs w:val="24"/>
                <w:highlight w:val="none"/>
              </w:rPr>
              <w:t>2、合同期3年（</w:t>
            </w:r>
            <w:r>
              <w:rPr>
                <w:rFonts w:hint="eastAsia" w:ascii="宋体" w:hAnsi="宋体" w:cs="宋体"/>
                <w:color w:val="auto"/>
                <w:kern w:val="0"/>
                <w:sz w:val="24"/>
                <w:szCs w:val="24"/>
                <w:highlight w:val="none"/>
              </w:rPr>
              <w:t>2026年7月1日-2029年6月30日</w:t>
            </w:r>
            <w:r>
              <w:rPr>
                <w:rFonts w:hint="eastAsia" w:ascii="宋体" w:hAnsi="宋体" w:cs="宋体"/>
                <w:bCs/>
                <w:color w:val="auto"/>
                <w:sz w:val="24"/>
                <w:szCs w:val="24"/>
                <w:highlight w:val="none"/>
              </w:rPr>
              <w:t>）。</w:t>
            </w:r>
          </w:p>
          <w:p w14:paraId="6114766D">
            <w:pPr>
              <w:pStyle w:val="8"/>
              <w:spacing w:line="240" w:lineRule="atLeast"/>
              <w:ind w:left="0"/>
              <w:jc w:val="left"/>
              <w:rPr>
                <w:rFonts w:ascii="宋体" w:hAnsi="宋体" w:cs="宋体"/>
                <w:bCs/>
                <w:color w:val="auto"/>
                <w:sz w:val="24"/>
                <w:szCs w:val="24"/>
                <w:highlight w:val="none"/>
              </w:rPr>
            </w:pPr>
            <w:r>
              <w:rPr>
                <w:rFonts w:hint="eastAsia" w:ascii="宋体" w:hAnsi="宋体" w:cs="宋体"/>
                <w:bCs/>
                <w:color w:val="auto"/>
                <w:sz w:val="24"/>
                <w:szCs w:val="24"/>
                <w:highlight w:val="none"/>
              </w:rPr>
              <w:t>3、“思政课”教材按上级规定执行。</w:t>
            </w:r>
          </w:p>
        </w:tc>
      </w:tr>
    </w:tbl>
    <w:p w14:paraId="27C954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w:t>
      </w:r>
    </w:p>
    <w:p w14:paraId="71B77AA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（1）本项目中标候选人在正式签订合同后即成为“执行人”或“备选执行人”（采购人与“执行人”和“备选执行人”分别签订合同）。</w:t>
      </w:r>
    </w:p>
    <w:p w14:paraId="26EA7D2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（2）根据本项目“一用一备”原则，第一中标候选人在签订合同后即为本项目的“执行人”，第二中标候选人在签订合同后即为本项目的“备选执行人”。</w:t>
      </w:r>
    </w:p>
    <w:p w14:paraId="0CD09C3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变更情形一：若第一中标候选人出现无法签订合同或招标文件载明的合同非正常终止等情况，由第二中标候选人递补作为“执行人”，第三中标候选人递补作为“备选执行人”；若第二中标候选人放弃递补为“执行人”的，可顺延至第三中标候选人递补为“执行人”，第四中标候选人递补作为“备选执行人”，以此类推。</w:t>
      </w:r>
    </w:p>
    <w:p w14:paraId="3A048E7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（4）变更情形二：若第一中标候选人成为“执行人”，但第二中标候选人出现无法签订合同或招标文件载明的合</w:t>
      </w:r>
      <w:bookmarkStart w:id="178" w:name="_GoBack"/>
      <w:bookmarkEnd w:id="178"/>
      <w:r>
        <w:rPr>
          <w:rFonts w:hint="eastAsia" w:ascii="宋体" w:hAnsi="宋体" w:cs="宋体"/>
          <w:color w:val="auto"/>
          <w:sz w:val="24"/>
          <w:szCs w:val="24"/>
          <w:highlight w:val="none"/>
        </w:rPr>
        <w:t>同非正常终止等情况放弃“备选执行人”的，可顺延至第三中标候选人递补为“备选执行人”，以此类推。</w:t>
      </w:r>
    </w:p>
    <w:p w14:paraId="5BD956F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（5）若排序第三及其后的中标候选人总量不足以按上述规则进行递补，采购人也可以根据实际情况重新开展采购活动。</w:t>
      </w:r>
    </w:p>
    <w:p w14:paraId="3BE9703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bCs/>
          <w:color w:val="auto"/>
          <w:sz w:val="24"/>
          <w:szCs w:val="24"/>
          <w:highlight w:val="none"/>
        </w:rPr>
        <w:t>“思想政治理论课”，简称 “思政课”。主要课程《马克思主义基本原理概论》、《毛泽东思想和中国特色社会主义理论体系概论》、《中国近现代史纲要》、《思想道德与法治》、《形势与政策》、《习近平新时代中国特色社会主义思想》。</w:t>
      </w:r>
    </w:p>
    <w:p w14:paraId="0582897C">
      <w:pPr>
        <w:pStyle w:val="5"/>
        <w:ind w:firstLine="482" w:firstLineChars="200"/>
        <w:rPr>
          <w:rFonts w:cs="宋体"/>
          <w:b/>
          <w:color w:val="auto"/>
          <w:sz w:val="24"/>
          <w:highlight w:val="none"/>
        </w:rPr>
      </w:pPr>
      <w:bookmarkStart w:id="4" w:name="_Toc12859"/>
      <w:bookmarkStart w:id="5" w:name="_Toc18826"/>
      <w:r>
        <w:rPr>
          <w:rFonts w:hint="eastAsia" w:cs="宋体"/>
          <w:b/>
          <w:color w:val="auto"/>
          <w:sz w:val="24"/>
          <w:highlight w:val="none"/>
        </w:rPr>
        <w:t>二、资金来源</w:t>
      </w:r>
      <w:bookmarkEnd w:id="4"/>
      <w:bookmarkEnd w:id="5"/>
    </w:p>
    <w:p w14:paraId="7BE100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学生自筹及学校自筹资金，预算金额为450万元。</w:t>
      </w:r>
    </w:p>
    <w:p w14:paraId="01DF55BB">
      <w:pPr>
        <w:pStyle w:val="5"/>
        <w:ind w:firstLine="482" w:firstLineChars="200"/>
        <w:rPr>
          <w:rFonts w:cs="宋体"/>
          <w:b/>
          <w:color w:val="auto"/>
          <w:sz w:val="24"/>
          <w:highlight w:val="none"/>
        </w:rPr>
      </w:pPr>
      <w:bookmarkStart w:id="6" w:name="_Toc26461"/>
      <w:bookmarkStart w:id="7" w:name="_Toc4033"/>
      <w:r>
        <w:rPr>
          <w:rFonts w:hint="eastAsia" w:cs="宋体"/>
          <w:b/>
          <w:color w:val="auto"/>
          <w:sz w:val="24"/>
          <w:highlight w:val="none"/>
        </w:rPr>
        <w:t>三、投标人资格要求</w:t>
      </w:r>
      <w:bookmarkEnd w:id="6"/>
      <w:bookmarkEnd w:id="7"/>
    </w:p>
    <w:p w14:paraId="6FE88A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（一）满足《中华人民共和国政府采购法》第二十二条规定；</w:t>
      </w:r>
    </w:p>
    <w:p w14:paraId="4705DC0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（二）落实政府采购政策需满足的资格要求：无。</w:t>
      </w:r>
    </w:p>
    <w:p w14:paraId="46D639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（三）本项目的特定资格要求：</w:t>
      </w:r>
    </w:p>
    <w:p w14:paraId="235E539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投标人须具备有效的出版物经营许可证（以投标截止时间为准，复印件加盖投标人公章），投标文件中须出具书面承诺函，承诺内容如下</w:t>
      </w:r>
      <w:r>
        <w:rPr>
          <w:rFonts w:hint="eastAsia" w:ascii="宋体" w:hAnsi="宋体"/>
          <w:b/>
          <w:bCs/>
          <w:color w:val="auto"/>
          <w:sz w:val="24"/>
          <w:szCs w:val="24"/>
          <w:highlight w:val="none"/>
        </w:rPr>
        <w:t>（书面承诺函格式详见招标文件附件）</w:t>
      </w:r>
      <w:r>
        <w:rPr>
          <w:rFonts w:hint="eastAsia" w:ascii="宋体" w:hAnsi="宋体"/>
          <w:color w:val="auto"/>
          <w:sz w:val="24"/>
          <w:szCs w:val="24"/>
          <w:highlight w:val="none"/>
        </w:rPr>
        <w:t>：</w:t>
      </w:r>
    </w:p>
    <w:p w14:paraId="74BA9D4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（1）若中标，所持出版物经发行许可证在合同签订前失效，自动放弃中标权利，投标保证金不予退还。采购人有权在中标候选排列中依次选择中标人；</w:t>
      </w:r>
    </w:p>
    <w:p w14:paraId="363189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（2）若中标，在合同期间及时向采购人书面通报资格变化情况；</w:t>
      </w:r>
    </w:p>
    <w:p w14:paraId="2563E87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（3）若中标，所持出版物经营许可证在合同执行期间失效的，采购人有权单方面终止采购合同，履约保证金不予退还，由此所造成的全部损失由投标人负责。</w:t>
      </w:r>
    </w:p>
    <w:p w14:paraId="04DA7CF8">
      <w:pPr>
        <w:pStyle w:val="5"/>
        <w:ind w:firstLine="482" w:firstLineChars="200"/>
        <w:rPr>
          <w:rFonts w:cs="宋体"/>
          <w:b/>
          <w:color w:val="auto"/>
          <w:sz w:val="24"/>
          <w:highlight w:val="none"/>
        </w:rPr>
      </w:pPr>
      <w:bookmarkStart w:id="8" w:name="_Toc16589"/>
      <w:bookmarkStart w:id="9" w:name="_Toc18779"/>
      <w:r>
        <w:rPr>
          <w:rFonts w:hint="eastAsia" w:cs="宋体"/>
          <w:b/>
          <w:color w:val="auto"/>
          <w:sz w:val="24"/>
          <w:highlight w:val="none"/>
        </w:rPr>
        <w:t>四、投标、开标有关说明</w:t>
      </w:r>
      <w:bookmarkEnd w:id="8"/>
      <w:bookmarkEnd w:id="9"/>
    </w:p>
    <w:p w14:paraId="4CF8F81B">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凡有意参加投标的投标人，请在“行采家”或“重庆工商大学招投标信息网”网上下载本项目招标文件以及图纸、澄清等开标前公布的所有项目资料，无论投标人领取或下载与否，均视为已知晓所有招标内容。</w:t>
      </w:r>
    </w:p>
    <w:p w14:paraId="01888B1B">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（二）招标文件公告期限：自采购公告发布之日（2026年3月</w:t>
      </w:r>
      <w:r>
        <w:rPr>
          <w:rFonts w:hint="eastAsia" w:cs="方正仿宋_GBK" w:asciiTheme="minorEastAsia" w:hAnsiTheme="minorEastAsia" w:eastAsiaTheme="minorEastAsia"/>
          <w:color w:val="auto"/>
          <w:sz w:val="24"/>
          <w:szCs w:val="24"/>
          <w:highlight w:val="none"/>
          <w:lang w:val="en-US" w:eastAsia="zh-CN"/>
        </w:rPr>
        <w:t>19</w:t>
      </w:r>
      <w:r>
        <w:rPr>
          <w:rFonts w:hint="eastAsia" w:cs="方正仿宋_GBK" w:asciiTheme="minorEastAsia" w:hAnsiTheme="minorEastAsia" w:eastAsiaTheme="minorEastAsia"/>
          <w:color w:val="auto"/>
          <w:sz w:val="24"/>
          <w:szCs w:val="24"/>
          <w:highlight w:val="none"/>
        </w:rPr>
        <w:t>日）起五个工作日。</w:t>
      </w:r>
    </w:p>
    <w:p w14:paraId="1DC85BD8">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（三）招标文件提供期限</w:t>
      </w:r>
    </w:p>
    <w:p w14:paraId="33BDC809">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1.招标文件提供期限：同招标文件公告期限。</w:t>
      </w:r>
    </w:p>
    <w:p w14:paraId="70030CC9">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2.报名方式：无需报名。</w:t>
      </w:r>
    </w:p>
    <w:p w14:paraId="48AE63E9">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（四）投标文件递交地点：重庆工商大学南岸校区厚德楼8002室</w:t>
      </w:r>
    </w:p>
    <w:p w14:paraId="71A103E0">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（五）提交投标文件开始时间：2026年</w:t>
      </w:r>
      <w:r>
        <w:rPr>
          <w:rFonts w:hint="eastAsia" w:cs="方正仿宋_GBK" w:asciiTheme="minorEastAsia" w:hAnsiTheme="minorEastAsia" w:eastAsiaTheme="minorEastAsia"/>
          <w:color w:val="auto"/>
          <w:sz w:val="24"/>
          <w:szCs w:val="24"/>
          <w:highlight w:val="none"/>
          <w:lang w:val="en-US" w:eastAsia="zh-CN"/>
        </w:rPr>
        <w:t>4</w:t>
      </w:r>
      <w:r>
        <w:rPr>
          <w:rFonts w:hint="eastAsia" w:cs="方正仿宋_GBK" w:asciiTheme="minorEastAsia" w:hAnsiTheme="minorEastAsia" w:eastAsiaTheme="minorEastAsia"/>
          <w:color w:val="auto"/>
          <w:sz w:val="24"/>
          <w:szCs w:val="24"/>
          <w:highlight w:val="none"/>
        </w:rPr>
        <w:t>月</w:t>
      </w:r>
      <w:r>
        <w:rPr>
          <w:rFonts w:hint="eastAsia" w:cs="方正仿宋_GBK" w:asciiTheme="minorEastAsia" w:hAnsiTheme="minorEastAsia" w:eastAsiaTheme="minorEastAsia"/>
          <w:color w:val="auto"/>
          <w:sz w:val="24"/>
          <w:szCs w:val="24"/>
          <w:highlight w:val="none"/>
          <w:lang w:val="en-US" w:eastAsia="zh-CN"/>
        </w:rPr>
        <w:t>9</w:t>
      </w:r>
      <w:r>
        <w:rPr>
          <w:rFonts w:hint="eastAsia" w:cs="方正仿宋_GBK" w:asciiTheme="minorEastAsia" w:hAnsiTheme="minorEastAsia" w:eastAsiaTheme="minorEastAsia"/>
          <w:color w:val="auto"/>
          <w:sz w:val="24"/>
          <w:szCs w:val="24"/>
          <w:highlight w:val="none"/>
        </w:rPr>
        <w:t>日09:00</w:t>
      </w:r>
    </w:p>
    <w:p w14:paraId="1618B3AE">
      <w:pPr>
        <w:snapToGrid w:val="0"/>
        <w:spacing w:line="360" w:lineRule="auto"/>
        <w:ind w:firstLine="480" w:firstLineChars="200"/>
        <w:rPr>
          <w:rFonts w:hint="eastAsia"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（六）提交投标文件截止时间：2026年</w:t>
      </w:r>
      <w:r>
        <w:rPr>
          <w:rFonts w:hint="eastAsia" w:cs="方正仿宋_GBK" w:asciiTheme="minorEastAsia" w:hAnsiTheme="minorEastAsia" w:eastAsiaTheme="minorEastAsia"/>
          <w:color w:val="auto"/>
          <w:sz w:val="24"/>
          <w:szCs w:val="24"/>
          <w:highlight w:val="none"/>
          <w:lang w:val="en-US" w:eastAsia="zh-CN"/>
        </w:rPr>
        <w:t>4</w:t>
      </w:r>
      <w:r>
        <w:rPr>
          <w:rFonts w:hint="eastAsia" w:cs="方正仿宋_GBK" w:asciiTheme="minorEastAsia" w:hAnsiTheme="minorEastAsia" w:eastAsiaTheme="minorEastAsia"/>
          <w:color w:val="auto"/>
          <w:sz w:val="24"/>
          <w:szCs w:val="24"/>
          <w:highlight w:val="none"/>
        </w:rPr>
        <w:t>月</w:t>
      </w:r>
      <w:r>
        <w:rPr>
          <w:rFonts w:hint="eastAsia" w:cs="方正仿宋_GBK" w:asciiTheme="minorEastAsia" w:hAnsiTheme="minorEastAsia" w:eastAsiaTheme="minorEastAsia"/>
          <w:color w:val="auto"/>
          <w:sz w:val="24"/>
          <w:szCs w:val="24"/>
          <w:highlight w:val="none"/>
          <w:lang w:val="en-US" w:eastAsia="zh-CN"/>
        </w:rPr>
        <w:t>9</w:t>
      </w:r>
      <w:r>
        <w:rPr>
          <w:rFonts w:hint="eastAsia" w:cs="方正仿宋_GBK" w:asciiTheme="minorEastAsia" w:hAnsiTheme="minorEastAsia" w:eastAsiaTheme="minorEastAsia"/>
          <w:color w:val="auto"/>
          <w:sz w:val="24"/>
          <w:szCs w:val="24"/>
          <w:highlight w:val="none"/>
        </w:rPr>
        <w:t>日09:30</w:t>
      </w:r>
    </w:p>
    <w:p w14:paraId="73AE0531">
      <w:pPr>
        <w:snapToGrid w:val="0"/>
        <w:spacing w:line="360" w:lineRule="auto"/>
        <w:ind w:firstLine="480" w:firstLineChars="200"/>
        <w:rPr>
          <w:color w:val="auto"/>
          <w:highlight w:val="none"/>
        </w:rPr>
      </w:pPr>
      <w:r>
        <w:rPr>
          <w:rFonts w:hint="eastAsia" w:cs="方正仿宋_GBK" w:asciiTheme="minorEastAsia" w:hAnsiTheme="minorEastAsia" w:eastAsiaTheme="minorEastAsia"/>
          <w:color w:val="auto"/>
          <w:sz w:val="24"/>
          <w:szCs w:val="24"/>
          <w:highlight w:val="none"/>
        </w:rPr>
        <w:t>（七）开标时间：2026年</w:t>
      </w:r>
      <w:r>
        <w:rPr>
          <w:rFonts w:hint="eastAsia" w:cs="方正仿宋_GBK" w:asciiTheme="minorEastAsia" w:hAnsiTheme="minorEastAsia" w:eastAsiaTheme="minorEastAsia"/>
          <w:color w:val="auto"/>
          <w:sz w:val="24"/>
          <w:szCs w:val="24"/>
          <w:highlight w:val="none"/>
          <w:lang w:val="en-US" w:eastAsia="zh-CN"/>
        </w:rPr>
        <w:t>4</w:t>
      </w:r>
      <w:r>
        <w:rPr>
          <w:rFonts w:hint="eastAsia" w:cs="方正仿宋_GBK" w:asciiTheme="minorEastAsia" w:hAnsiTheme="minorEastAsia" w:eastAsiaTheme="minorEastAsia"/>
          <w:color w:val="auto"/>
          <w:sz w:val="24"/>
          <w:szCs w:val="24"/>
          <w:highlight w:val="none"/>
        </w:rPr>
        <w:t>月</w:t>
      </w:r>
      <w:r>
        <w:rPr>
          <w:rFonts w:hint="eastAsia" w:cs="方正仿宋_GBK" w:asciiTheme="minorEastAsia" w:hAnsiTheme="minorEastAsia" w:eastAsiaTheme="minorEastAsia"/>
          <w:color w:val="auto"/>
          <w:sz w:val="24"/>
          <w:szCs w:val="24"/>
          <w:highlight w:val="none"/>
          <w:lang w:val="en-US" w:eastAsia="zh-CN"/>
        </w:rPr>
        <w:t>9</w:t>
      </w:r>
      <w:r>
        <w:rPr>
          <w:rFonts w:hint="eastAsia" w:cs="方正仿宋_GBK" w:asciiTheme="minorEastAsia" w:hAnsiTheme="minorEastAsia" w:eastAsiaTheme="minorEastAsia"/>
          <w:color w:val="auto"/>
          <w:sz w:val="24"/>
          <w:szCs w:val="24"/>
          <w:highlight w:val="none"/>
        </w:rPr>
        <w:t>日09:30</w:t>
      </w:r>
    </w:p>
    <w:p w14:paraId="760A20E8">
      <w:pPr>
        <w:pStyle w:val="5"/>
        <w:ind w:firstLine="482" w:firstLineChars="200"/>
        <w:rPr>
          <w:rFonts w:cs="宋体"/>
          <w:b/>
          <w:color w:val="auto"/>
          <w:sz w:val="24"/>
          <w:highlight w:val="none"/>
        </w:rPr>
      </w:pPr>
      <w:bookmarkStart w:id="10" w:name="_Toc75448067"/>
      <w:bookmarkStart w:id="11" w:name="_Toc7291"/>
      <w:bookmarkStart w:id="12" w:name="_Toc14000"/>
      <w:r>
        <w:rPr>
          <w:rFonts w:hint="eastAsia" w:cs="宋体"/>
          <w:b/>
          <w:color w:val="auto"/>
          <w:sz w:val="24"/>
          <w:highlight w:val="none"/>
        </w:rPr>
        <w:t>五、</w:t>
      </w:r>
      <w:bookmarkStart w:id="13" w:name="_Hlk67925870"/>
      <w:r>
        <w:rPr>
          <w:rFonts w:hint="eastAsia" w:cs="宋体"/>
          <w:b/>
          <w:color w:val="auto"/>
          <w:sz w:val="24"/>
          <w:highlight w:val="none"/>
        </w:rPr>
        <w:t>招标文件购买费</w:t>
      </w:r>
      <w:bookmarkEnd w:id="13"/>
      <w:r>
        <w:rPr>
          <w:rFonts w:hint="eastAsia" w:cs="宋体"/>
          <w:b/>
          <w:color w:val="auto"/>
          <w:sz w:val="24"/>
          <w:highlight w:val="none"/>
        </w:rPr>
        <w:t>、投标保证金</w:t>
      </w:r>
      <w:bookmarkEnd w:id="10"/>
      <w:bookmarkEnd w:id="11"/>
      <w:bookmarkEnd w:id="12"/>
    </w:p>
    <w:p w14:paraId="7D9D6B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（一）缴纳方式</w:t>
      </w:r>
    </w:p>
    <w:p w14:paraId="1B21AF6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须按本项目规定的招标文件购买费（200元）、投标保证金(9万元）进行缴纳，由投标人从其基本账户将招标文件购买费、投标保证金（招标文件购买费和投标保证金须分开缴纳）汇至以下账户，到账截止时间为开标时间。</w:t>
      </w:r>
    </w:p>
    <w:p w14:paraId="765344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重庆工商大学招标文件购买费、投标保证金账户</w:t>
      </w:r>
    </w:p>
    <w:p w14:paraId="7379ED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户名：重庆工商大学</w:t>
      </w:r>
    </w:p>
    <w:p w14:paraId="279DFEA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账号：9558853100753300080</w:t>
      </w:r>
    </w:p>
    <w:p w14:paraId="733EF2F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开户行：工行重庆南岸学府支行</w:t>
      </w:r>
    </w:p>
    <w:p w14:paraId="50FB73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1.汇款的供应商须在付款凭证摘要/用途中填写“JZ2025197”，并在投标文件中附纸质的转账凭证复印件。</w:t>
      </w:r>
    </w:p>
    <w:p w14:paraId="59992E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2.供应商在缴纳招标文件购买费和投标保证金时，到款账户为上述指定的专用账户，来款账户必须为本公司账户。</w:t>
      </w:r>
    </w:p>
    <w:p w14:paraId="6492C06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3.供应商在银行转账（电汇）时，须充分考虑银行转账（电汇）的时间差风险，如同城转账、异地转账或汇款、跨行转账或电汇的时间要求。</w:t>
      </w:r>
    </w:p>
    <w:p w14:paraId="6CEB12BE">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（二）已缴纳招标文件购买费、投标保证金的供应商，在开标前请登录网址</w:t>
      </w:r>
      <w:r>
        <w:rPr>
          <w:rFonts w:ascii="宋体" w:hAnsi="宋体" w:cs="宋体"/>
          <w:b/>
          <w:bCs/>
          <w:color w:val="auto"/>
          <w:sz w:val="24"/>
          <w:szCs w:val="24"/>
          <w:highlight w:val="none"/>
        </w:rPr>
        <w:t>https://zbcgxt.ctbu.edu.cn/login-app/login</w:t>
      </w:r>
      <w:r>
        <w:rPr>
          <w:rFonts w:hint="eastAsia" w:ascii="宋体" w:hAnsi="宋体" w:cs="宋体"/>
          <w:b/>
          <w:bCs/>
          <w:color w:val="auto"/>
          <w:sz w:val="24"/>
          <w:szCs w:val="24"/>
          <w:highlight w:val="none"/>
        </w:rPr>
        <w:t>，填写相关信息（包括但不限于纳税人识别号、授权代表联系方式等信息）。若供应商未及时（正确）填写，将无法开具</w:t>
      </w:r>
      <w:r>
        <w:rPr>
          <w:rFonts w:hint="eastAsia" w:ascii="宋体" w:hAnsi="宋体"/>
          <w:b/>
          <w:bCs/>
          <w:color w:val="auto"/>
          <w:sz w:val="24"/>
          <w:szCs w:val="24"/>
          <w:highlight w:val="none"/>
        </w:rPr>
        <w:t>招标文件购买费发票和退还投标保证金。</w:t>
      </w:r>
    </w:p>
    <w:p w14:paraId="113AE4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（三）投标保证金退还方式</w:t>
      </w:r>
    </w:p>
    <w:p w14:paraId="1B4EAF6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1.未中标投标人的投标保证金，在采购结果公告发布后五个工作日内按来款渠道全额无息直接退还。</w:t>
      </w:r>
    </w:p>
    <w:p w14:paraId="34AC3EC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2.中标人的投标保证金，在中标人缴纳履约保证金且与采购人签订合同后五个工作日内按资金来款渠道全额无息直接退还。</w:t>
      </w:r>
    </w:p>
    <w:p w14:paraId="4EF1979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注：如遇寒暑假或国家重大事件，则顺延至开学或条件允许后退还。</w:t>
      </w:r>
    </w:p>
    <w:p w14:paraId="255124EB">
      <w:pPr>
        <w:pStyle w:val="5"/>
        <w:ind w:firstLine="482" w:firstLineChars="200"/>
        <w:rPr>
          <w:rFonts w:cs="宋体"/>
          <w:b/>
          <w:color w:val="auto"/>
          <w:sz w:val="24"/>
          <w:highlight w:val="none"/>
        </w:rPr>
      </w:pPr>
      <w:bookmarkStart w:id="14" w:name="_Toc32765"/>
      <w:bookmarkStart w:id="15" w:name="_Toc15779"/>
      <w:r>
        <w:rPr>
          <w:rFonts w:hint="eastAsia" w:cs="宋体"/>
          <w:b/>
          <w:color w:val="auto"/>
          <w:sz w:val="24"/>
          <w:highlight w:val="none"/>
        </w:rPr>
        <w:t>六、投标有关规定</w:t>
      </w:r>
      <w:bookmarkEnd w:id="14"/>
      <w:bookmarkEnd w:id="15"/>
    </w:p>
    <w:p w14:paraId="3502138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（一）单位负责人为同一人或者存在直接控股、管理关系的不同投标人，不得参加同一合同项（包）下的政府采购活动。</w:t>
      </w:r>
    </w:p>
    <w:p w14:paraId="2BB3F8D0">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（二）为采购项目提供整体设计、规范编制或者项目管理、监理、检测等服务的投标人，不得再参加该采购项目的其他采购活动。</w:t>
      </w:r>
    </w:p>
    <w:p w14:paraId="325D0414">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（三）本项目若有澄清文件一律在行采家网（https://www.gec123.com/）或重庆工商大学招投标信息网（</w:t>
      </w:r>
      <w:r>
        <w:rPr>
          <w:color w:val="auto"/>
          <w:highlight w:val="none"/>
        </w:rPr>
        <w:fldChar w:fldCharType="begin"/>
      </w:r>
      <w:r>
        <w:rPr>
          <w:color w:val="auto"/>
          <w:highlight w:val="none"/>
        </w:rPr>
        <w:instrText xml:space="preserve"> HYPERLINK "https://zbcg.ctbu.edu.cn/" </w:instrText>
      </w:r>
      <w:r>
        <w:rPr>
          <w:color w:val="auto"/>
          <w:highlight w:val="none"/>
        </w:rPr>
        <w:fldChar w:fldCharType="separate"/>
      </w:r>
      <w:r>
        <w:rPr>
          <w:rFonts w:hint="eastAsia" w:ascii="宋体" w:hAnsi="宋体" w:cs="宋体"/>
          <w:color w:val="auto"/>
          <w:sz w:val="24"/>
          <w:szCs w:val="24"/>
          <w:highlight w:val="none"/>
        </w:rPr>
        <w:t>https://zbcg.ctbu.edu.cn/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）上发布，请各投标人注意下载或到采购代理机构领取；无论投标人下载或领取与否，均视同投标人已知晓本项目澄清文件的内容。</w:t>
      </w:r>
    </w:p>
    <w:p w14:paraId="357235CE">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（四）同一合同项（包）下为单一品目的货物采购中，同一品牌产品有多家供应商参加投标的，只能按照一家供应商计算。</w:t>
      </w:r>
    </w:p>
    <w:p w14:paraId="7986DEB3">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（五）超过投标截止时间递交的投标文件，恕不接收。</w:t>
      </w:r>
    </w:p>
    <w:p w14:paraId="461A6214">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（六）投标费用：无论投标结果如何，投标人参与本项目投标的所有费用均应由投标人自行承担。</w:t>
      </w:r>
    </w:p>
    <w:p w14:paraId="7D31663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w:t>
      </w:r>
      <w:r>
        <w:rPr>
          <w:rFonts w:hint="eastAsia" w:ascii="宋体" w:hAnsi="宋体" w:cs="宋体"/>
          <w:b/>
          <w:color w:val="auto"/>
          <w:sz w:val="24"/>
          <w:szCs w:val="24"/>
          <w:highlight w:val="none"/>
        </w:rPr>
        <w:t>本项目不接受联合体参与投标。</w:t>
      </w:r>
    </w:p>
    <w:p w14:paraId="6B2B3AB9">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w:t>
      </w:r>
      <w:r>
        <w:rPr>
          <w:rFonts w:hint="eastAsia" w:ascii="宋体" w:hAnsi="宋体" w:cs="宋体"/>
          <w:b/>
          <w:color w:val="auto"/>
          <w:sz w:val="24"/>
          <w:szCs w:val="24"/>
          <w:highlight w:val="none"/>
        </w:rPr>
        <w:t>本项目不接受合同分包。</w:t>
      </w:r>
    </w:p>
    <w:p w14:paraId="7478B70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w:t>
      </w:r>
      <w:bookmarkStart w:id="16" w:name="OLE_LINK1"/>
      <w:bookmarkStart w:id="17" w:name="OLE_LINK2"/>
      <w:r>
        <w:rPr>
          <w:rFonts w:hint="eastAsia" w:ascii="宋体" w:hAnsi="宋体" w:cs="宋体"/>
          <w:color w:val="auto"/>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6"/>
      <w:bookmarkEnd w:id="17"/>
      <w:r>
        <w:rPr>
          <w:rFonts w:hint="eastAsia" w:ascii="宋体" w:hAnsi="宋体" w:cs="宋体"/>
          <w:color w:val="auto"/>
          <w:sz w:val="24"/>
          <w:szCs w:val="24"/>
          <w:highlight w:val="none"/>
        </w:rPr>
        <w:t>投标人，将拒绝其参与政府采购活动。</w:t>
      </w:r>
    </w:p>
    <w:p w14:paraId="56127011">
      <w:pPr>
        <w:pStyle w:val="5"/>
        <w:ind w:firstLine="482" w:firstLineChars="200"/>
        <w:rPr>
          <w:rFonts w:cs="宋体"/>
          <w:b/>
          <w:color w:val="auto"/>
          <w:sz w:val="24"/>
          <w:highlight w:val="none"/>
        </w:rPr>
      </w:pPr>
      <w:bookmarkStart w:id="18" w:name="_Toc24940"/>
      <w:bookmarkStart w:id="19" w:name="_Toc26818"/>
      <w:r>
        <w:rPr>
          <w:rFonts w:hint="eastAsia" w:cs="宋体"/>
          <w:b/>
          <w:color w:val="auto"/>
          <w:sz w:val="24"/>
          <w:highlight w:val="none"/>
        </w:rPr>
        <w:t>七、联系方式</w:t>
      </w:r>
      <w:bookmarkEnd w:id="18"/>
      <w:bookmarkEnd w:id="19"/>
    </w:p>
    <w:p w14:paraId="1C622501">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（一）采购人：重庆工商大学 </w:t>
      </w:r>
    </w:p>
    <w:p w14:paraId="7C324F42">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联系人：阎老师</w:t>
      </w:r>
    </w:p>
    <w:p w14:paraId="31178426">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话：023-62769774</w:t>
      </w:r>
    </w:p>
    <w:p w14:paraId="6E35724E">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传  真：023-62769774</w:t>
      </w:r>
    </w:p>
    <w:p w14:paraId="136F05A3">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  址：重庆市南岸区学府大道19号</w:t>
      </w:r>
    </w:p>
    <w:p w14:paraId="2537F5E3">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（二）采购代理机构：重庆工商大学</w:t>
      </w:r>
    </w:p>
    <w:p w14:paraId="6EE0DDBA">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联系人：阎老师</w:t>
      </w:r>
    </w:p>
    <w:p w14:paraId="43A727B9">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话：023-62769774</w:t>
      </w:r>
    </w:p>
    <w:p w14:paraId="7EABC77C">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传  真：023-62769774</w:t>
      </w:r>
    </w:p>
    <w:p w14:paraId="1F10D3BD">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地  址：重庆市南岸区学府大道19号 </w:t>
      </w:r>
    </w:p>
    <w:p w14:paraId="6397BE8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（三）技术咨询</w:t>
      </w:r>
    </w:p>
    <w:p w14:paraId="4F74CB62">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联系人：郭老师 </w:t>
      </w:r>
    </w:p>
    <w:p w14:paraId="4EAB4AF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话：13883210936</w:t>
      </w:r>
    </w:p>
    <w:p w14:paraId="1C68A454">
      <w:pPr>
        <w:pStyle w:val="5"/>
        <w:ind w:firstLine="482" w:firstLineChars="200"/>
        <w:rPr>
          <w:rFonts w:cs="宋体"/>
          <w:b/>
          <w:color w:val="auto"/>
          <w:sz w:val="24"/>
          <w:highlight w:val="none"/>
        </w:rPr>
      </w:pPr>
      <w:bookmarkStart w:id="20" w:name="_Toc22207"/>
      <w:bookmarkStart w:id="21" w:name="_Toc14018"/>
      <w:bookmarkStart w:id="22" w:name="_Toc13529"/>
      <w:r>
        <w:rPr>
          <w:rFonts w:hint="eastAsia" w:cs="宋体"/>
          <w:b/>
          <w:color w:val="auto"/>
          <w:sz w:val="24"/>
          <w:highlight w:val="none"/>
        </w:rPr>
        <w:t>八、</w:t>
      </w:r>
      <w:bookmarkEnd w:id="20"/>
      <w:bookmarkStart w:id="23" w:name="_Toc25141"/>
      <w:bookmarkStart w:id="24" w:name="_Toc60577153"/>
      <w:bookmarkStart w:id="25" w:name="_Toc16530"/>
      <w:r>
        <w:rPr>
          <w:rFonts w:hint="eastAsia" w:cs="宋体"/>
          <w:b/>
          <w:color w:val="auto"/>
          <w:sz w:val="24"/>
          <w:highlight w:val="none"/>
        </w:rPr>
        <w:t>其他要求</w:t>
      </w:r>
      <w:bookmarkEnd w:id="21"/>
      <w:bookmarkEnd w:id="22"/>
      <w:bookmarkEnd w:id="23"/>
      <w:bookmarkEnd w:id="24"/>
      <w:bookmarkEnd w:id="25"/>
    </w:p>
    <w:p w14:paraId="7574EAE0">
      <w:pPr>
        <w:snapToGrid w:val="0"/>
        <w:spacing w:line="360" w:lineRule="auto"/>
        <w:ind w:firstLine="480" w:firstLineChars="200"/>
        <w:rPr>
          <w:color w:val="auto"/>
          <w:sz w:val="24"/>
          <w:szCs w:val="24"/>
          <w:highlight w:val="none"/>
        </w:rPr>
      </w:pPr>
      <w:r>
        <w:rPr>
          <w:rFonts w:hint="eastAsia"/>
          <w:color w:val="auto"/>
          <w:sz w:val="24"/>
          <w:szCs w:val="24"/>
          <w:highlight w:val="none"/>
        </w:rPr>
        <w:t>投标人请在提交投标文件的规定时段从重庆工商大学南岸校区（西门）（重庆市南岸区学府大道19号）进入，请主动向门卫出示本人有效身份证件，同时请及时向门卫通报采购项目名称（同时出示投标文件等证明材料），以便门卫核查报备信息。投标文件提交结束后，请投标人及时离校，不停留不逗留（注：投标人来校人数原则上不超过2人）。</w:t>
      </w:r>
    </w:p>
    <w:p w14:paraId="216394B4">
      <w:pPr>
        <w:tabs>
          <w:tab w:val="left" w:pos="3360"/>
        </w:tabs>
        <w:spacing w:line="360" w:lineRule="auto"/>
        <w:ind w:firstLine="480" w:firstLineChars="200"/>
        <w:jc w:val="left"/>
        <w:outlineLvl w:val="0"/>
        <w:rPr>
          <w:rFonts w:ascii="宋体" w:hAnsi="宋体" w:cs="宋体"/>
          <w:color w:val="auto"/>
          <w:szCs w:val="24"/>
          <w:highlight w:val="none"/>
        </w:rPr>
      </w:pPr>
      <w:r>
        <w:rPr>
          <w:rFonts w:hint="eastAsia"/>
          <w:color w:val="auto"/>
          <w:sz w:val="24"/>
          <w:szCs w:val="24"/>
          <w:highlight w:val="none"/>
        </w:rPr>
        <w:t>若未按上述要求操作，造成提交投标文件时间延误的，后果自负。若因此扰乱采购人正常疫情防控秩序的，由投标人承担全部责任。</w:t>
      </w:r>
      <w:bookmarkStart w:id="26" w:name="_Toc63431456"/>
    </w:p>
    <w:p w14:paraId="044C84A7">
      <w:pPr>
        <w:rPr>
          <w:rFonts w:ascii="宋体" w:hAnsi="宋体" w:cs="宋体"/>
          <w:color w:val="auto"/>
          <w:szCs w:val="24"/>
          <w:highlight w:val="none"/>
        </w:rPr>
      </w:pPr>
      <w:r>
        <w:rPr>
          <w:rFonts w:hint="eastAsia" w:ascii="宋体" w:hAnsi="宋体" w:cs="宋体"/>
          <w:color w:val="auto"/>
          <w:szCs w:val="24"/>
          <w:highlight w:val="none"/>
        </w:rPr>
        <w:br w:type="page"/>
      </w:r>
    </w:p>
    <w:p w14:paraId="0689A42F">
      <w:pPr>
        <w:pStyle w:val="4"/>
        <w:spacing w:before="0" w:beforeLines="0" w:after="0" w:afterLines="0" w:line="360" w:lineRule="auto"/>
        <w:rPr>
          <w:rFonts w:ascii="宋体" w:hAnsi="宋体" w:eastAsia="宋体" w:cs="宋体"/>
          <w:bCs/>
          <w:color w:val="auto"/>
          <w:highlight w:val="none"/>
        </w:rPr>
      </w:pPr>
      <w:bookmarkStart w:id="27" w:name="_Toc1064"/>
      <w:bookmarkStart w:id="28" w:name="_Toc11588"/>
      <w:r>
        <w:rPr>
          <w:rFonts w:hint="eastAsia" w:ascii="宋体" w:hAnsi="宋体" w:eastAsia="宋体" w:cs="宋体"/>
          <w:bCs/>
          <w:color w:val="auto"/>
          <w:highlight w:val="none"/>
        </w:rPr>
        <w:t>第二篇 项目服务需求</w:t>
      </w:r>
      <w:bookmarkEnd w:id="26"/>
      <w:bookmarkEnd w:id="27"/>
      <w:bookmarkEnd w:id="28"/>
    </w:p>
    <w:p w14:paraId="696C4450">
      <w:pPr>
        <w:spacing w:line="500" w:lineRule="exact"/>
        <w:ind w:firstLine="480" w:firstLineChars="200"/>
        <w:rPr>
          <w:rFonts w:ascii="宋体" w:hAnsi="宋体" w:cs="宋体"/>
          <w:b/>
          <w:color w:val="auto"/>
          <w:sz w:val="24"/>
          <w:szCs w:val="24"/>
          <w:highlight w:val="none"/>
        </w:rPr>
      </w:pPr>
      <w:bookmarkStart w:id="29" w:name="_Toc19054"/>
      <w:bookmarkStart w:id="30" w:name="_Toc29700"/>
      <w:bookmarkStart w:id="31" w:name="_Toc63431457"/>
      <w:r>
        <w:rPr>
          <w:rFonts w:hint="eastAsia" w:ascii="宋体" w:hAnsi="宋体" w:cs="宋体"/>
          <w:color w:val="auto"/>
          <w:sz w:val="24"/>
          <w:szCs w:val="24"/>
          <w:highlight w:val="none"/>
        </w:rPr>
        <w:t>“※”标注的服务需求为符合性审查中的实质性要求，投标文件若不满足按无效投标处理。</w:t>
      </w:r>
      <w:bookmarkEnd w:id="29"/>
      <w:bookmarkEnd w:id="30"/>
    </w:p>
    <w:p w14:paraId="79859577">
      <w:pPr>
        <w:pStyle w:val="5"/>
        <w:spacing w:line="500" w:lineRule="exact"/>
        <w:ind w:firstLine="482" w:firstLineChars="200"/>
        <w:rPr>
          <w:rFonts w:cs="宋体"/>
          <w:b/>
          <w:color w:val="auto"/>
          <w:sz w:val="24"/>
          <w:szCs w:val="24"/>
          <w:highlight w:val="none"/>
        </w:rPr>
      </w:pPr>
      <w:bookmarkStart w:id="32" w:name="_Toc31724"/>
      <w:bookmarkStart w:id="33" w:name="_Toc26538"/>
      <w:r>
        <w:rPr>
          <w:rFonts w:hint="eastAsia" w:cs="宋体"/>
          <w:b/>
          <w:color w:val="auto"/>
          <w:sz w:val="24"/>
          <w:szCs w:val="24"/>
          <w:highlight w:val="none"/>
        </w:rPr>
        <w:t>一、招标项目一览表</w:t>
      </w:r>
      <w:bookmarkEnd w:id="31"/>
      <w:bookmarkEnd w:id="32"/>
      <w:bookmarkEnd w:id="33"/>
    </w:p>
    <w:tbl>
      <w:tblPr>
        <w:tblStyle w:val="1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6"/>
        <w:gridCol w:w="1780"/>
        <w:gridCol w:w="1418"/>
        <w:gridCol w:w="1508"/>
        <w:gridCol w:w="2857"/>
      </w:tblGrid>
      <w:tr w14:paraId="1A4A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6" w:type="dxa"/>
            <w:tcBorders>
              <w:top w:val="single" w:color="auto" w:sz="4" w:space="0"/>
              <w:left w:val="single" w:color="auto" w:sz="4" w:space="0"/>
              <w:bottom w:val="single" w:color="auto" w:sz="4" w:space="0"/>
              <w:right w:val="single" w:color="auto" w:sz="4" w:space="0"/>
            </w:tcBorders>
            <w:vAlign w:val="center"/>
          </w:tcPr>
          <w:p w14:paraId="14C3DF5C">
            <w:pPr>
              <w:pStyle w:val="8"/>
              <w:spacing w:line="240" w:lineRule="atLeast"/>
              <w:ind w:left="0"/>
              <w:jc w:val="center"/>
              <w:outlineLvl w:val="0"/>
              <w:rPr>
                <w:rFonts w:ascii="宋体" w:hAnsi="宋体" w:cs="宋体"/>
                <w:b/>
                <w:color w:val="auto"/>
                <w:sz w:val="24"/>
                <w:szCs w:val="24"/>
                <w:highlight w:val="none"/>
              </w:rPr>
            </w:pPr>
            <w:bookmarkStart w:id="34" w:name="_Toc63431458"/>
            <w:bookmarkStart w:id="35" w:name="_Toc15965"/>
            <w:r>
              <w:rPr>
                <w:rFonts w:hint="eastAsia" w:ascii="宋体" w:hAnsi="宋体" w:cs="宋体"/>
                <w:b/>
                <w:color w:val="auto"/>
                <w:sz w:val="24"/>
                <w:szCs w:val="24"/>
                <w:highlight w:val="none"/>
              </w:rPr>
              <w:t>项目名称</w:t>
            </w:r>
          </w:p>
        </w:tc>
        <w:tc>
          <w:tcPr>
            <w:tcW w:w="1780" w:type="dxa"/>
            <w:tcBorders>
              <w:top w:val="single" w:color="auto" w:sz="4" w:space="0"/>
              <w:left w:val="single" w:color="auto" w:sz="4" w:space="0"/>
              <w:bottom w:val="single" w:color="auto" w:sz="4" w:space="0"/>
              <w:right w:val="single" w:color="auto" w:sz="4" w:space="0"/>
            </w:tcBorders>
            <w:vAlign w:val="center"/>
          </w:tcPr>
          <w:p w14:paraId="395C79E7">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最高折扣率</w:t>
            </w:r>
          </w:p>
        </w:tc>
        <w:tc>
          <w:tcPr>
            <w:tcW w:w="1418" w:type="dxa"/>
            <w:tcBorders>
              <w:top w:val="single" w:color="auto" w:sz="4" w:space="0"/>
              <w:left w:val="single" w:color="auto" w:sz="4" w:space="0"/>
              <w:bottom w:val="single" w:color="auto" w:sz="4" w:space="0"/>
              <w:right w:val="single" w:color="auto" w:sz="4" w:space="0"/>
            </w:tcBorders>
            <w:vAlign w:val="center"/>
          </w:tcPr>
          <w:p w14:paraId="2BBD7693">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预估金额</w:t>
            </w:r>
          </w:p>
          <w:p w14:paraId="1E7AAF36">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（万元）</w:t>
            </w:r>
          </w:p>
        </w:tc>
        <w:tc>
          <w:tcPr>
            <w:tcW w:w="1508" w:type="dxa"/>
            <w:tcBorders>
              <w:top w:val="single" w:color="auto" w:sz="4" w:space="0"/>
              <w:left w:val="single" w:color="auto" w:sz="4" w:space="0"/>
              <w:bottom w:val="single" w:color="auto" w:sz="4" w:space="0"/>
              <w:right w:val="single" w:color="auto" w:sz="4" w:space="0"/>
            </w:tcBorders>
            <w:vAlign w:val="center"/>
          </w:tcPr>
          <w:p w14:paraId="63A05ADF">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中标人数量（名）</w:t>
            </w:r>
          </w:p>
        </w:tc>
        <w:tc>
          <w:tcPr>
            <w:tcW w:w="2857" w:type="dxa"/>
            <w:tcBorders>
              <w:top w:val="single" w:color="auto" w:sz="4" w:space="0"/>
              <w:left w:val="single" w:color="auto" w:sz="4" w:space="0"/>
              <w:bottom w:val="single" w:color="auto" w:sz="4" w:space="0"/>
              <w:right w:val="single" w:color="auto" w:sz="4" w:space="0"/>
            </w:tcBorders>
            <w:vAlign w:val="center"/>
          </w:tcPr>
          <w:p w14:paraId="19CAF5F4">
            <w:pPr>
              <w:pStyle w:val="8"/>
              <w:spacing w:line="240" w:lineRule="atLeast"/>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69FB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6" w:type="dxa"/>
            <w:tcBorders>
              <w:top w:val="single" w:color="auto" w:sz="4" w:space="0"/>
              <w:left w:val="single" w:color="auto" w:sz="4" w:space="0"/>
              <w:bottom w:val="single" w:color="auto" w:sz="4" w:space="0"/>
              <w:right w:val="single" w:color="auto" w:sz="4" w:space="0"/>
            </w:tcBorders>
            <w:vAlign w:val="center"/>
          </w:tcPr>
          <w:p w14:paraId="31C8595A">
            <w:pPr>
              <w:pStyle w:val="6"/>
              <w:spacing w:line="240" w:lineRule="atLeast"/>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重庆工商大学2026-2029学年教材供应商项目</w:t>
            </w:r>
          </w:p>
        </w:tc>
        <w:tc>
          <w:tcPr>
            <w:tcW w:w="1780" w:type="dxa"/>
            <w:tcBorders>
              <w:top w:val="single" w:color="auto" w:sz="4" w:space="0"/>
              <w:left w:val="single" w:color="auto" w:sz="4" w:space="0"/>
              <w:bottom w:val="single" w:color="auto" w:sz="4" w:space="0"/>
              <w:right w:val="single" w:color="auto" w:sz="4" w:space="0"/>
            </w:tcBorders>
            <w:vAlign w:val="center"/>
          </w:tcPr>
          <w:p w14:paraId="6E189B6C">
            <w:pPr>
              <w:pStyle w:val="6"/>
              <w:spacing w:line="240" w:lineRule="atLeast"/>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78%（即填报的投标折扣率应小于等于78%）</w:t>
            </w:r>
          </w:p>
        </w:tc>
        <w:tc>
          <w:tcPr>
            <w:tcW w:w="1418" w:type="dxa"/>
            <w:tcBorders>
              <w:top w:val="single" w:color="auto" w:sz="4" w:space="0"/>
              <w:left w:val="single" w:color="auto" w:sz="4" w:space="0"/>
              <w:bottom w:val="single" w:color="auto" w:sz="4" w:space="0"/>
              <w:right w:val="single" w:color="auto" w:sz="4" w:space="0"/>
            </w:tcBorders>
            <w:vAlign w:val="center"/>
          </w:tcPr>
          <w:p w14:paraId="410F743F">
            <w:pPr>
              <w:pStyle w:val="8"/>
              <w:spacing w:line="240" w:lineRule="atLeast"/>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450万</w:t>
            </w:r>
          </w:p>
        </w:tc>
        <w:tc>
          <w:tcPr>
            <w:tcW w:w="1508" w:type="dxa"/>
            <w:tcBorders>
              <w:top w:val="single" w:color="auto" w:sz="4" w:space="0"/>
              <w:left w:val="single" w:color="auto" w:sz="4" w:space="0"/>
              <w:bottom w:val="single" w:color="auto" w:sz="4" w:space="0"/>
              <w:right w:val="single" w:color="auto" w:sz="4" w:space="0"/>
            </w:tcBorders>
            <w:vAlign w:val="center"/>
          </w:tcPr>
          <w:p w14:paraId="08EB7207">
            <w:pPr>
              <w:pStyle w:val="8"/>
              <w:spacing w:line="240" w:lineRule="atLeast"/>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2（一用一备）</w:t>
            </w:r>
          </w:p>
        </w:tc>
        <w:tc>
          <w:tcPr>
            <w:tcW w:w="2857" w:type="dxa"/>
            <w:tcBorders>
              <w:top w:val="single" w:color="auto" w:sz="4" w:space="0"/>
              <w:left w:val="single" w:color="auto" w:sz="4" w:space="0"/>
              <w:bottom w:val="single" w:color="auto" w:sz="4" w:space="0"/>
              <w:right w:val="single" w:color="auto" w:sz="4" w:space="0"/>
            </w:tcBorders>
            <w:vAlign w:val="center"/>
          </w:tcPr>
          <w:p w14:paraId="4B82218D">
            <w:pPr>
              <w:pStyle w:val="8"/>
              <w:spacing w:line="240" w:lineRule="atLeast"/>
              <w:ind w:left="0"/>
              <w:jc w:val="left"/>
              <w:rPr>
                <w:rFonts w:ascii="宋体" w:hAnsi="宋体" w:cs="宋体"/>
                <w:color w:val="auto"/>
                <w:sz w:val="24"/>
                <w:szCs w:val="24"/>
                <w:highlight w:val="none"/>
              </w:rPr>
            </w:pPr>
            <w:r>
              <w:rPr>
                <w:rFonts w:hint="eastAsia" w:ascii="宋体" w:hAnsi="宋体" w:cs="宋体"/>
                <w:color w:val="auto"/>
                <w:sz w:val="24"/>
                <w:szCs w:val="24"/>
                <w:highlight w:val="none"/>
              </w:rPr>
              <w:t>1、本分包投标产品或服务必须为中国大陆境内生产或提供。</w:t>
            </w:r>
          </w:p>
          <w:p w14:paraId="5A4E021A">
            <w:pPr>
              <w:pStyle w:val="8"/>
              <w:spacing w:line="240" w:lineRule="atLeast"/>
              <w:ind w:left="0"/>
              <w:jc w:val="left"/>
              <w:rPr>
                <w:rFonts w:ascii="宋体" w:hAnsi="宋体" w:cs="宋体"/>
                <w:color w:val="auto"/>
                <w:sz w:val="24"/>
                <w:szCs w:val="24"/>
                <w:highlight w:val="none"/>
              </w:rPr>
            </w:pPr>
            <w:r>
              <w:rPr>
                <w:rFonts w:hint="eastAsia" w:ascii="宋体" w:hAnsi="宋体" w:cs="宋体"/>
                <w:color w:val="auto"/>
                <w:sz w:val="24"/>
                <w:szCs w:val="24"/>
                <w:highlight w:val="none"/>
              </w:rPr>
              <w:t>2、合同期3年（2026年7月1日-2029年6月30日）。</w:t>
            </w:r>
          </w:p>
          <w:p w14:paraId="7DB37E27">
            <w:pPr>
              <w:pStyle w:val="8"/>
              <w:spacing w:line="240" w:lineRule="atLeast"/>
              <w:ind w:left="0"/>
              <w:jc w:val="left"/>
              <w:rPr>
                <w:rFonts w:ascii="宋体" w:hAnsi="宋体" w:cs="宋体"/>
                <w:color w:val="auto"/>
                <w:sz w:val="24"/>
                <w:szCs w:val="24"/>
                <w:highlight w:val="none"/>
              </w:rPr>
            </w:pPr>
            <w:r>
              <w:rPr>
                <w:rFonts w:hint="eastAsia" w:ascii="宋体" w:hAnsi="宋体" w:cs="宋体"/>
                <w:color w:val="auto"/>
                <w:sz w:val="24"/>
                <w:szCs w:val="24"/>
                <w:highlight w:val="none"/>
              </w:rPr>
              <w:t>3、“思政课”教材按上级规定执行。</w:t>
            </w:r>
          </w:p>
        </w:tc>
      </w:tr>
    </w:tbl>
    <w:p w14:paraId="72A18F28">
      <w:pPr>
        <w:pStyle w:val="5"/>
        <w:spacing w:line="400" w:lineRule="exact"/>
        <w:ind w:firstLine="482" w:firstLineChars="200"/>
        <w:rPr>
          <w:rFonts w:cs="宋体"/>
          <w:color w:val="auto"/>
          <w:sz w:val="24"/>
          <w:szCs w:val="24"/>
          <w:highlight w:val="none"/>
        </w:rPr>
      </w:pPr>
      <w:bookmarkStart w:id="36" w:name="_Toc32328"/>
      <w:r>
        <w:rPr>
          <w:rFonts w:hint="eastAsia" w:cs="宋体"/>
          <w:b/>
          <w:color w:val="auto"/>
          <w:sz w:val="24"/>
          <w:szCs w:val="24"/>
          <w:highlight w:val="none"/>
        </w:rPr>
        <w:t>二、</w:t>
      </w:r>
      <w:bookmarkEnd w:id="34"/>
      <w:r>
        <w:rPr>
          <w:rFonts w:hint="eastAsia" w:cs="宋体"/>
          <w:b/>
          <w:color w:val="auto"/>
          <w:sz w:val="24"/>
          <w:szCs w:val="24"/>
          <w:highlight w:val="none"/>
        </w:rPr>
        <w:t>项目服务需求</w:t>
      </w:r>
      <w:bookmarkEnd w:id="35"/>
      <w:bookmarkEnd w:id="36"/>
    </w:p>
    <w:p w14:paraId="3AFDDF14">
      <w:pPr>
        <w:snapToGrid w:val="0"/>
        <w:spacing w:line="400" w:lineRule="exact"/>
        <w:ind w:firstLine="480" w:firstLineChars="200"/>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（一）项目基本要求</w:t>
      </w:r>
    </w:p>
    <w:p w14:paraId="3863CB52">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供应商必须保证所提供教材符合国家相关法律法规之规定，必须是出版社出版的正版教材，不得夹杂非法、盗版、盗印等出版物。</w:t>
      </w:r>
    </w:p>
    <w:p w14:paraId="677BE673">
      <w:pPr>
        <w:snapToGrid w:val="0"/>
        <w:spacing w:line="400" w:lineRule="exact"/>
        <w:ind w:firstLine="480" w:firstLineChars="200"/>
        <w:rPr>
          <w:rFonts w:ascii="宋体" w:hAnsi="宋体" w:cs="宋体"/>
          <w:b/>
          <w:bCs/>
          <w:color w:val="auto"/>
          <w:sz w:val="24"/>
          <w:szCs w:val="24"/>
          <w:highlight w:val="none"/>
        </w:rPr>
      </w:pPr>
      <w:bookmarkStart w:id="37" w:name="_Toc30301"/>
      <w:r>
        <w:rPr>
          <w:rFonts w:hint="eastAsia" w:cs="宋体"/>
          <w:color w:val="auto"/>
          <w:sz w:val="24"/>
          <w:szCs w:val="24"/>
          <w:highlight w:val="none"/>
        </w:rPr>
        <w:t>※</w:t>
      </w:r>
      <w:r>
        <w:rPr>
          <w:rFonts w:hint="eastAsia" w:ascii="宋体" w:hAnsi="宋体" w:cs="宋体"/>
          <w:b/>
          <w:bCs/>
          <w:color w:val="auto"/>
          <w:sz w:val="24"/>
          <w:szCs w:val="24"/>
          <w:highlight w:val="none"/>
        </w:rPr>
        <w:t>（二）教材预订具体要求</w:t>
      </w:r>
      <w:bookmarkEnd w:id="37"/>
    </w:p>
    <w:p w14:paraId="1744A591">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必须在每年的春季和秋季在采购人订购教材之前，根据采购人要求，提供足够数量的、完整的、最新的《全国高等学校教材征订目录》和相关电子出版物的征订目录。征订目录可以是书本式或电子出版物形式。供应商应指定专人按时将《全国高等学校教材征订目录》和相关电子出版物的征订目录送到采购人指定的人员处。每种教材的书目信息在没有变动的情况下只发布一次。</w:t>
      </w:r>
    </w:p>
    <w:p w14:paraId="3F9072B5">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2.采购人向供应商提供教材需求信息时，须分别注明各种教材送达的确切地点、联系人和联系方式。</w:t>
      </w:r>
    </w:p>
    <w:p w14:paraId="238D6B16">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供应商根据学生网上预订教材数据，应在3个工作日内向采购人指定人员反馈无法订到教材的清单，以书面形式分析、说明原因，以便有关教材品种的调整或变更。否则，由此造成供应商不能按时提供学生订购的教材，或不能按指定时间向学生发放教材，造成采购人教学秩序紊乱的责任全部由供应商承担，出现该类情况时供应商应向采购人支付该批次教材总码洋3倍的赔偿金。在导致事态特别严重的情况下，采购人保留追究供应商及有关人员民事责任的权利。</w:t>
      </w:r>
    </w:p>
    <w:p w14:paraId="035202F6">
      <w:pPr>
        <w:snapToGrid w:val="0"/>
        <w:spacing w:line="400" w:lineRule="exact"/>
        <w:ind w:firstLine="480" w:firstLineChars="200"/>
        <w:rPr>
          <w:rFonts w:ascii="宋体" w:hAnsi="宋体" w:cs="宋体"/>
          <w:b/>
          <w:bCs/>
          <w:color w:val="auto"/>
          <w:sz w:val="24"/>
          <w:szCs w:val="24"/>
          <w:highlight w:val="none"/>
        </w:rPr>
      </w:pPr>
      <w:bookmarkStart w:id="38" w:name="_Toc22390"/>
      <w:r>
        <w:rPr>
          <w:rFonts w:hint="eastAsia" w:cs="宋体"/>
          <w:color w:val="auto"/>
          <w:sz w:val="24"/>
          <w:szCs w:val="24"/>
          <w:highlight w:val="none"/>
        </w:rPr>
        <w:t>※</w:t>
      </w:r>
      <w:r>
        <w:rPr>
          <w:rFonts w:hint="eastAsia" w:ascii="宋体" w:hAnsi="宋体" w:cs="宋体"/>
          <w:b/>
          <w:bCs/>
          <w:color w:val="auto"/>
          <w:sz w:val="24"/>
          <w:szCs w:val="24"/>
          <w:highlight w:val="none"/>
        </w:rPr>
        <w:t>（三）教材供应具体要求</w:t>
      </w:r>
      <w:bookmarkEnd w:id="38"/>
    </w:p>
    <w:p w14:paraId="7C485448">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1.供应商根据采购人学生在线预订的品种、规格、数量、质量和供给时间进行采购，并在采购人规定的时间前将其运送到采购人指定地点。 </w:t>
      </w:r>
    </w:p>
    <w:p w14:paraId="7DD641D8">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2.供应商保证向采购人提供的所有教材均有正式版权，并承担其版权责任。</w:t>
      </w:r>
    </w:p>
    <w:p w14:paraId="1FA8FDC5">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3.供应商应提供较完备的教材数据，内容必须包括：国际标准书号、统一书号、标准号、正副题名、丛书名、编者、出版社名称、版次、出版年月、价格、内容提要等。</w:t>
      </w:r>
    </w:p>
    <w:p w14:paraId="311C439C">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4.供应商应在采购人规定时间内及时提供未到教材的清单，并在限定时间内补充未到的教材。</w:t>
      </w:r>
    </w:p>
    <w:p w14:paraId="245A97BB">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5.供应商须具有可供学生自主预订教材、并完成网上支付尾款的教材在线征订与管理平台，学生上网自主订购。同时，须提供每学期期初2周内，在学校指定场地为学生零购教材提供服务。</w:t>
      </w:r>
    </w:p>
    <w:p w14:paraId="427BB587">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供应商不能因学生在线预订的某种教材的数量少而拒绝组织对外采购，产生此类情况后，采购人将视成交供应商未履行合同，由此产生的经济损失由成交供应商承担，且采购人保留向成交供应商追究相关责任的权利。</w:t>
      </w:r>
    </w:p>
    <w:p w14:paraId="1EEFD8A8">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7.供应商提供的预订教材信息若有不符合采购人需求的教材信息、或遇教材出版过程中出现书名、价格等发生重大变化时，成交供应商应及时书面或电子形式通知采购人，以便采购人重新确认教材信息。</w:t>
      </w:r>
    </w:p>
    <w:p w14:paraId="72576BFC">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8.供应商具有熟悉电子商务的网络技术人员和营销人员并安排专人负责与采购人进行业务联系，便于供需双方开展教材的网络销售工作。</w:t>
      </w:r>
    </w:p>
    <w:p w14:paraId="1ED6A347">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9.供应商应具备高校教材征订、储运、调剂、退换及结算能力。</w:t>
      </w:r>
    </w:p>
    <w:p w14:paraId="2B4290AB">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售后服务机构设置：投标人为重庆本地企业的，提供在渝工商注册证明复印件；在重庆常设常驻分支机构、办事处的，提供投标人在渝设立常驻分支机构、办事处证明和在渝房产或房屋租赁协议证明材料复印件；投标人授权本地服务机构的，提供授权书或服务协议复印件。</w:t>
      </w:r>
    </w:p>
    <w:p w14:paraId="33B4BA9A">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11.供应商应具有不低于400平方米（含）以上库房（房屋证明以产权证、租房合同、合作协议等证明为准）。</w:t>
      </w:r>
    </w:p>
    <w:p w14:paraId="37676E8D">
      <w:pPr>
        <w:snapToGrid w:val="0"/>
        <w:spacing w:line="400" w:lineRule="exact"/>
        <w:ind w:firstLine="480" w:firstLineChars="200"/>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（四）教材运送基本要求</w:t>
      </w:r>
    </w:p>
    <w:p w14:paraId="1608F170">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供应商负责按采购人指定时间要求免费送教材到校（由采购人指定不同校区的地点）。</w:t>
      </w:r>
    </w:p>
    <w:p w14:paraId="702323D6">
      <w:pPr>
        <w:snapToGrid w:val="0"/>
        <w:spacing w:line="400" w:lineRule="exact"/>
        <w:ind w:firstLine="480" w:firstLineChars="200"/>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（五）教材配发基本要求</w:t>
      </w:r>
    </w:p>
    <w:p w14:paraId="0F22B3E5">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1.供应商必须安排教材人员按采购人指定时间、地点要求为学生配发教材，并接受采购人对教材配发工作的指导。</w:t>
      </w:r>
    </w:p>
    <w:p w14:paraId="415C0214">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2.供应商的教材配发人员未按采购人要求及时到位，按每次违约叁仟元支付违约金，从履约保证金中扣除。</w:t>
      </w:r>
    </w:p>
    <w:p w14:paraId="01C8815A">
      <w:pPr>
        <w:snapToGrid w:val="0"/>
        <w:spacing w:line="400" w:lineRule="exact"/>
        <w:ind w:firstLine="480" w:firstLineChars="200"/>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（六）教材在线征订与管理平台的基本功能</w:t>
      </w:r>
    </w:p>
    <w:p w14:paraId="04170322">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学生可通过教材管理系统自主订购教材，平台必须充分满足学生在互联网和移动互联网（手机app）订购需求，做到教材服务准确、高效。同时具备但不限于以下功能：</w:t>
      </w:r>
    </w:p>
    <w:p w14:paraId="01DFF3FE">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1.须实现将学校现有基础数据与“教材管理系统”所需数据进行数据对接，并确保基础数据的一致性和完整性；</w:t>
      </w:r>
    </w:p>
    <w:p w14:paraId="07A00A12">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2.须实现以班级为单位对班级预订批量教材的全选功能，学生既可以全班或部分学生委托个人（班长或学习委员）登录“教材管理系统”进行订购；也可分别按个人登录“教材管理系统”进行订购；</w:t>
      </w:r>
    </w:p>
    <w:p w14:paraId="21AEFE9B">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3.学生在线缴纳教材款；学生通过“教材管理系统”完成所订购教材的缴费。须实现以班级为单位对班级全选批量教材缴费，学生既可以全班或部分学生委托个人（班长或学习委员）缴费，也可分别按个人缴费；</w:t>
      </w:r>
    </w:p>
    <w:p w14:paraId="516A4E5D">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4.准确汇总学生订购教材的数据，导出学生征订教材明细数据；</w:t>
      </w:r>
    </w:p>
    <w:p w14:paraId="764D31D4">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5.学校教材管理人员有“教材管理系统”系统管理账号和权限，能实时查看教材信息更新的情况，能实时查看教材征订工作进度情况。</w:t>
      </w:r>
    </w:p>
    <w:p w14:paraId="0A7D8F60">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6.满足学校购书工作流程时间安排，各阶段任务都能很好实现。</w:t>
      </w:r>
    </w:p>
    <w:p w14:paraId="0DF20502">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7.不同身份（学生、学院教务办、学校管理员）进入各自模块分用户操作的功能。</w:t>
      </w:r>
    </w:p>
    <w:p w14:paraId="18B6DADF">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8.快速导入学生选课数据，并提供最新完整的《全国高等学校教材征订目录》等教材信息数据。</w:t>
      </w:r>
    </w:p>
    <w:p w14:paraId="39F758E1">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9.学生个人教材预订功能（能实现教材预订、订单修改、查询等功能）。</w:t>
      </w:r>
    </w:p>
    <w:p w14:paraId="61198E99">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10.班级教材管理功能（能批量实现教材预订、订单修改、查询班级教材预订明细、管理班级教材订单、管理班级成员等功能）。</w:t>
      </w:r>
    </w:p>
    <w:p w14:paraId="2C805BC6">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11.校、院两级教材管理功能（能实现查询教材预订订单、管理订单、统计汇总、打印订单、数据导入导出等功能。</w:t>
      </w:r>
    </w:p>
    <w:p w14:paraId="534D8CC0">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12.能面向校、院、班级批量发布通知或学生个人发布通知，及时告知有关教材订购、发书等信息。</w:t>
      </w:r>
    </w:p>
    <w:p w14:paraId="611D8913">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13.能实现个人和班级批量缴纳订金和支付尾款功能。</w:t>
      </w:r>
    </w:p>
    <w:p w14:paraId="45208A40">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14.能实现支付宝、微信等国家认可的缴费方式（预订、支付尾款、确认支付）</w:t>
      </w:r>
    </w:p>
    <w:p w14:paraId="0C6485C1">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15.支付快捷，并能向学生提供正规发票。</w:t>
      </w:r>
    </w:p>
    <w:p w14:paraId="076C020D">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16.能通过电脑、手机等方便操作，用身份证或者学号等均可以注册、登录。</w:t>
      </w:r>
    </w:p>
    <w:p w14:paraId="55976465">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17.密码安全、有密保邮箱、界面简洁、美观大方、友好、易用性强。</w:t>
      </w:r>
    </w:p>
    <w:p w14:paraId="2BF34EF5">
      <w:pPr>
        <w:snapToGrid w:val="0"/>
        <w:spacing w:line="400" w:lineRule="exact"/>
        <w:ind w:firstLine="480" w:firstLineChars="200"/>
        <w:rPr>
          <w:rFonts w:cs="宋体"/>
          <w:color w:val="auto"/>
          <w:sz w:val="24"/>
          <w:szCs w:val="24"/>
          <w:highlight w:val="none"/>
        </w:rPr>
      </w:pPr>
      <w:r>
        <w:rPr>
          <w:rFonts w:hint="eastAsia" w:cs="宋体"/>
          <w:color w:val="auto"/>
          <w:sz w:val="24"/>
          <w:szCs w:val="24"/>
          <w:highlight w:val="none"/>
        </w:rPr>
        <w:t>18.准确汇总学生订购教材的数据，导出学生征订教材明细数据；</w:t>
      </w:r>
    </w:p>
    <w:p w14:paraId="3028E5CC">
      <w:pPr>
        <w:snapToGrid w:val="0"/>
        <w:spacing w:line="400" w:lineRule="exact"/>
        <w:ind w:firstLine="480" w:firstLineChars="200"/>
        <w:rPr>
          <w:rFonts w:ascii="宋体" w:hAnsi="宋体" w:cs="宋体"/>
          <w:color w:val="auto"/>
          <w:sz w:val="24"/>
          <w:szCs w:val="24"/>
          <w:highlight w:val="none"/>
        </w:rPr>
      </w:pPr>
      <w:r>
        <w:rPr>
          <w:rFonts w:hint="eastAsia" w:cs="宋体"/>
          <w:color w:val="auto"/>
          <w:sz w:val="24"/>
          <w:szCs w:val="24"/>
          <w:highlight w:val="none"/>
        </w:rPr>
        <w:t>19.学校教材管理人员有“教材管理系统”系统管理账号和权限，能实时查看教材信息更新的情况，能实时查看教材征订工作进度情况</w:t>
      </w:r>
    </w:p>
    <w:p w14:paraId="2C047FF4">
      <w:pPr>
        <w:snapToGrid w:val="0"/>
        <w:spacing w:line="400" w:lineRule="exact"/>
        <w:ind w:firstLine="480" w:firstLineChars="200"/>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（七）学生教材款资金安全保障</w:t>
      </w:r>
    </w:p>
    <w:p w14:paraId="43AD7A00">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学校确认使用“教材管理系统”的成交供应商，必须确保学生订购教材的资金安全，若成交供应商出现经营不善、订购资金挪用、遗失或其他财务风险问题，导致教材不能按期分发从而产生一些列的教学秩序和群体性安全稳定风险，因此需要提供见索即付商业银行保函，如发生以上风险，学校将代表学生凭保函正本向商业银行索赔。中标人应确保银行保函不应早于在学生领取使用教材满两周且无任何遗留问题的情况下到期。</w:t>
      </w:r>
    </w:p>
    <w:p w14:paraId="712E1AFA">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具体分2步（供应商向学校教务处提供银行保函，教务处登记备案后转财务处保管）：</w:t>
      </w:r>
    </w:p>
    <w:p w14:paraId="10CDE5E1">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1.采购人订购教材前，中标人应提前至少15个日历日申请银行保函，以充分确保采购人订购教材前至少2个工作日向学校提交70万元(秋季)/30万（春季）的银行履约保函原件。</w:t>
      </w:r>
    </w:p>
    <w:p w14:paraId="45F8A25C">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2.学生领取使用教材满两周且无任何遗留问题的情况下全额退还履约保函。</w:t>
      </w:r>
    </w:p>
    <w:p w14:paraId="6E79710C">
      <w:pPr>
        <w:snapToGrid w:val="0"/>
        <w:spacing w:line="400" w:lineRule="exact"/>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（八）</w:t>
      </w:r>
      <w:r>
        <w:rPr>
          <w:rFonts w:hint="eastAsia" w:ascii="宋体" w:hAnsi="宋体" w:cs="宋体"/>
          <w:b/>
          <w:bCs/>
          <w:color w:val="auto"/>
          <w:kern w:val="0"/>
          <w:sz w:val="24"/>
          <w:szCs w:val="24"/>
          <w:highlight w:val="none"/>
        </w:rPr>
        <w:t>购书工作时间安排</w:t>
      </w:r>
    </w:p>
    <w:p w14:paraId="43F2BA18">
      <w:pPr>
        <w:snapToGrid w:val="0"/>
        <w:spacing w:line="400" w:lineRule="exact"/>
        <w:rPr>
          <w:rFonts w:cs="宋体"/>
          <w:color w:val="auto"/>
          <w:sz w:val="24"/>
          <w:szCs w:val="24"/>
          <w:highlight w:val="none"/>
        </w:rPr>
      </w:pPr>
      <w:r>
        <w:rPr>
          <w:rFonts w:hint="eastAsia" w:cs="宋体"/>
          <w:color w:val="auto"/>
          <w:sz w:val="24"/>
          <w:szCs w:val="24"/>
          <w:highlight w:val="none"/>
        </w:rPr>
        <w:t>供应商应按照采购人教务处的教学时间安排进行教材的预订、运送、配发等工作。每学期学生的购书工作时间安排如下：</w:t>
      </w:r>
    </w:p>
    <w:p w14:paraId="51D9F160">
      <w:pPr>
        <w:snapToGrid w:val="0"/>
        <w:spacing w:line="400" w:lineRule="exact"/>
        <w:rPr>
          <w:rFonts w:cs="宋体"/>
          <w:color w:val="auto"/>
          <w:sz w:val="24"/>
          <w:szCs w:val="24"/>
          <w:highlight w:val="none"/>
        </w:rPr>
      </w:pPr>
      <w:r>
        <w:rPr>
          <w:rFonts w:hint="eastAsia" w:cs="宋体"/>
          <w:color w:val="auto"/>
          <w:sz w:val="24"/>
          <w:szCs w:val="24"/>
          <w:highlight w:val="none"/>
        </w:rPr>
        <w:t>1.老生</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25"/>
        <w:gridCol w:w="5415"/>
        <w:gridCol w:w="1804"/>
      </w:tblGrid>
      <w:tr w14:paraId="417A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tcPr>
          <w:p w14:paraId="310DD4BB">
            <w:pPr>
              <w:snapToGrid w:val="0"/>
              <w:spacing w:line="400" w:lineRule="exact"/>
              <w:jc w:val="center"/>
              <w:rPr>
                <w:rFonts w:cs="宋体"/>
                <w:color w:val="auto"/>
                <w:sz w:val="24"/>
                <w:szCs w:val="24"/>
                <w:highlight w:val="none"/>
              </w:rPr>
            </w:pPr>
            <w:r>
              <w:rPr>
                <w:rFonts w:hint="eastAsia" w:cs="宋体"/>
                <w:color w:val="auto"/>
                <w:sz w:val="24"/>
                <w:szCs w:val="24"/>
                <w:highlight w:val="none"/>
              </w:rPr>
              <w:t>序号</w:t>
            </w:r>
          </w:p>
        </w:tc>
        <w:tc>
          <w:tcPr>
            <w:tcW w:w="2025" w:type="dxa"/>
          </w:tcPr>
          <w:p w14:paraId="7AA6D023">
            <w:pPr>
              <w:snapToGrid w:val="0"/>
              <w:spacing w:line="400" w:lineRule="exact"/>
              <w:jc w:val="center"/>
              <w:rPr>
                <w:rFonts w:cs="宋体"/>
                <w:color w:val="auto"/>
                <w:sz w:val="24"/>
                <w:szCs w:val="24"/>
                <w:highlight w:val="none"/>
              </w:rPr>
            </w:pPr>
            <w:r>
              <w:rPr>
                <w:rFonts w:hint="eastAsia" w:cs="宋体"/>
                <w:color w:val="auto"/>
                <w:sz w:val="24"/>
                <w:szCs w:val="24"/>
                <w:highlight w:val="none"/>
              </w:rPr>
              <w:t>时间</w:t>
            </w:r>
          </w:p>
        </w:tc>
        <w:tc>
          <w:tcPr>
            <w:tcW w:w="5415" w:type="dxa"/>
          </w:tcPr>
          <w:p w14:paraId="6C8BD67C">
            <w:pPr>
              <w:snapToGrid w:val="0"/>
              <w:spacing w:line="400" w:lineRule="exact"/>
              <w:jc w:val="center"/>
              <w:rPr>
                <w:rFonts w:cs="宋体"/>
                <w:color w:val="auto"/>
                <w:sz w:val="24"/>
                <w:szCs w:val="24"/>
                <w:highlight w:val="none"/>
              </w:rPr>
            </w:pPr>
            <w:r>
              <w:rPr>
                <w:rFonts w:hint="eastAsia" w:cs="宋体"/>
                <w:color w:val="auto"/>
                <w:sz w:val="24"/>
                <w:szCs w:val="24"/>
                <w:highlight w:val="none"/>
              </w:rPr>
              <w:t>事项</w:t>
            </w:r>
          </w:p>
        </w:tc>
        <w:tc>
          <w:tcPr>
            <w:tcW w:w="1804" w:type="dxa"/>
          </w:tcPr>
          <w:p w14:paraId="4BB031FB">
            <w:pPr>
              <w:snapToGrid w:val="0"/>
              <w:spacing w:line="400" w:lineRule="exact"/>
              <w:jc w:val="center"/>
              <w:rPr>
                <w:rFonts w:cs="宋体"/>
                <w:color w:val="auto"/>
                <w:sz w:val="24"/>
                <w:szCs w:val="24"/>
                <w:highlight w:val="none"/>
              </w:rPr>
            </w:pPr>
            <w:r>
              <w:rPr>
                <w:rFonts w:hint="eastAsia" w:cs="宋体"/>
                <w:color w:val="auto"/>
                <w:sz w:val="24"/>
                <w:szCs w:val="24"/>
                <w:highlight w:val="none"/>
              </w:rPr>
              <w:t>相关人员</w:t>
            </w:r>
          </w:p>
        </w:tc>
      </w:tr>
      <w:tr w14:paraId="6458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0B5F628B">
            <w:pPr>
              <w:snapToGrid w:val="0"/>
              <w:spacing w:line="400" w:lineRule="exact"/>
              <w:jc w:val="center"/>
              <w:rPr>
                <w:rFonts w:cs="宋体"/>
                <w:color w:val="auto"/>
                <w:sz w:val="24"/>
                <w:szCs w:val="24"/>
                <w:highlight w:val="none"/>
              </w:rPr>
            </w:pPr>
            <w:r>
              <w:rPr>
                <w:rFonts w:hint="eastAsia" w:cs="宋体"/>
                <w:color w:val="auto"/>
                <w:sz w:val="24"/>
                <w:szCs w:val="24"/>
                <w:highlight w:val="none"/>
              </w:rPr>
              <w:t>1</w:t>
            </w:r>
          </w:p>
        </w:tc>
        <w:tc>
          <w:tcPr>
            <w:tcW w:w="2025" w:type="dxa"/>
            <w:vAlign w:val="center"/>
          </w:tcPr>
          <w:p w14:paraId="65542BB6">
            <w:pPr>
              <w:snapToGrid w:val="0"/>
              <w:spacing w:line="400" w:lineRule="exact"/>
              <w:jc w:val="center"/>
              <w:rPr>
                <w:rFonts w:cs="宋体"/>
                <w:color w:val="auto"/>
                <w:sz w:val="24"/>
                <w:szCs w:val="24"/>
                <w:highlight w:val="none"/>
              </w:rPr>
            </w:pPr>
            <w:r>
              <w:rPr>
                <w:rFonts w:hint="eastAsia" w:cs="宋体"/>
                <w:color w:val="auto"/>
                <w:sz w:val="24"/>
                <w:szCs w:val="24"/>
                <w:highlight w:val="none"/>
              </w:rPr>
              <w:t>第10-12周</w:t>
            </w:r>
          </w:p>
        </w:tc>
        <w:tc>
          <w:tcPr>
            <w:tcW w:w="5415" w:type="dxa"/>
            <w:vAlign w:val="center"/>
          </w:tcPr>
          <w:p w14:paraId="691DCE50">
            <w:pPr>
              <w:snapToGrid w:val="0"/>
              <w:spacing w:line="400" w:lineRule="exact"/>
              <w:rPr>
                <w:rFonts w:cs="宋体"/>
                <w:color w:val="auto"/>
                <w:sz w:val="24"/>
                <w:szCs w:val="24"/>
                <w:highlight w:val="none"/>
              </w:rPr>
            </w:pPr>
            <w:r>
              <w:rPr>
                <w:rFonts w:hint="eastAsia" w:cs="宋体"/>
                <w:color w:val="auto"/>
                <w:sz w:val="24"/>
                <w:szCs w:val="24"/>
                <w:highlight w:val="none"/>
              </w:rPr>
              <w:t>教学计划确定</w:t>
            </w:r>
          </w:p>
        </w:tc>
        <w:tc>
          <w:tcPr>
            <w:tcW w:w="1804" w:type="dxa"/>
            <w:vAlign w:val="center"/>
          </w:tcPr>
          <w:p w14:paraId="3780D42A">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3375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Merge w:val="restart"/>
            <w:vAlign w:val="center"/>
          </w:tcPr>
          <w:p w14:paraId="24FC97F4">
            <w:pPr>
              <w:snapToGrid w:val="0"/>
              <w:spacing w:line="400" w:lineRule="exact"/>
              <w:jc w:val="center"/>
              <w:rPr>
                <w:rFonts w:cs="宋体"/>
                <w:color w:val="auto"/>
                <w:sz w:val="24"/>
                <w:szCs w:val="24"/>
                <w:highlight w:val="none"/>
              </w:rPr>
            </w:pPr>
            <w:r>
              <w:rPr>
                <w:rFonts w:hint="eastAsia" w:cs="宋体"/>
                <w:color w:val="auto"/>
                <w:sz w:val="24"/>
                <w:szCs w:val="24"/>
                <w:highlight w:val="none"/>
              </w:rPr>
              <w:t>2</w:t>
            </w:r>
          </w:p>
        </w:tc>
        <w:tc>
          <w:tcPr>
            <w:tcW w:w="2025" w:type="dxa"/>
            <w:vMerge w:val="restart"/>
            <w:vAlign w:val="center"/>
          </w:tcPr>
          <w:p w14:paraId="095E3E5D">
            <w:pPr>
              <w:snapToGrid w:val="0"/>
              <w:spacing w:line="400" w:lineRule="exact"/>
              <w:jc w:val="center"/>
              <w:rPr>
                <w:rFonts w:cs="宋体"/>
                <w:color w:val="auto"/>
                <w:sz w:val="24"/>
                <w:szCs w:val="24"/>
                <w:highlight w:val="none"/>
              </w:rPr>
            </w:pPr>
            <w:r>
              <w:rPr>
                <w:rFonts w:hint="eastAsia" w:cs="宋体"/>
                <w:color w:val="auto"/>
                <w:sz w:val="24"/>
                <w:szCs w:val="24"/>
                <w:highlight w:val="none"/>
              </w:rPr>
              <w:t>第13-14周</w:t>
            </w:r>
          </w:p>
          <w:p w14:paraId="7F8B3DA3">
            <w:pPr>
              <w:snapToGrid w:val="0"/>
              <w:spacing w:line="400" w:lineRule="exact"/>
              <w:jc w:val="center"/>
              <w:rPr>
                <w:rFonts w:cs="宋体"/>
                <w:color w:val="auto"/>
                <w:sz w:val="24"/>
                <w:szCs w:val="24"/>
                <w:highlight w:val="none"/>
              </w:rPr>
            </w:pPr>
            <w:r>
              <w:rPr>
                <w:rFonts w:hint="eastAsia" w:cs="宋体"/>
                <w:color w:val="auto"/>
                <w:sz w:val="24"/>
                <w:szCs w:val="24"/>
                <w:highlight w:val="none"/>
              </w:rPr>
              <w:t>（两轮选课完成）</w:t>
            </w:r>
          </w:p>
        </w:tc>
        <w:tc>
          <w:tcPr>
            <w:tcW w:w="5415" w:type="dxa"/>
            <w:vAlign w:val="center"/>
          </w:tcPr>
          <w:p w14:paraId="1BC89DD6">
            <w:pPr>
              <w:snapToGrid w:val="0"/>
              <w:spacing w:line="400" w:lineRule="exact"/>
              <w:rPr>
                <w:rFonts w:cs="宋体"/>
                <w:color w:val="auto"/>
                <w:sz w:val="24"/>
                <w:szCs w:val="24"/>
                <w:highlight w:val="none"/>
              </w:rPr>
            </w:pPr>
            <w:r>
              <w:rPr>
                <w:rFonts w:hint="eastAsia" w:cs="宋体"/>
                <w:color w:val="auto"/>
                <w:sz w:val="24"/>
                <w:szCs w:val="24"/>
                <w:highlight w:val="none"/>
              </w:rPr>
              <w:t>学生选课</w:t>
            </w:r>
          </w:p>
        </w:tc>
        <w:tc>
          <w:tcPr>
            <w:tcW w:w="1804" w:type="dxa"/>
            <w:vAlign w:val="center"/>
          </w:tcPr>
          <w:p w14:paraId="7A5BEBE3">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6ACA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Merge w:val="continue"/>
            <w:vAlign w:val="center"/>
          </w:tcPr>
          <w:p w14:paraId="37DC9BB2">
            <w:pPr>
              <w:snapToGrid w:val="0"/>
              <w:spacing w:line="400" w:lineRule="exact"/>
              <w:jc w:val="center"/>
              <w:rPr>
                <w:rFonts w:cs="宋体"/>
                <w:color w:val="auto"/>
                <w:sz w:val="24"/>
                <w:szCs w:val="24"/>
                <w:highlight w:val="none"/>
              </w:rPr>
            </w:pPr>
          </w:p>
        </w:tc>
        <w:tc>
          <w:tcPr>
            <w:tcW w:w="2025" w:type="dxa"/>
            <w:vMerge w:val="continue"/>
            <w:vAlign w:val="center"/>
          </w:tcPr>
          <w:p w14:paraId="254DD2BC">
            <w:pPr>
              <w:snapToGrid w:val="0"/>
              <w:spacing w:line="400" w:lineRule="exact"/>
              <w:jc w:val="center"/>
              <w:rPr>
                <w:rFonts w:cs="宋体"/>
                <w:color w:val="auto"/>
                <w:sz w:val="24"/>
                <w:szCs w:val="24"/>
                <w:highlight w:val="none"/>
              </w:rPr>
            </w:pPr>
          </w:p>
        </w:tc>
        <w:tc>
          <w:tcPr>
            <w:tcW w:w="5415" w:type="dxa"/>
            <w:vAlign w:val="center"/>
          </w:tcPr>
          <w:p w14:paraId="359A2C52">
            <w:pPr>
              <w:snapToGrid w:val="0"/>
              <w:spacing w:line="400" w:lineRule="exact"/>
              <w:rPr>
                <w:rFonts w:cs="宋体"/>
                <w:color w:val="auto"/>
                <w:sz w:val="24"/>
                <w:szCs w:val="24"/>
                <w:highlight w:val="none"/>
              </w:rPr>
            </w:pPr>
            <w:r>
              <w:rPr>
                <w:rFonts w:hint="eastAsia" w:cs="宋体"/>
                <w:color w:val="auto"/>
                <w:sz w:val="24"/>
                <w:szCs w:val="24"/>
                <w:highlight w:val="none"/>
              </w:rPr>
              <w:t>教师指定教材，通过相关审核程序</w:t>
            </w:r>
          </w:p>
        </w:tc>
        <w:tc>
          <w:tcPr>
            <w:tcW w:w="1804" w:type="dxa"/>
            <w:vAlign w:val="center"/>
          </w:tcPr>
          <w:p w14:paraId="76A31E34">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5BC51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7927636F">
            <w:pPr>
              <w:snapToGrid w:val="0"/>
              <w:spacing w:line="400" w:lineRule="exact"/>
              <w:jc w:val="center"/>
              <w:rPr>
                <w:rFonts w:cs="宋体"/>
                <w:color w:val="auto"/>
                <w:sz w:val="24"/>
                <w:szCs w:val="24"/>
                <w:highlight w:val="none"/>
              </w:rPr>
            </w:pPr>
            <w:r>
              <w:rPr>
                <w:rFonts w:hint="eastAsia" w:cs="宋体"/>
                <w:color w:val="auto"/>
                <w:sz w:val="24"/>
                <w:szCs w:val="24"/>
                <w:highlight w:val="none"/>
              </w:rPr>
              <w:t>3</w:t>
            </w:r>
          </w:p>
        </w:tc>
        <w:tc>
          <w:tcPr>
            <w:tcW w:w="2025" w:type="dxa"/>
            <w:vAlign w:val="center"/>
          </w:tcPr>
          <w:p w14:paraId="771E8DD6">
            <w:pPr>
              <w:snapToGrid w:val="0"/>
              <w:spacing w:line="400" w:lineRule="exact"/>
              <w:jc w:val="center"/>
              <w:rPr>
                <w:rFonts w:cs="宋体"/>
                <w:color w:val="auto"/>
                <w:sz w:val="24"/>
                <w:szCs w:val="24"/>
                <w:highlight w:val="none"/>
              </w:rPr>
            </w:pPr>
            <w:r>
              <w:rPr>
                <w:rFonts w:hint="eastAsia" w:cs="宋体"/>
                <w:color w:val="auto"/>
                <w:sz w:val="24"/>
                <w:szCs w:val="24"/>
                <w:highlight w:val="none"/>
              </w:rPr>
              <w:t>第14-15周</w:t>
            </w:r>
          </w:p>
        </w:tc>
        <w:tc>
          <w:tcPr>
            <w:tcW w:w="5415" w:type="dxa"/>
            <w:vAlign w:val="center"/>
          </w:tcPr>
          <w:p w14:paraId="6A3435F6">
            <w:pPr>
              <w:snapToGrid w:val="0"/>
              <w:spacing w:line="400" w:lineRule="exact"/>
              <w:rPr>
                <w:rFonts w:cs="宋体"/>
                <w:color w:val="auto"/>
                <w:sz w:val="24"/>
                <w:szCs w:val="24"/>
                <w:highlight w:val="none"/>
              </w:rPr>
            </w:pPr>
            <w:r>
              <w:rPr>
                <w:rFonts w:hint="eastAsia" w:cs="宋体"/>
                <w:color w:val="auto"/>
                <w:sz w:val="24"/>
                <w:szCs w:val="24"/>
                <w:highlight w:val="none"/>
              </w:rPr>
              <w:t>按购书平台数据要求、准备基础数据</w:t>
            </w:r>
          </w:p>
        </w:tc>
        <w:tc>
          <w:tcPr>
            <w:tcW w:w="1804" w:type="dxa"/>
            <w:vAlign w:val="center"/>
          </w:tcPr>
          <w:p w14:paraId="70071BDF">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5D8C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34047398">
            <w:pPr>
              <w:snapToGrid w:val="0"/>
              <w:spacing w:line="400" w:lineRule="exact"/>
              <w:jc w:val="center"/>
              <w:rPr>
                <w:rFonts w:cs="宋体"/>
                <w:color w:val="auto"/>
                <w:sz w:val="24"/>
                <w:szCs w:val="24"/>
                <w:highlight w:val="none"/>
              </w:rPr>
            </w:pPr>
            <w:r>
              <w:rPr>
                <w:rFonts w:hint="eastAsia" w:cs="宋体"/>
                <w:color w:val="auto"/>
                <w:sz w:val="24"/>
                <w:szCs w:val="24"/>
                <w:highlight w:val="none"/>
              </w:rPr>
              <w:t>4</w:t>
            </w:r>
          </w:p>
        </w:tc>
        <w:tc>
          <w:tcPr>
            <w:tcW w:w="2025" w:type="dxa"/>
            <w:vAlign w:val="center"/>
          </w:tcPr>
          <w:p w14:paraId="29D35CE5">
            <w:pPr>
              <w:snapToGrid w:val="0"/>
              <w:spacing w:line="400" w:lineRule="exact"/>
              <w:jc w:val="center"/>
              <w:rPr>
                <w:rFonts w:cs="宋体"/>
                <w:color w:val="auto"/>
                <w:sz w:val="24"/>
                <w:szCs w:val="24"/>
                <w:highlight w:val="none"/>
              </w:rPr>
            </w:pPr>
            <w:r>
              <w:rPr>
                <w:rFonts w:hint="eastAsia" w:cs="宋体"/>
                <w:color w:val="auto"/>
                <w:sz w:val="24"/>
                <w:szCs w:val="24"/>
                <w:highlight w:val="none"/>
              </w:rPr>
              <w:t>15周</w:t>
            </w:r>
          </w:p>
        </w:tc>
        <w:tc>
          <w:tcPr>
            <w:tcW w:w="5415" w:type="dxa"/>
            <w:vAlign w:val="center"/>
          </w:tcPr>
          <w:p w14:paraId="2C9F8C64">
            <w:pPr>
              <w:snapToGrid w:val="0"/>
              <w:spacing w:line="400" w:lineRule="exact"/>
              <w:rPr>
                <w:rFonts w:cs="宋体"/>
                <w:color w:val="auto"/>
                <w:sz w:val="24"/>
                <w:szCs w:val="24"/>
                <w:highlight w:val="none"/>
              </w:rPr>
            </w:pPr>
            <w:r>
              <w:rPr>
                <w:rFonts w:hint="eastAsia" w:cs="宋体"/>
                <w:color w:val="auto"/>
                <w:sz w:val="24"/>
                <w:szCs w:val="24"/>
                <w:highlight w:val="none"/>
              </w:rPr>
              <w:t>导入购书平台</w:t>
            </w:r>
          </w:p>
        </w:tc>
        <w:tc>
          <w:tcPr>
            <w:tcW w:w="1804" w:type="dxa"/>
            <w:vAlign w:val="center"/>
          </w:tcPr>
          <w:p w14:paraId="7FD9B1F0">
            <w:pPr>
              <w:snapToGrid w:val="0"/>
              <w:spacing w:line="400" w:lineRule="exact"/>
              <w:jc w:val="center"/>
              <w:rPr>
                <w:rFonts w:cs="宋体"/>
                <w:color w:val="auto"/>
                <w:sz w:val="24"/>
                <w:szCs w:val="24"/>
                <w:highlight w:val="none"/>
              </w:rPr>
            </w:pPr>
            <w:r>
              <w:rPr>
                <w:rFonts w:hint="eastAsia" w:cs="宋体"/>
                <w:color w:val="auto"/>
                <w:sz w:val="24"/>
                <w:szCs w:val="24"/>
                <w:highlight w:val="none"/>
              </w:rPr>
              <w:t>商家</w:t>
            </w:r>
          </w:p>
        </w:tc>
      </w:tr>
      <w:tr w14:paraId="7291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6A8CF209">
            <w:pPr>
              <w:snapToGrid w:val="0"/>
              <w:spacing w:line="400" w:lineRule="exact"/>
              <w:jc w:val="center"/>
              <w:rPr>
                <w:rFonts w:cs="宋体"/>
                <w:color w:val="auto"/>
                <w:sz w:val="24"/>
                <w:szCs w:val="24"/>
                <w:highlight w:val="none"/>
              </w:rPr>
            </w:pPr>
            <w:r>
              <w:rPr>
                <w:rFonts w:hint="eastAsia" w:cs="宋体"/>
                <w:color w:val="auto"/>
                <w:sz w:val="24"/>
                <w:szCs w:val="24"/>
                <w:highlight w:val="none"/>
              </w:rPr>
              <w:t>5</w:t>
            </w:r>
          </w:p>
        </w:tc>
        <w:tc>
          <w:tcPr>
            <w:tcW w:w="2025" w:type="dxa"/>
            <w:vAlign w:val="center"/>
          </w:tcPr>
          <w:p w14:paraId="3C2E3DB4">
            <w:pPr>
              <w:snapToGrid w:val="0"/>
              <w:spacing w:line="400" w:lineRule="exact"/>
              <w:jc w:val="center"/>
              <w:rPr>
                <w:rFonts w:cs="宋体"/>
                <w:color w:val="auto"/>
                <w:sz w:val="24"/>
                <w:szCs w:val="24"/>
                <w:highlight w:val="none"/>
              </w:rPr>
            </w:pPr>
            <w:r>
              <w:rPr>
                <w:rFonts w:hint="eastAsia" w:cs="宋体"/>
                <w:color w:val="auto"/>
                <w:sz w:val="24"/>
                <w:szCs w:val="24"/>
                <w:highlight w:val="none"/>
              </w:rPr>
              <w:t>15周</w:t>
            </w:r>
          </w:p>
        </w:tc>
        <w:tc>
          <w:tcPr>
            <w:tcW w:w="5415" w:type="dxa"/>
            <w:vAlign w:val="center"/>
          </w:tcPr>
          <w:p w14:paraId="5501F496">
            <w:pPr>
              <w:snapToGrid w:val="0"/>
              <w:spacing w:line="400" w:lineRule="exact"/>
              <w:rPr>
                <w:rFonts w:cs="宋体"/>
                <w:color w:val="auto"/>
                <w:sz w:val="24"/>
                <w:szCs w:val="24"/>
                <w:highlight w:val="none"/>
              </w:rPr>
            </w:pPr>
            <w:r>
              <w:rPr>
                <w:rFonts w:hint="eastAsia" w:cs="宋体"/>
                <w:color w:val="auto"/>
                <w:sz w:val="24"/>
                <w:szCs w:val="24"/>
                <w:highlight w:val="none"/>
              </w:rPr>
              <w:t>向学生发布订购通知</w:t>
            </w:r>
          </w:p>
        </w:tc>
        <w:tc>
          <w:tcPr>
            <w:tcW w:w="1804" w:type="dxa"/>
            <w:vAlign w:val="center"/>
          </w:tcPr>
          <w:p w14:paraId="4711024C">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3EDD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647E4C12">
            <w:pPr>
              <w:snapToGrid w:val="0"/>
              <w:spacing w:line="400" w:lineRule="exact"/>
              <w:jc w:val="center"/>
              <w:rPr>
                <w:rFonts w:cs="宋体"/>
                <w:color w:val="auto"/>
                <w:sz w:val="24"/>
                <w:szCs w:val="24"/>
                <w:highlight w:val="none"/>
              </w:rPr>
            </w:pPr>
            <w:r>
              <w:rPr>
                <w:rFonts w:hint="eastAsia" w:cs="宋体"/>
                <w:color w:val="auto"/>
                <w:sz w:val="24"/>
                <w:szCs w:val="24"/>
                <w:highlight w:val="none"/>
              </w:rPr>
              <w:t>6</w:t>
            </w:r>
          </w:p>
        </w:tc>
        <w:tc>
          <w:tcPr>
            <w:tcW w:w="2025" w:type="dxa"/>
            <w:vAlign w:val="center"/>
          </w:tcPr>
          <w:p w14:paraId="5C392860">
            <w:pPr>
              <w:snapToGrid w:val="0"/>
              <w:spacing w:line="400" w:lineRule="exact"/>
              <w:jc w:val="center"/>
              <w:rPr>
                <w:rFonts w:cs="宋体"/>
                <w:color w:val="auto"/>
                <w:sz w:val="24"/>
                <w:szCs w:val="24"/>
                <w:highlight w:val="none"/>
              </w:rPr>
            </w:pPr>
            <w:r>
              <w:rPr>
                <w:rFonts w:hint="eastAsia" w:cs="宋体"/>
                <w:color w:val="auto"/>
                <w:sz w:val="24"/>
                <w:szCs w:val="24"/>
                <w:highlight w:val="none"/>
              </w:rPr>
              <w:t>16周</w:t>
            </w:r>
          </w:p>
        </w:tc>
        <w:tc>
          <w:tcPr>
            <w:tcW w:w="5415" w:type="dxa"/>
            <w:vAlign w:val="center"/>
          </w:tcPr>
          <w:p w14:paraId="17CEE2EA">
            <w:pPr>
              <w:snapToGrid w:val="0"/>
              <w:spacing w:line="400" w:lineRule="exact"/>
              <w:rPr>
                <w:rFonts w:cs="宋体"/>
                <w:color w:val="auto"/>
                <w:sz w:val="24"/>
                <w:szCs w:val="24"/>
                <w:highlight w:val="none"/>
              </w:rPr>
            </w:pPr>
            <w:r>
              <w:rPr>
                <w:rFonts w:hint="eastAsia" w:cs="宋体"/>
                <w:color w:val="auto"/>
                <w:sz w:val="24"/>
                <w:szCs w:val="24"/>
                <w:highlight w:val="none"/>
              </w:rPr>
              <w:t>学生网上订购教材，通过支付宝等方式缴纳费用（个人订购、班级批量订购）</w:t>
            </w:r>
          </w:p>
          <w:p w14:paraId="76E3DE08">
            <w:pPr>
              <w:snapToGrid w:val="0"/>
              <w:spacing w:line="400" w:lineRule="exact"/>
              <w:rPr>
                <w:rFonts w:cs="宋体"/>
                <w:color w:val="auto"/>
                <w:sz w:val="24"/>
                <w:szCs w:val="24"/>
                <w:highlight w:val="none"/>
              </w:rPr>
            </w:pPr>
            <w:r>
              <w:rPr>
                <w:rFonts w:hint="eastAsia" w:cs="宋体"/>
                <w:color w:val="auto"/>
                <w:sz w:val="24"/>
                <w:szCs w:val="24"/>
                <w:highlight w:val="none"/>
              </w:rPr>
              <w:t>支付功能：个人支付、按班级支付</w:t>
            </w:r>
          </w:p>
        </w:tc>
        <w:tc>
          <w:tcPr>
            <w:tcW w:w="1804" w:type="dxa"/>
            <w:vAlign w:val="center"/>
          </w:tcPr>
          <w:p w14:paraId="1EC9CD7F">
            <w:pPr>
              <w:snapToGrid w:val="0"/>
              <w:spacing w:line="400" w:lineRule="exact"/>
              <w:jc w:val="center"/>
              <w:rPr>
                <w:rFonts w:cs="宋体"/>
                <w:color w:val="auto"/>
                <w:sz w:val="24"/>
                <w:szCs w:val="24"/>
                <w:highlight w:val="none"/>
              </w:rPr>
            </w:pPr>
            <w:r>
              <w:rPr>
                <w:rFonts w:hint="eastAsia" w:cs="宋体"/>
                <w:color w:val="auto"/>
                <w:sz w:val="24"/>
                <w:szCs w:val="24"/>
                <w:highlight w:val="none"/>
              </w:rPr>
              <w:t>学生</w:t>
            </w:r>
          </w:p>
        </w:tc>
      </w:tr>
      <w:tr w14:paraId="43EB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4ADB92CE">
            <w:pPr>
              <w:snapToGrid w:val="0"/>
              <w:spacing w:line="400" w:lineRule="exact"/>
              <w:jc w:val="center"/>
              <w:rPr>
                <w:rFonts w:cs="宋体"/>
                <w:color w:val="auto"/>
                <w:sz w:val="24"/>
                <w:szCs w:val="24"/>
                <w:highlight w:val="none"/>
              </w:rPr>
            </w:pPr>
            <w:r>
              <w:rPr>
                <w:rFonts w:hint="eastAsia" w:cs="宋体"/>
                <w:color w:val="auto"/>
                <w:sz w:val="24"/>
                <w:szCs w:val="24"/>
                <w:highlight w:val="none"/>
              </w:rPr>
              <w:t>7</w:t>
            </w:r>
          </w:p>
        </w:tc>
        <w:tc>
          <w:tcPr>
            <w:tcW w:w="2025" w:type="dxa"/>
            <w:vAlign w:val="center"/>
          </w:tcPr>
          <w:p w14:paraId="649BC9B7">
            <w:pPr>
              <w:snapToGrid w:val="0"/>
              <w:spacing w:line="400" w:lineRule="exact"/>
              <w:jc w:val="center"/>
              <w:rPr>
                <w:rFonts w:cs="宋体"/>
                <w:color w:val="auto"/>
                <w:sz w:val="24"/>
                <w:szCs w:val="24"/>
                <w:highlight w:val="none"/>
              </w:rPr>
            </w:pPr>
            <w:r>
              <w:rPr>
                <w:rFonts w:hint="eastAsia" w:cs="宋体"/>
                <w:color w:val="auto"/>
                <w:sz w:val="24"/>
                <w:szCs w:val="24"/>
                <w:highlight w:val="none"/>
              </w:rPr>
              <w:t>17周</w:t>
            </w:r>
          </w:p>
        </w:tc>
        <w:tc>
          <w:tcPr>
            <w:tcW w:w="5415" w:type="dxa"/>
            <w:vAlign w:val="center"/>
          </w:tcPr>
          <w:p w14:paraId="47966C5D">
            <w:pPr>
              <w:snapToGrid w:val="0"/>
              <w:spacing w:line="400" w:lineRule="exact"/>
              <w:rPr>
                <w:rFonts w:cs="宋体"/>
                <w:color w:val="auto"/>
                <w:sz w:val="24"/>
                <w:szCs w:val="24"/>
                <w:highlight w:val="none"/>
              </w:rPr>
            </w:pPr>
            <w:r>
              <w:rPr>
                <w:rFonts w:hint="eastAsia" w:cs="宋体"/>
                <w:color w:val="auto"/>
                <w:sz w:val="24"/>
                <w:szCs w:val="24"/>
                <w:highlight w:val="none"/>
              </w:rPr>
              <w:t>集中订购结束</w:t>
            </w:r>
          </w:p>
        </w:tc>
        <w:tc>
          <w:tcPr>
            <w:tcW w:w="1804" w:type="dxa"/>
            <w:vAlign w:val="center"/>
          </w:tcPr>
          <w:p w14:paraId="70C8016D">
            <w:pPr>
              <w:snapToGrid w:val="0"/>
              <w:spacing w:line="400" w:lineRule="exact"/>
              <w:jc w:val="center"/>
              <w:rPr>
                <w:rFonts w:cs="宋体"/>
                <w:color w:val="auto"/>
                <w:sz w:val="24"/>
                <w:szCs w:val="24"/>
                <w:highlight w:val="none"/>
              </w:rPr>
            </w:pPr>
            <w:r>
              <w:rPr>
                <w:rFonts w:hint="eastAsia" w:cs="宋体"/>
                <w:color w:val="auto"/>
                <w:sz w:val="24"/>
                <w:szCs w:val="24"/>
                <w:highlight w:val="none"/>
              </w:rPr>
              <w:t>学生</w:t>
            </w:r>
          </w:p>
        </w:tc>
      </w:tr>
      <w:tr w14:paraId="40C5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4200EDC6">
            <w:pPr>
              <w:snapToGrid w:val="0"/>
              <w:spacing w:line="400" w:lineRule="exact"/>
              <w:jc w:val="center"/>
              <w:rPr>
                <w:rFonts w:cs="宋体"/>
                <w:color w:val="auto"/>
                <w:sz w:val="24"/>
                <w:szCs w:val="24"/>
                <w:highlight w:val="none"/>
              </w:rPr>
            </w:pPr>
            <w:r>
              <w:rPr>
                <w:rFonts w:hint="eastAsia" w:cs="宋体"/>
                <w:color w:val="auto"/>
                <w:sz w:val="24"/>
                <w:szCs w:val="24"/>
                <w:highlight w:val="none"/>
              </w:rPr>
              <w:t>8</w:t>
            </w:r>
          </w:p>
        </w:tc>
        <w:tc>
          <w:tcPr>
            <w:tcW w:w="2025" w:type="dxa"/>
            <w:vAlign w:val="center"/>
          </w:tcPr>
          <w:p w14:paraId="38AE8C1D">
            <w:pPr>
              <w:snapToGrid w:val="0"/>
              <w:spacing w:line="400" w:lineRule="exact"/>
              <w:jc w:val="center"/>
              <w:rPr>
                <w:rFonts w:cs="宋体"/>
                <w:color w:val="auto"/>
                <w:sz w:val="24"/>
                <w:szCs w:val="24"/>
                <w:highlight w:val="none"/>
              </w:rPr>
            </w:pPr>
            <w:r>
              <w:rPr>
                <w:rFonts w:hint="eastAsia" w:cs="宋体"/>
                <w:color w:val="auto"/>
                <w:sz w:val="24"/>
                <w:szCs w:val="24"/>
                <w:highlight w:val="none"/>
              </w:rPr>
              <w:t>17周</w:t>
            </w:r>
          </w:p>
        </w:tc>
        <w:tc>
          <w:tcPr>
            <w:tcW w:w="5415" w:type="dxa"/>
            <w:vAlign w:val="center"/>
          </w:tcPr>
          <w:p w14:paraId="1B41FD71">
            <w:pPr>
              <w:snapToGrid w:val="0"/>
              <w:spacing w:line="400" w:lineRule="exact"/>
              <w:rPr>
                <w:rFonts w:cs="宋体"/>
                <w:color w:val="auto"/>
                <w:sz w:val="24"/>
                <w:szCs w:val="24"/>
                <w:highlight w:val="none"/>
              </w:rPr>
            </w:pPr>
            <w:r>
              <w:rPr>
                <w:rFonts w:hint="eastAsia" w:cs="宋体"/>
                <w:color w:val="auto"/>
                <w:sz w:val="24"/>
                <w:szCs w:val="24"/>
                <w:highlight w:val="none"/>
              </w:rPr>
              <w:t>汇总订购订单</w:t>
            </w:r>
          </w:p>
        </w:tc>
        <w:tc>
          <w:tcPr>
            <w:tcW w:w="1804" w:type="dxa"/>
            <w:vAlign w:val="center"/>
          </w:tcPr>
          <w:p w14:paraId="4DA4A7C6">
            <w:pPr>
              <w:snapToGrid w:val="0"/>
              <w:spacing w:line="400" w:lineRule="exact"/>
              <w:jc w:val="center"/>
              <w:rPr>
                <w:rFonts w:cs="宋体"/>
                <w:color w:val="auto"/>
                <w:sz w:val="24"/>
                <w:szCs w:val="24"/>
                <w:highlight w:val="none"/>
              </w:rPr>
            </w:pPr>
            <w:r>
              <w:rPr>
                <w:rFonts w:hint="eastAsia" w:cs="宋体"/>
                <w:color w:val="auto"/>
                <w:sz w:val="24"/>
                <w:szCs w:val="24"/>
                <w:highlight w:val="none"/>
              </w:rPr>
              <w:t>商家</w:t>
            </w:r>
          </w:p>
        </w:tc>
      </w:tr>
      <w:tr w14:paraId="44F4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tcBorders>
              <w:bottom w:val="nil"/>
            </w:tcBorders>
            <w:vAlign w:val="center"/>
          </w:tcPr>
          <w:p w14:paraId="6973B5A6">
            <w:pPr>
              <w:snapToGrid w:val="0"/>
              <w:spacing w:line="400" w:lineRule="exact"/>
              <w:jc w:val="center"/>
              <w:rPr>
                <w:rFonts w:cs="宋体"/>
                <w:color w:val="auto"/>
                <w:sz w:val="24"/>
                <w:szCs w:val="24"/>
                <w:highlight w:val="none"/>
              </w:rPr>
            </w:pPr>
            <w:r>
              <w:rPr>
                <w:rFonts w:hint="eastAsia" w:cs="宋体"/>
                <w:color w:val="auto"/>
                <w:sz w:val="24"/>
                <w:szCs w:val="24"/>
                <w:highlight w:val="none"/>
              </w:rPr>
              <w:t>9</w:t>
            </w:r>
          </w:p>
        </w:tc>
        <w:tc>
          <w:tcPr>
            <w:tcW w:w="2025" w:type="dxa"/>
            <w:tcBorders>
              <w:bottom w:val="nil"/>
            </w:tcBorders>
            <w:vAlign w:val="center"/>
          </w:tcPr>
          <w:p w14:paraId="170C89AF">
            <w:pPr>
              <w:snapToGrid w:val="0"/>
              <w:spacing w:line="400" w:lineRule="exact"/>
              <w:jc w:val="center"/>
              <w:rPr>
                <w:rFonts w:cs="宋体"/>
                <w:color w:val="auto"/>
                <w:sz w:val="24"/>
                <w:szCs w:val="24"/>
                <w:highlight w:val="none"/>
              </w:rPr>
            </w:pPr>
            <w:r>
              <w:rPr>
                <w:rFonts w:hint="eastAsia" w:cs="宋体"/>
                <w:color w:val="auto"/>
                <w:sz w:val="24"/>
                <w:szCs w:val="24"/>
                <w:highlight w:val="none"/>
              </w:rPr>
              <w:t>订单结束到开学前一周</w:t>
            </w:r>
          </w:p>
        </w:tc>
        <w:tc>
          <w:tcPr>
            <w:tcW w:w="5415" w:type="dxa"/>
            <w:tcBorders>
              <w:bottom w:val="nil"/>
            </w:tcBorders>
            <w:vAlign w:val="center"/>
          </w:tcPr>
          <w:p w14:paraId="570AB306">
            <w:pPr>
              <w:snapToGrid w:val="0"/>
              <w:spacing w:line="400" w:lineRule="exact"/>
              <w:rPr>
                <w:rFonts w:cs="宋体"/>
                <w:color w:val="auto"/>
                <w:sz w:val="24"/>
                <w:szCs w:val="24"/>
                <w:highlight w:val="none"/>
              </w:rPr>
            </w:pPr>
            <w:r>
              <w:rPr>
                <w:rFonts w:hint="eastAsia" w:cs="宋体"/>
                <w:color w:val="auto"/>
                <w:sz w:val="24"/>
                <w:szCs w:val="24"/>
                <w:highlight w:val="none"/>
              </w:rPr>
              <w:t>教材陆续到校、按班级配书</w:t>
            </w:r>
          </w:p>
        </w:tc>
        <w:tc>
          <w:tcPr>
            <w:tcW w:w="1804" w:type="dxa"/>
            <w:tcBorders>
              <w:bottom w:val="nil"/>
            </w:tcBorders>
            <w:vAlign w:val="center"/>
          </w:tcPr>
          <w:p w14:paraId="5082CCB6">
            <w:pPr>
              <w:snapToGrid w:val="0"/>
              <w:spacing w:line="400" w:lineRule="exact"/>
              <w:jc w:val="center"/>
              <w:rPr>
                <w:rFonts w:cs="宋体"/>
                <w:color w:val="auto"/>
                <w:sz w:val="24"/>
                <w:szCs w:val="24"/>
                <w:highlight w:val="none"/>
              </w:rPr>
            </w:pPr>
            <w:r>
              <w:rPr>
                <w:rFonts w:hint="eastAsia" w:cs="宋体"/>
                <w:color w:val="auto"/>
                <w:sz w:val="24"/>
                <w:szCs w:val="24"/>
                <w:highlight w:val="none"/>
              </w:rPr>
              <w:t>商家</w:t>
            </w:r>
          </w:p>
        </w:tc>
      </w:tr>
      <w:tr w14:paraId="683C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vAlign w:val="center"/>
          </w:tcPr>
          <w:p w14:paraId="6C13F07D">
            <w:pPr>
              <w:snapToGrid w:val="0"/>
              <w:spacing w:line="400" w:lineRule="exact"/>
              <w:jc w:val="center"/>
              <w:rPr>
                <w:rFonts w:cs="宋体"/>
                <w:color w:val="auto"/>
                <w:sz w:val="24"/>
                <w:szCs w:val="24"/>
                <w:highlight w:val="none"/>
              </w:rPr>
            </w:pPr>
            <w:r>
              <w:rPr>
                <w:rFonts w:hint="eastAsia" w:cs="宋体"/>
                <w:color w:val="auto"/>
                <w:sz w:val="24"/>
                <w:szCs w:val="24"/>
                <w:highlight w:val="none"/>
              </w:rPr>
              <w:t>10</w:t>
            </w:r>
          </w:p>
        </w:tc>
        <w:tc>
          <w:tcPr>
            <w:tcW w:w="2025" w:type="dxa"/>
            <w:vAlign w:val="center"/>
          </w:tcPr>
          <w:p w14:paraId="53FDD61B">
            <w:pPr>
              <w:snapToGrid w:val="0"/>
              <w:spacing w:line="400" w:lineRule="exact"/>
              <w:jc w:val="center"/>
              <w:rPr>
                <w:rFonts w:cs="宋体"/>
                <w:color w:val="auto"/>
                <w:sz w:val="24"/>
                <w:szCs w:val="24"/>
                <w:highlight w:val="none"/>
              </w:rPr>
            </w:pPr>
            <w:r>
              <w:rPr>
                <w:rFonts w:hint="eastAsia" w:cs="宋体"/>
                <w:color w:val="auto"/>
                <w:sz w:val="24"/>
                <w:szCs w:val="24"/>
                <w:highlight w:val="none"/>
              </w:rPr>
              <w:t>第二学期开学</w:t>
            </w:r>
          </w:p>
          <w:p w14:paraId="4C0BBCD3">
            <w:pPr>
              <w:snapToGrid w:val="0"/>
              <w:spacing w:line="400" w:lineRule="exact"/>
              <w:jc w:val="center"/>
              <w:rPr>
                <w:rFonts w:cs="宋体"/>
                <w:color w:val="auto"/>
                <w:sz w:val="24"/>
                <w:szCs w:val="24"/>
                <w:highlight w:val="none"/>
              </w:rPr>
            </w:pPr>
            <w:r>
              <w:rPr>
                <w:rFonts w:hint="eastAsia" w:cs="宋体"/>
                <w:color w:val="auto"/>
                <w:sz w:val="24"/>
                <w:szCs w:val="24"/>
                <w:highlight w:val="none"/>
              </w:rPr>
              <w:t>报到</w:t>
            </w:r>
          </w:p>
        </w:tc>
        <w:tc>
          <w:tcPr>
            <w:tcW w:w="5415" w:type="dxa"/>
            <w:vAlign w:val="center"/>
          </w:tcPr>
          <w:p w14:paraId="7957BD85">
            <w:pPr>
              <w:snapToGrid w:val="0"/>
              <w:spacing w:line="400" w:lineRule="exact"/>
              <w:rPr>
                <w:rFonts w:cs="宋体"/>
                <w:color w:val="auto"/>
                <w:sz w:val="24"/>
                <w:szCs w:val="24"/>
                <w:highlight w:val="none"/>
              </w:rPr>
            </w:pPr>
            <w:r>
              <w:rPr>
                <w:rFonts w:hint="eastAsia" w:cs="宋体"/>
                <w:color w:val="auto"/>
                <w:sz w:val="24"/>
                <w:szCs w:val="24"/>
                <w:highlight w:val="none"/>
              </w:rPr>
              <w:t>完成全款支付的学生领取教材</w:t>
            </w:r>
          </w:p>
        </w:tc>
        <w:tc>
          <w:tcPr>
            <w:tcW w:w="1804" w:type="dxa"/>
            <w:vAlign w:val="center"/>
          </w:tcPr>
          <w:p w14:paraId="360E9379">
            <w:pPr>
              <w:snapToGrid w:val="0"/>
              <w:spacing w:line="400" w:lineRule="exact"/>
              <w:jc w:val="center"/>
              <w:rPr>
                <w:rFonts w:cs="宋体"/>
                <w:color w:val="auto"/>
                <w:sz w:val="24"/>
                <w:szCs w:val="24"/>
                <w:highlight w:val="none"/>
              </w:rPr>
            </w:pPr>
            <w:r>
              <w:rPr>
                <w:rFonts w:hint="eastAsia" w:cs="宋体"/>
                <w:color w:val="auto"/>
                <w:sz w:val="24"/>
                <w:szCs w:val="24"/>
                <w:highlight w:val="none"/>
              </w:rPr>
              <w:t>商家、校方</w:t>
            </w:r>
          </w:p>
        </w:tc>
      </w:tr>
      <w:tr w14:paraId="42C1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6F8A3F12">
            <w:pPr>
              <w:snapToGrid w:val="0"/>
              <w:spacing w:line="400" w:lineRule="exact"/>
              <w:jc w:val="center"/>
              <w:rPr>
                <w:rFonts w:cs="宋体"/>
                <w:color w:val="auto"/>
                <w:sz w:val="24"/>
                <w:szCs w:val="24"/>
                <w:highlight w:val="none"/>
              </w:rPr>
            </w:pPr>
            <w:r>
              <w:rPr>
                <w:rFonts w:hint="eastAsia" w:cs="宋体"/>
                <w:color w:val="auto"/>
                <w:sz w:val="24"/>
                <w:szCs w:val="24"/>
                <w:highlight w:val="none"/>
              </w:rPr>
              <w:t>11</w:t>
            </w:r>
          </w:p>
        </w:tc>
        <w:tc>
          <w:tcPr>
            <w:tcW w:w="2025" w:type="dxa"/>
            <w:vAlign w:val="center"/>
          </w:tcPr>
          <w:p w14:paraId="25A29824">
            <w:pPr>
              <w:snapToGrid w:val="0"/>
              <w:spacing w:line="400" w:lineRule="exact"/>
              <w:jc w:val="center"/>
              <w:rPr>
                <w:rFonts w:cs="宋体"/>
                <w:color w:val="auto"/>
                <w:sz w:val="24"/>
                <w:szCs w:val="24"/>
                <w:highlight w:val="none"/>
              </w:rPr>
            </w:pPr>
            <w:r>
              <w:rPr>
                <w:rFonts w:hint="eastAsia" w:cs="宋体"/>
                <w:color w:val="auto"/>
                <w:sz w:val="24"/>
                <w:szCs w:val="24"/>
                <w:highlight w:val="none"/>
              </w:rPr>
              <w:t>开学1-2周</w:t>
            </w:r>
          </w:p>
        </w:tc>
        <w:tc>
          <w:tcPr>
            <w:tcW w:w="5415" w:type="dxa"/>
            <w:vAlign w:val="center"/>
          </w:tcPr>
          <w:p w14:paraId="69B367A1">
            <w:pPr>
              <w:snapToGrid w:val="0"/>
              <w:spacing w:line="400" w:lineRule="exact"/>
              <w:rPr>
                <w:rFonts w:cs="宋体"/>
                <w:color w:val="auto"/>
                <w:sz w:val="24"/>
                <w:szCs w:val="24"/>
                <w:highlight w:val="none"/>
              </w:rPr>
            </w:pPr>
            <w:r>
              <w:rPr>
                <w:rFonts w:hint="eastAsia" w:cs="宋体"/>
                <w:color w:val="auto"/>
                <w:sz w:val="24"/>
                <w:szCs w:val="24"/>
                <w:highlight w:val="none"/>
              </w:rPr>
              <w:t>在线支付的学生确认支付</w:t>
            </w:r>
          </w:p>
        </w:tc>
        <w:tc>
          <w:tcPr>
            <w:tcW w:w="1804" w:type="dxa"/>
            <w:vAlign w:val="center"/>
          </w:tcPr>
          <w:p w14:paraId="229B816D">
            <w:pPr>
              <w:snapToGrid w:val="0"/>
              <w:spacing w:line="400" w:lineRule="exact"/>
              <w:jc w:val="center"/>
              <w:rPr>
                <w:rFonts w:cs="宋体"/>
                <w:color w:val="auto"/>
                <w:sz w:val="24"/>
                <w:szCs w:val="24"/>
                <w:highlight w:val="none"/>
              </w:rPr>
            </w:pPr>
            <w:r>
              <w:rPr>
                <w:rFonts w:hint="eastAsia" w:cs="宋体"/>
                <w:color w:val="auto"/>
                <w:sz w:val="24"/>
                <w:szCs w:val="24"/>
                <w:highlight w:val="none"/>
              </w:rPr>
              <w:t>学生</w:t>
            </w:r>
          </w:p>
        </w:tc>
      </w:tr>
      <w:tr w14:paraId="32D0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02773CD4">
            <w:pPr>
              <w:snapToGrid w:val="0"/>
              <w:spacing w:line="400" w:lineRule="exact"/>
              <w:jc w:val="center"/>
              <w:rPr>
                <w:rFonts w:cs="宋体"/>
                <w:color w:val="auto"/>
                <w:sz w:val="24"/>
                <w:szCs w:val="24"/>
                <w:highlight w:val="none"/>
              </w:rPr>
            </w:pPr>
            <w:r>
              <w:rPr>
                <w:rFonts w:hint="eastAsia" w:cs="宋体"/>
                <w:color w:val="auto"/>
                <w:sz w:val="24"/>
                <w:szCs w:val="24"/>
                <w:highlight w:val="none"/>
              </w:rPr>
              <w:t>12</w:t>
            </w:r>
          </w:p>
        </w:tc>
        <w:tc>
          <w:tcPr>
            <w:tcW w:w="2025" w:type="dxa"/>
            <w:vAlign w:val="center"/>
          </w:tcPr>
          <w:p w14:paraId="33655247">
            <w:pPr>
              <w:snapToGrid w:val="0"/>
              <w:spacing w:line="400" w:lineRule="exact"/>
              <w:jc w:val="center"/>
              <w:rPr>
                <w:rFonts w:cs="宋体"/>
                <w:color w:val="auto"/>
                <w:sz w:val="24"/>
                <w:szCs w:val="24"/>
                <w:highlight w:val="none"/>
              </w:rPr>
            </w:pPr>
            <w:r>
              <w:rPr>
                <w:rFonts w:hint="eastAsia" w:cs="宋体"/>
                <w:color w:val="auto"/>
                <w:sz w:val="24"/>
                <w:szCs w:val="24"/>
                <w:highlight w:val="none"/>
              </w:rPr>
              <w:t>开学1-2周</w:t>
            </w:r>
          </w:p>
        </w:tc>
        <w:tc>
          <w:tcPr>
            <w:tcW w:w="5415" w:type="dxa"/>
            <w:vAlign w:val="center"/>
          </w:tcPr>
          <w:p w14:paraId="51124FA7">
            <w:pPr>
              <w:snapToGrid w:val="0"/>
              <w:spacing w:line="400" w:lineRule="exact"/>
              <w:rPr>
                <w:rFonts w:cs="宋体"/>
                <w:color w:val="auto"/>
                <w:sz w:val="24"/>
                <w:szCs w:val="24"/>
                <w:highlight w:val="none"/>
              </w:rPr>
            </w:pPr>
            <w:r>
              <w:rPr>
                <w:rFonts w:hint="eastAsia" w:cs="宋体"/>
                <w:color w:val="auto"/>
                <w:sz w:val="24"/>
                <w:szCs w:val="24"/>
                <w:highlight w:val="none"/>
              </w:rPr>
              <w:t>学生零星购买教材（现场）</w:t>
            </w:r>
          </w:p>
        </w:tc>
        <w:tc>
          <w:tcPr>
            <w:tcW w:w="1804" w:type="dxa"/>
            <w:vAlign w:val="center"/>
          </w:tcPr>
          <w:p w14:paraId="46868CB0">
            <w:pPr>
              <w:snapToGrid w:val="0"/>
              <w:spacing w:line="400" w:lineRule="exact"/>
              <w:jc w:val="center"/>
              <w:rPr>
                <w:rFonts w:cs="宋体"/>
                <w:color w:val="auto"/>
                <w:sz w:val="24"/>
                <w:szCs w:val="24"/>
                <w:highlight w:val="none"/>
              </w:rPr>
            </w:pPr>
            <w:r>
              <w:rPr>
                <w:rFonts w:hint="eastAsia" w:cs="宋体"/>
                <w:color w:val="auto"/>
                <w:sz w:val="24"/>
                <w:szCs w:val="24"/>
                <w:highlight w:val="none"/>
              </w:rPr>
              <w:t>商家、学生</w:t>
            </w:r>
          </w:p>
        </w:tc>
      </w:tr>
      <w:tr w14:paraId="4F412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755BB3E4">
            <w:pPr>
              <w:snapToGrid w:val="0"/>
              <w:spacing w:line="400" w:lineRule="exact"/>
              <w:jc w:val="center"/>
              <w:rPr>
                <w:rFonts w:cs="宋体"/>
                <w:color w:val="auto"/>
                <w:sz w:val="24"/>
                <w:szCs w:val="24"/>
                <w:highlight w:val="none"/>
              </w:rPr>
            </w:pPr>
            <w:r>
              <w:rPr>
                <w:rFonts w:hint="eastAsia" w:cs="宋体"/>
                <w:color w:val="auto"/>
                <w:sz w:val="24"/>
                <w:szCs w:val="24"/>
                <w:highlight w:val="none"/>
              </w:rPr>
              <w:t>13</w:t>
            </w:r>
          </w:p>
        </w:tc>
        <w:tc>
          <w:tcPr>
            <w:tcW w:w="2025" w:type="dxa"/>
            <w:vAlign w:val="center"/>
          </w:tcPr>
          <w:p w14:paraId="5A112AB0">
            <w:pPr>
              <w:snapToGrid w:val="0"/>
              <w:spacing w:line="400" w:lineRule="exact"/>
              <w:jc w:val="center"/>
              <w:rPr>
                <w:rFonts w:cs="宋体"/>
                <w:color w:val="auto"/>
                <w:sz w:val="24"/>
                <w:szCs w:val="24"/>
                <w:highlight w:val="none"/>
              </w:rPr>
            </w:pPr>
          </w:p>
        </w:tc>
        <w:tc>
          <w:tcPr>
            <w:tcW w:w="5415" w:type="dxa"/>
            <w:vAlign w:val="center"/>
          </w:tcPr>
          <w:p w14:paraId="5F9F7B53">
            <w:pPr>
              <w:snapToGrid w:val="0"/>
              <w:spacing w:line="400" w:lineRule="exact"/>
              <w:rPr>
                <w:rFonts w:cs="宋体"/>
                <w:color w:val="auto"/>
                <w:sz w:val="24"/>
                <w:szCs w:val="24"/>
                <w:highlight w:val="none"/>
              </w:rPr>
            </w:pPr>
            <w:r>
              <w:rPr>
                <w:rFonts w:hint="eastAsia" w:cs="宋体"/>
                <w:color w:val="auto"/>
                <w:sz w:val="24"/>
                <w:szCs w:val="24"/>
                <w:highlight w:val="none"/>
              </w:rPr>
              <w:t>学校管理员实现全过程监督</w:t>
            </w:r>
          </w:p>
        </w:tc>
        <w:tc>
          <w:tcPr>
            <w:tcW w:w="1804" w:type="dxa"/>
            <w:vAlign w:val="center"/>
          </w:tcPr>
          <w:p w14:paraId="044B13BF">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bl>
    <w:p w14:paraId="12393D46">
      <w:pPr>
        <w:snapToGrid w:val="0"/>
        <w:spacing w:line="400" w:lineRule="exact"/>
        <w:rPr>
          <w:rFonts w:cs="宋体"/>
          <w:color w:val="auto"/>
          <w:sz w:val="24"/>
          <w:szCs w:val="24"/>
          <w:highlight w:val="none"/>
        </w:rPr>
      </w:pPr>
      <w:r>
        <w:rPr>
          <w:rFonts w:hint="eastAsia" w:cs="宋体"/>
          <w:color w:val="auto"/>
          <w:sz w:val="24"/>
          <w:szCs w:val="24"/>
          <w:highlight w:val="none"/>
        </w:rPr>
        <w:t>2.新生</w:t>
      </w:r>
    </w:p>
    <w:tbl>
      <w:tblPr>
        <w:tblStyle w:val="1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28"/>
        <w:gridCol w:w="5378"/>
        <w:gridCol w:w="1838"/>
      </w:tblGrid>
      <w:tr w14:paraId="30CC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tcPr>
          <w:p w14:paraId="38F060F3">
            <w:pPr>
              <w:snapToGrid w:val="0"/>
              <w:spacing w:line="400" w:lineRule="exact"/>
              <w:jc w:val="center"/>
              <w:rPr>
                <w:rFonts w:cs="宋体"/>
                <w:color w:val="auto"/>
                <w:sz w:val="24"/>
                <w:szCs w:val="24"/>
                <w:highlight w:val="none"/>
              </w:rPr>
            </w:pPr>
            <w:r>
              <w:rPr>
                <w:rFonts w:hint="eastAsia" w:cs="宋体"/>
                <w:color w:val="auto"/>
                <w:sz w:val="24"/>
                <w:szCs w:val="24"/>
                <w:highlight w:val="none"/>
              </w:rPr>
              <w:t>序号</w:t>
            </w:r>
          </w:p>
        </w:tc>
        <w:tc>
          <w:tcPr>
            <w:tcW w:w="2028" w:type="dxa"/>
          </w:tcPr>
          <w:p w14:paraId="78C41ECB">
            <w:pPr>
              <w:snapToGrid w:val="0"/>
              <w:spacing w:line="400" w:lineRule="exact"/>
              <w:jc w:val="center"/>
              <w:rPr>
                <w:rFonts w:cs="宋体"/>
                <w:color w:val="auto"/>
                <w:sz w:val="24"/>
                <w:szCs w:val="24"/>
                <w:highlight w:val="none"/>
              </w:rPr>
            </w:pPr>
            <w:r>
              <w:rPr>
                <w:rFonts w:hint="eastAsia" w:cs="宋体"/>
                <w:color w:val="auto"/>
                <w:sz w:val="24"/>
                <w:szCs w:val="24"/>
                <w:highlight w:val="none"/>
              </w:rPr>
              <w:t>时间</w:t>
            </w:r>
          </w:p>
        </w:tc>
        <w:tc>
          <w:tcPr>
            <w:tcW w:w="5378" w:type="dxa"/>
          </w:tcPr>
          <w:p w14:paraId="16DE4DC1">
            <w:pPr>
              <w:snapToGrid w:val="0"/>
              <w:spacing w:line="400" w:lineRule="exact"/>
              <w:jc w:val="center"/>
              <w:rPr>
                <w:rFonts w:cs="宋体"/>
                <w:color w:val="auto"/>
                <w:sz w:val="24"/>
                <w:szCs w:val="24"/>
                <w:highlight w:val="none"/>
              </w:rPr>
            </w:pPr>
            <w:r>
              <w:rPr>
                <w:rFonts w:hint="eastAsia" w:cs="宋体"/>
                <w:color w:val="auto"/>
                <w:sz w:val="24"/>
                <w:szCs w:val="24"/>
                <w:highlight w:val="none"/>
              </w:rPr>
              <w:t>事项</w:t>
            </w:r>
          </w:p>
        </w:tc>
        <w:tc>
          <w:tcPr>
            <w:tcW w:w="1838" w:type="dxa"/>
          </w:tcPr>
          <w:p w14:paraId="6959B044">
            <w:pPr>
              <w:snapToGrid w:val="0"/>
              <w:spacing w:line="400" w:lineRule="exact"/>
              <w:jc w:val="center"/>
              <w:rPr>
                <w:rFonts w:cs="宋体"/>
                <w:color w:val="auto"/>
                <w:sz w:val="24"/>
                <w:szCs w:val="24"/>
                <w:highlight w:val="none"/>
              </w:rPr>
            </w:pPr>
            <w:r>
              <w:rPr>
                <w:rFonts w:hint="eastAsia" w:cs="宋体"/>
                <w:color w:val="auto"/>
                <w:sz w:val="24"/>
                <w:szCs w:val="24"/>
                <w:highlight w:val="none"/>
              </w:rPr>
              <w:t>相关人员</w:t>
            </w:r>
          </w:p>
        </w:tc>
      </w:tr>
      <w:tr w14:paraId="499D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1D688BE2">
            <w:pPr>
              <w:snapToGrid w:val="0"/>
              <w:spacing w:line="400" w:lineRule="exact"/>
              <w:jc w:val="center"/>
              <w:rPr>
                <w:rFonts w:cs="宋体"/>
                <w:color w:val="auto"/>
                <w:sz w:val="24"/>
                <w:szCs w:val="24"/>
                <w:highlight w:val="none"/>
              </w:rPr>
            </w:pPr>
            <w:r>
              <w:rPr>
                <w:rFonts w:hint="eastAsia" w:cs="宋体"/>
                <w:color w:val="auto"/>
                <w:sz w:val="24"/>
                <w:szCs w:val="24"/>
                <w:highlight w:val="none"/>
              </w:rPr>
              <w:t>1</w:t>
            </w:r>
          </w:p>
        </w:tc>
        <w:tc>
          <w:tcPr>
            <w:tcW w:w="2028" w:type="dxa"/>
            <w:vAlign w:val="center"/>
          </w:tcPr>
          <w:p w14:paraId="4ECB2E9F">
            <w:pPr>
              <w:snapToGrid w:val="0"/>
              <w:spacing w:line="400" w:lineRule="exact"/>
              <w:jc w:val="center"/>
              <w:rPr>
                <w:rFonts w:cs="宋体"/>
                <w:color w:val="auto"/>
                <w:sz w:val="24"/>
                <w:szCs w:val="24"/>
                <w:highlight w:val="none"/>
              </w:rPr>
            </w:pPr>
            <w:r>
              <w:rPr>
                <w:rFonts w:hint="eastAsia" w:cs="宋体"/>
                <w:color w:val="auto"/>
                <w:sz w:val="24"/>
                <w:szCs w:val="24"/>
                <w:highlight w:val="none"/>
              </w:rPr>
              <w:t>第10-12周</w:t>
            </w:r>
          </w:p>
        </w:tc>
        <w:tc>
          <w:tcPr>
            <w:tcW w:w="5378" w:type="dxa"/>
          </w:tcPr>
          <w:p w14:paraId="63C87B93">
            <w:pPr>
              <w:snapToGrid w:val="0"/>
              <w:spacing w:line="400" w:lineRule="exact"/>
              <w:rPr>
                <w:rFonts w:cs="宋体"/>
                <w:color w:val="auto"/>
                <w:sz w:val="24"/>
                <w:szCs w:val="24"/>
                <w:highlight w:val="none"/>
              </w:rPr>
            </w:pPr>
            <w:r>
              <w:rPr>
                <w:rFonts w:hint="eastAsia" w:cs="宋体"/>
                <w:color w:val="auto"/>
                <w:sz w:val="24"/>
                <w:szCs w:val="24"/>
                <w:highlight w:val="none"/>
              </w:rPr>
              <w:t>学校安排第一学期课程（教学计划数据）</w:t>
            </w:r>
          </w:p>
        </w:tc>
        <w:tc>
          <w:tcPr>
            <w:tcW w:w="1838" w:type="dxa"/>
            <w:vAlign w:val="center"/>
          </w:tcPr>
          <w:p w14:paraId="1D39B33C">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2AB5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4639BE7E">
            <w:pPr>
              <w:snapToGrid w:val="0"/>
              <w:spacing w:line="400" w:lineRule="exact"/>
              <w:jc w:val="center"/>
              <w:rPr>
                <w:rFonts w:cs="宋体"/>
                <w:color w:val="auto"/>
                <w:sz w:val="24"/>
                <w:szCs w:val="24"/>
                <w:highlight w:val="none"/>
              </w:rPr>
            </w:pPr>
            <w:r>
              <w:rPr>
                <w:rFonts w:hint="eastAsia" w:cs="宋体"/>
                <w:color w:val="auto"/>
                <w:sz w:val="24"/>
                <w:szCs w:val="24"/>
                <w:highlight w:val="none"/>
              </w:rPr>
              <w:t>2</w:t>
            </w:r>
          </w:p>
        </w:tc>
        <w:tc>
          <w:tcPr>
            <w:tcW w:w="2028" w:type="dxa"/>
            <w:vAlign w:val="center"/>
          </w:tcPr>
          <w:p w14:paraId="304DCB81">
            <w:pPr>
              <w:snapToGrid w:val="0"/>
              <w:spacing w:line="400" w:lineRule="exact"/>
              <w:jc w:val="center"/>
              <w:rPr>
                <w:rFonts w:cs="宋体"/>
                <w:color w:val="auto"/>
                <w:sz w:val="24"/>
                <w:szCs w:val="24"/>
                <w:highlight w:val="none"/>
              </w:rPr>
            </w:pPr>
            <w:r>
              <w:rPr>
                <w:rFonts w:hint="eastAsia" w:cs="宋体"/>
                <w:color w:val="auto"/>
                <w:sz w:val="24"/>
                <w:szCs w:val="24"/>
                <w:highlight w:val="none"/>
              </w:rPr>
              <w:t>第13-14周</w:t>
            </w:r>
          </w:p>
        </w:tc>
        <w:tc>
          <w:tcPr>
            <w:tcW w:w="5378" w:type="dxa"/>
          </w:tcPr>
          <w:p w14:paraId="3384E4A3">
            <w:pPr>
              <w:snapToGrid w:val="0"/>
              <w:spacing w:line="400" w:lineRule="exact"/>
              <w:rPr>
                <w:rFonts w:cs="宋体"/>
                <w:color w:val="auto"/>
                <w:sz w:val="24"/>
                <w:szCs w:val="24"/>
                <w:highlight w:val="none"/>
              </w:rPr>
            </w:pPr>
            <w:r>
              <w:rPr>
                <w:rFonts w:hint="eastAsia" w:cs="宋体"/>
                <w:color w:val="auto"/>
                <w:sz w:val="24"/>
                <w:szCs w:val="24"/>
                <w:highlight w:val="none"/>
              </w:rPr>
              <w:t>教师指定教材，通过相关审核程序</w:t>
            </w:r>
          </w:p>
        </w:tc>
        <w:tc>
          <w:tcPr>
            <w:tcW w:w="1838" w:type="dxa"/>
            <w:vAlign w:val="center"/>
          </w:tcPr>
          <w:p w14:paraId="0C4413B7">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2959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7DC49794">
            <w:pPr>
              <w:snapToGrid w:val="0"/>
              <w:spacing w:line="400" w:lineRule="exact"/>
              <w:jc w:val="center"/>
              <w:rPr>
                <w:rFonts w:cs="宋体"/>
                <w:color w:val="auto"/>
                <w:sz w:val="24"/>
                <w:szCs w:val="24"/>
                <w:highlight w:val="none"/>
              </w:rPr>
            </w:pPr>
            <w:r>
              <w:rPr>
                <w:rFonts w:hint="eastAsia" w:cs="宋体"/>
                <w:color w:val="auto"/>
                <w:sz w:val="24"/>
                <w:szCs w:val="24"/>
                <w:highlight w:val="none"/>
              </w:rPr>
              <w:t>3</w:t>
            </w:r>
          </w:p>
        </w:tc>
        <w:tc>
          <w:tcPr>
            <w:tcW w:w="2028" w:type="dxa"/>
            <w:vAlign w:val="center"/>
          </w:tcPr>
          <w:p w14:paraId="79F7FF00">
            <w:pPr>
              <w:snapToGrid w:val="0"/>
              <w:spacing w:line="400" w:lineRule="exact"/>
              <w:jc w:val="center"/>
              <w:rPr>
                <w:rFonts w:cs="宋体"/>
                <w:color w:val="auto"/>
                <w:sz w:val="24"/>
                <w:szCs w:val="24"/>
                <w:highlight w:val="none"/>
              </w:rPr>
            </w:pPr>
            <w:r>
              <w:rPr>
                <w:rFonts w:hint="eastAsia" w:cs="宋体"/>
                <w:color w:val="auto"/>
                <w:sz w:val="24"/>
                <w:szCs w:val="24"/>
                <w:highlight w:val="none"/>
              </w:rPr>
              <w:t>6月下旬-8月中旬</w:t>
            </w:r>
          </w:p>
        </w:tc>
        <w:tc>
          <w:tcPr>
            <w:tcW w:w="5378" w:type="dxa"/>
          </w:tcPr>
          <w:p w14:paraId="39FE951E">
            <w:pPr>
              <w:snapToGrid w:val="0"/>
              <w:spacing w:line="400" w:lineRule="exact"/>
              <w:rPr>
                <w:rFonts w:cs="宋体"/>
                <w:color w:val="auto"/>
                <w:sz w:val="24"/>
                <w:szCs w:val="24"/>
                <w:highlight w:val="none"/>
              </w:rPr>
            </w:pPr>
            <w:r>
              <w:rPr>
                <w:rFonts w:hint="eastAsia" w:cs="宋体"/>
                <w:color w:val="auto"/>
                <w:sz w:val="24"/>
                <w:szCs w:val="24"/>
                <w:highlight w:val="none"/>
              </w:rPr>
              <w:t>根据招生计划配送教材，按班级配书</w:t>
            </w:r>
          </w:p>
        </w:tc>
        <w:tc>
          <w:tcPr>
            <w:tcW w:w="1838" w:type="dxa"/>
            <w:vAlign w:val="center"/>
          </w:tcPr>
          <w:p w14:paraId="76AB6BF3">
            <w:pPr>
              <w:snapToGrid w:val="0"/>
              <w:spacing w:line="400" w:lineRule="exact"/>
              <w:jc w:val="center"/>
              <w:rPr>
                <w:rFonts w:cs="宋体"/>
                <w:color w:val="auto"/>
                <w:sz w:val="24"/>
                <w:szCs w:val="24"/>
                <w:highlight w:val="none"/>
              </w:rPr>
            </w:pPr>
            <w:r>
              <w:rPr>
                <w:rFonts w:hint="eastAsia" w:cs="宋体"/>
                <w:color w:val="auto"/>
                <w:sz w:val="24"/>
                <w:szCs w:val="24"/>
                <w:highlight w:val="none"/>
              </w:rPr>
              <w:t>商家</w:t>
            </w:r>
          </w:p>
        </w:tc>
      </w:tr>
      <w:tr w14:paraId="0706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5DBE8F89">
            <w:pPr>
              <w:snapToGrid w:val="0"/>
              <w:spacing w:line="400" w:lineRule="exact"/>
              <w:jc w:val="center"/>
              <w:rPr>
                <w:rFonts w:cs="宋体"/>
                <w:color w:val="auto"/>
                <w:sz w:val="24"/>
                <w:szCs w:val="24"/>
                <w:highlight w:val="none"/>
              </w:rPr>
            </w:pPr>
            <w:r>
              <w:rPr>
                <w:rFonts w:hint="eastAsia" w:cs="宋体"/>
                <w:color w:val="auto"/>
                <w:sz w:val="24"/>
                <w:szCs w:val="24"/>
                <w:highlight w:val="none"/>
              </w:rPr>
              <w:t>4</w:t>
            </w:r>
          </w:p>
        </w:tc>
        <w:tc>
          <w:tcPr>
            <w:tcW w:w="2028" w:type="dxa"/>
            <w:vAlign w:val="center"/>
          </w:tcPr>
          <w:p w14:paraId="72955EB9">
            <w:pPr>
              <w:snapToGrid w:val="0"/>
              <w:spacing w:line="400" w:lineRule="exact"/>
              <w:jc w:val="center"/>
              <w:rPr>
                <w:rFonts w:cs="宋体"/>
                <w:color w:val="auto"/>
                <w:sz w:val="24"/>
                <w:szCs w:val="24"/>
                <w:highlight w:val="none"/>
              </w:rPr>
            </w:pPr>
            <w:r>
              <w:rPr>
                <w:rFonts w:hint="eastAsia" w:cs="宋体"/>
                <w:color w:val="auto"/>
                <w:sz w:val="24"/>
                <w:szCs w:val="24"/>
                <w:highlight w:val="none"/>
              </w:rPr>
              <w:t>8月份</w:t>
            </w:r>
          </w:p>
        </w:tc>
        <w:tc>
          <w:tcPr>
            <w:tcW w:w="5378" w:type="dxa"/>
          </w:tcPr>
          <w:p w14:paraId="675FC4E2">
            <w:pPr>
              <w:snapToGrid w:val="0"/>
              <w:spacing w:line="400" w:lineRule="exact"/>
              <w:rPr>
                <w:rFonts w:cs="宋体"/>
                <w:color w:val="auto"/>
                <w:sz w:val="24"/>
                <w:szCs w:val="24"/>
                <w:highlight w:val="none"/>
              </w:rPr>
            </w:pPr>
            <w:r>
              <w:rPr>
                <w:rFonts w:hint="eastAsia" w:cs="宋体"/>
                <w:color w:val="auto"/>
                <w:sz w:val="24"/>
                <w:szCs w:val="24"/>
                <w:highlight w:val="none"/>
              </w:rPr>
              <w:t>生成课表</w:t>
            </w:r>
          </w:p>
        </w:tc>
        <w:tc>
          <w:tcPr>
            <w:tcW w:w="1838" w:type="dxa"/>
            <w:vAlign w:val="center"/>
          </w:tcPr>
          <w:p w14:paraId="6010FEAC">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1FA9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2FE122C3">
            <w:pPr>
              <w:snapToGrid w:val="0"/>
              <w:spacing w:line="400" w:lineRule="exact"/>
              <w:jc w:val="center"/>
              <w:rPr>
                <w:rFonts w:cs="宋体"/>
                <w:color w:val="auto"/>
                <w:sz w:val="24"/>
                <w:szCs w:val="24"/>
                <w:highlight w:val="none"/>
              </w:rPr>
            </w:pPr>
            <w:r>
              <w:rPr>
                <w:rFonts w:hint="eastAsia" w:cs="宋体"/>
                <w:color w:val="auto"/>
                <w:sz w:val="24"/>
                <w:szCs w:val="24"/>
                <w:highlight w:val="none"/>
              </w:rPr>
              <w:t>5</w:t>
            </w:r>
          </w:p>
        </w:tc>
        <w:tc>
          <w:tcPr>
            <w:tcW w:w="2028" w:type="dxa"/>
            <w:vAlign w:val="center"/>
          </w:tcPr>
          <w:p w14:paraId="6AFF71FF">
            <w:pPr>
              <w:snapToGrid w:val="0"/>
              <w:spacing w:line="400" w:lineRule="exact"/>
              <w:jc w:val="center"/>
              <w:rPr>
                <w:rFonts w:cs="宋体"/>
                <w:color w:val="auto"/>
                <w:sz w:val="24"/>
                <w:szCs w:val="24"/>
                <w:highlight w:val="none"/>
              </w:rPr>
            </w:pPr>
            <w:r>
              <w:rPr>
                <w:rFonts w:hint="eastAsia" w:cs="宋体"/>
                <w:color w:val="auto"/>
                <w:sz w:val="24"/>
                <w:szCs w:val="24"/>
                <w:highlight w:val="none"/>
              </w:rPr>
              <w:t>8月份</w:t>
            </w:r>
          </w:p>
        </w:tc>
        <w:tc>
          <w:tcPr>
            <w:tcW w:w="5378" w:type="dxa"/>
          </w:tcPr>
          <w:p w14:paraId="64C537B3">
            <w:pPr>
              <w:snapToGrid w:val="0"/>
              <w:spacing w:line="400" w:lineRule="exact"/>
              <w:rPr>
                <w:rFonts w:cs="宋体"/>
                <w:color w:val="auto"/>
                <w:sz w:val="24"/>
                <w:szCs w:val="24"/>
                <w:highlight w:val="none"/>
              </w:rPr>
            </w:pPr>
            <w:r>
              <w:rPr>
                <w:rFonts w:hint="eastAsia" w:cs="宋体"/>
                <w:color w:val="auto"/>
                <w:sz w:val="24"/>
                <w:szCs w:val="24"/>
                <w:highlight w:val="none"/>
              </w:rPr>
              <w:t>按购书平台数据要求、准备基础数据</w:t>
            </w:r>
          </w:p>
        </w:tc>
        <w:tc>
          <w:tcPr>
            <w:tcW w:w="1838" w:type="dxa"/>
            <w:vAlign w:val="center"/>
          </w:tcPr>
          <w:p w14:paraId="7CF6B5CD">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r w14:paraId="53B7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41382FD8">
            <w:pPr>
              <w:snapToGrid w:val="0"/>
              <w:spacing w:line="400" w:lineRule="exact"/>
              <w:jc w:val="center"/>
              <w:rPr>
                <w:rFonts w:cs="宋体"/>
                <w:color w:val="auto"/>
                <w:sz w:val="24"/>
                <w:szCs w:val="24"/>
                <w:highlight w:val="none"/>
              </w:rPr>
            </w:pPr>
            <w:r>
              <w:rPr>
                <w:rFonts w:hint="eastAsia" w:cs="宋体"/>
                <w:color w:val="auto"/>
                <w:sz w:val="24"/>
                <w:szCs w:val="24"/>
                <w:highlight w:val="none"/>
              </w:rPr>
              <w:t>6</w:t>
            </w:r>
          </w:p>
        </w:tc>
        <w:tc>
          <w:tcPr>
            <w:tcW w:w="2028" w:type="dxa"/>
            <w:vAlign w:val="center"/>
          </w:tcPr>
          <w:p w14:paraId="239038A7">
            <w:pPr>
              <w:snapToGrid w:val="0"/>
              <w:spacing w:line="400" w:lineRule="exact"/>
              <w:jc w:val="center"/>
              <w:rPr>
                <w:rFonts w:cs="宋体"/>
                <w:color w:val="auto"/>
                <w:sz w:val="24"/>
                <w:szCs w:val="24"/>
                <w:highlight w:val="none"/>
              </w:rPr>
            </w:pPr>
            <w:r>
              <w:rPr>
                <w:rFonts w:hint="eastAsia" w:cs="宋体"/>
                <w:color w:val="auto"/>
                <w:sz w:val="24"/>
                <w:szCs w:val="24"/>
                <w:highlight w:val="none"/>
              </w:rPr>
              <w:t>8月份</w:t>
            </w:r>
          </w:p>
        </w:tc>
        <w:tc>
          <w:tcPr>
            <w:tcW w:w="5378" w:type="dxa"/>
          </w:tcPr>
          <w:p w14:paraId="6EDA2792">
            <w:pPr>
              <w:snapToGrid w:val="0"/>
              <w:spacing w:line="400" w:lineRule="exact"/>
              <w:rPr>
                <w:rFonts w:cs="宋体"/>
                <w:color w:val="auto"/>
                <w:sz w:val="24"/>
                <w:szCs w:val="24"/>
                <w:highlight w:val="none"/>
              </w:rPr>
            </w:pPr>
            <w:r>
              <w:rPr>
                <w:rFonts w:hint="eastAsia" w:cs="宋体"/>
                <w:color w:val="auto"/>
                <w:sz w:val="24"/>
                <w:szCs w:val="24"/>
                <w:highlight w:val="none"/>
              </w:rPr>
              <w:t>导入购书平台</w:t>
            </w:r>
          </w:p>
        </w:tc>
        <w:tc>
          <w:tcPr>
            <w:tcW w:w="1838" w:type="dxa"/>
            <w:vAlign w:val="center"/>
          </w:tcPr>
          <w:p w14:paraId="422D0220">
            <w:pPr>
              <w:snapToGrid w:val="0"/>
              <w:spacing w:line="400" w:lineRule="exact"/>
              <w:jc w:val="center"/>
              <w:rPr>
                <w:rFonts w:cs="宋体"/>
                <w:color w:val="auto"/>
                <w:sz w:val="24"/>
                <w:szCs w:val="24"/>
                <w:highlight w:val="none"/>
              </w:rPr>
            </w:pPr>
            <w:r>
              <w:rPr>
                <w:rFonts w:hint="eastAsia" w:cs="宋体"/>
                <w:color w:val="auto"/>
                <w:sz w:val="24"/>
                <w:szCs w:val="24"/>
                <w:highlight w:val="none"/>
              </w:rPr>
              <w:t>商家</w:t>
            </w:r>
          </w:p>
        </w:tc>
      </w:tr>
      <w:tr w14:paraId="1870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3E5D1850">
            <w:pPr>
              <w:snapToGrid w:val="0"/>
              <w:spacing w:line="400" w:lineRule="exact"/>
              <w:jc w:val="center"/>
              <w:rPr>
                <w:rFonts w:cs="宋体"/>
                <w:color w:val="auto"/>
                <w:sz w:val="24"/>
                <w:szCs w:val="24"/>
                <w:highlight w:val="none"/>
              </w:rPr>
            </w:pPr>
            <w:r>
              <w:rPr>
                <w:rFonts w:hint="eastAsia" w:cs="宋体"/>
                <w:color w:val="auto"/>
                <w:sz w:val="24"/>
                <w:szCs w:val="24"/>
                <w:highlight w:val="none"/>
              </w:rPr>
              <w:t>7</w:t>
            </w:r>
          </w:p>
        </w:tc>
        <w:tc>
          <w:tcPr>
            <w:tcW w:w="2028" w:type="dxa"/>
            <w:vAlign w:val="center"/>
          </w:tcPr>
          <w:p w14:paraId="147A9D71">
            <w:pPr>
              <w:snapToGrid w:val="0"/>
              <w:spacing w:line="400" w:lineRule="exact"/>
              <w:jc w:val="center"/>
              <w:rPr>
                <w:rFonts w:cs="宋体"/>
                <w:color w:val="auto"/>
                <w:sz w:val="24"/>
                <w:szCs w:val="24"/>
                <w:highlight w:val="none"/>
              </w:rPr>
            </w:pPr>
            <w:r>
              <w:rPr>
                <w:rFonts w:hint="eastAsia" w:cs="宋体"/>
                <w:color w:val="auto"/>
                <w:sz w:val="24"/>
                <w:szCs w:val="24"/>
                <w:highlight w:val="none"/>
              </w:rPr>
              <w:t>8月23日-8月31日</w:t>
            </w:r>
          </w:p>
        </w:tc>
        <w:tc>
          <w:tcPr>
            <w:tcW w:w="5378" w:type="dxa"/>
          </w:tcPr>
          <w:p w14:paraId="3EF6AC80">
            <w:pPr>
              <w:snapToGrid w:val="0"/>
              <w:spacing w:line="400" w:lineRule="exact"/>
              <w:rPr>
                <w:rFonts w:cs="宋体"/>
                <w:color w:val="auto"/>
                <w:sz w:val="24"/>
                <w:szCs w:val="24"/>
                <w:highlight w:val="none"/>
              </w:rPr>
            </w:pPr>
            <w:r>
              <w:rPr>
                <w:rFonts w:hint="eastAsia" w:cs="宋体"/>
                <w:color w:val="auto"/>
                <w:sz w:val="24"/>
                <w:szCs w:val="24"/>
                <w:highlight w:val="none"/>
              </w:rPr>
              <w:t>学生在线订购教材，通过支付宝支付</w:t>
            </w:r>
          </w:p>
        </w:tc>
        <w:tc>
          <w:tcPr>
            <w:tcW w:w="1838" w:type="dxa"/>
            <w:vAlign w:val="center"/>
          </w:tcPr>
          <w:p w14:paraId="18448A09">
            <w:pPr>
              <w:snapToGrid w:val="0"/>
              <w:spacing w:line="400" w:lineRule="exact"/>
              <w:jc w:val="center"/>
              <w:rPr>
                <w:rFonts w:cs="宋体"/>
                <w:color w:val="auto"/>
                <w:sz w:val="24"/>
                <w:szCs w:val="24"/>
                <w:highlight w:val="none"/>
              </w:rPr>
            </w:pPr>
            <w:r>
              <w:rPr>
                <w:rFonts w:hint="eastAsia" w:cs="宋体"/>
                <w:color w:val="auto"/>
                <w:sz w:val="24"/>
                <w:szCs w:val="24"/>
                <w:highlight w:val="none"/>
              </w:rPr>
              <w:t>学生</w:t>
            </w:r>
          </w:p>
        </w:tc>
      </w:tr>
      <w:tr w14:paraId="4DD3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26251FE0">
            <w:pPr>
              <w:snapToGrid w:val="0"/>
              <w:spacing w:line="400" w:lineRule="exact"/>
              <w:jc w:val="center"/>
              <w:rPr>
                <w:rFonts w:cs="宋体"/>
                <w:color w:val="auto"/>
                <w:sz w:val="24"/>
                <w:szCs w:val="24"/>
                <w:highlight w:val="none"/>
              </w:rPr>
            </w:pPr>
            <w:r>
              <w:rPr>
                <w:rFonts w:hint="eastAsia" w:cs="宋体"/>
                <w:color w:val="auto"/>
                <w:sz w:val="24"/>
                <w:szCs w:val="24"/>
                <w:highlight w:val="none"/>
              </w:rPr>
              <w:t>8</w:t>
            </w:r>
          </w:p>
        </w:tc>
        <w:tc>
          <w:tcPr>
            <w:tcW w:w="2028" w:type="dxa"/>
            <w:vAlign w:val="center"/>
          </w:tcPr>
          <w:p w14:paraId="794498B5">
            <w:pPr>
              <w:snapToGrid w:val="0"/>
              <w:spacing w:line="400" w:lineRule="exact"/>
              <w:jc w:val="center"/>
              <w:rPr>
                <w:rFonts w:cs="宋体"/>
                <w:color w:val="auto"/>
                <w:sz w:val="24"/>
                <w:szCs w:val="24"/>
                <w:highlight w:val="none"/>
              </w:rPr>
            </w:pPr>
            <w:r>
              <w:rPr>
                <w:rFonts w:hint="eastAsia" w:cs="宋体"/>
                <w:color w:val="auto"/>
                <w:sz w:val="24"/>
                <w:szCs w:val="24"/>
                <w:highlight w:val="none"/>
              </w:rPr>
              <w:t>新生报到期间</w:t>
            </w:r>
          </w:p>
        </w:tc>
        <w:tc>
          <w:tcPr>
            <w:tcW w:w="5378" w:type="dxa"/>
          </w:tcPr>
          <w:p w14:paraId="57A34AC5">
            <w:pPr>
              <w:snapToGrid w:val="0"/>
              <w:spacing w:line="400" w:lineRule="exact"/>
              <w:rPr>
                <w:rFonts w:cs="宋体"/>
                <w:color w:val="auto"/>
                <w:sz w:val="24"/>
                <w:szCs w:val="24"/>
                <w:highlight w:val="none"/>
              </w:rPr>
            </w:pPr>
            <w:r>
              <w:rPr>
                <w:rFonts w:hint="eastAsia" w:cs="宋体"/>
                <w:color w:val="auto"/>
                <w:sz w:val="24"/>
                <w:szCs w:val="24"/>
                <w:highlight w:val="none"/>
              </w:rPr>
              <w:t>完成在线支付的学生领取教材，</w:t>
            </w:r>
          </w:p>
          <w:p w14:paraId="2E783A83">
            <w:pPr>
              <w:snapToGrid w:val="0"/>
              <w:spacing w:line="400" w:lineRule="exact"/>
              <w:rPr>
                <w:rFonts w:cs="宋体"/>
                <w:color w:val="auto"/>
                <w:sz w:val="24"/>
                <w:szCs w:val="24"/>
                <w:highlight w:val="none"/>
              </w:rPr>
            </w:pPr>
            <w:r>
              <w:rPr>
                <w:rFonts w:hint="eastAsia" w:cs="宋体"/>
                <w:color w:val="auto"/>
                <w:sz w:val="24"/>
                <w:szCs w:val="24"/>
                <w:highlight w:val="none"/>
              </w:rPr>
              <w:t>未在线上支付的可现场购买后领取教材</w:t>
            </w:r>
          </w:p>
        </w:tc>
        <w:tc>
          <w:tcPr>
            <w:tcW w:w="1838" w:type="dxa"/>
            <w:vAlign w:val="center"/>
          </w:tcPr>
          <w:p w14:paraId="5569905A">
            <w:pPr>
              <w:snapToGrid w:val="0"/>
              <w:spacing w:line="400" w:lineRule="exact"/>
              <w:jc w:val="center"/>
              <w:rPr>
                <w:rFonts w:cs="宋体"/>
                <w:color w:val="auto"/>
                <w:sz w:val="24"/>
                <w:szCs w:val="24"/>
                <w:highlight w:val="none"/>
              </w:rPr>
            </w:pPr>
            <w:r>
              <w:rPr>
                <w:rFonts w:hint="eastAsia" w:cs="宋体"/>
                <w:color w:val="auto"/>
                <w:sz w:val="24"/>
                <w:szCs w:val="24"/>
                <w:highlight w:val="none"/>
              </w:rPr>
              <w:t>商家、校方</w:t>
            </w:r>
          </w:p>
        </w:tc>
      </w:tr>
      <w:tr w14:paraId="285A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4AEAEFFA">
            <w:pPr>
              <w:snapToGrid w:val="0"/>
              <w:spacing w:line="400" w:lineRule="exact"/>
              <w:jc w:val="center"/>
              <w:rPr>
                <w:rFonts w:cs="宋体"/>
                <w:color w:val="auto"/>
                <w:sz w:val="24"/>
                <w:szCs w:val="24"/>
                <w:highlight w:val="none"/>
              </w:rPr>
            </w:pPr>
            <w:r>
              <w:rPr>
                <w:rFonts w:hint="eastAsia" w:cs="宋体"/>
                <w:color w:val="auto"/>
                <w:sz w:val="24"/>
                <w:szCs w:val="24"/>
                <w:highlight w:val="none"/>
              </w:rPr>
              <w:t>9</w:t>
            </w:r>
          </w:p>
        </w:tc>
        <w:tc>
          <w:tcPr>
            <w:tcW w:w="2028" w:type="dxa"/>
            <w:vAlign w:val="center"/>
          </w:tcPr>
          <w:p w14:paraId="320526A8">
            <w:pPr>
              <w:snapToGrid w:val="0"/>
              <w:spacing w:line="400" w:lineRule="exact"/>
              <w:jc w:val="center"/>
              <w:rPr>
                <w:rFonts w:cs="宋体"/>
                <w:color w:val="auto"/>
                <w:sz w:val="24"/>
                <w:szCs w:val="24"/>
                <w:highlight w:val="none"/>
              </w:rPr>
            </w:pPr>
            <w:r>
              <w:rPr>
                <w:rFonts w:hint="eastAsia" w:cs="宋体"/>
                <w:color w:val="auto"/>
                <w:sz w:val="24"/>
                <w:szCs w:val="24"/>
                <w:highlight w:val="none"/>
              </w:rPr>
              <w:t>开学1-2周</w:t>
            </w:r>
          </w:p>
        </w:tc>
        <w:tc>
          <w:tcPr>
            <w:tcW w:w="5378" w:type="dxa"/>
          </w:tcPr>
          <w:p w14:paraId="0AA8D6E6">
            <w:pPr>
              <w:snapToGrid w:val="0"/>
              <w:spacing w:line="400" w:lineRule="exact"/>
              <w:rPr>
                <w:rFonts w:cs="宋体"/>
                <w:color w:val="auto"/>
                <w:sz w:val="24"/>
                <w:szCs w:val="24"/>
                <w:highlight w:val="none"/>
              </w:rPr>
            </w:pPr>
            <w:r>
              <w:rPr>
                <w:rFonts w:hint="eastAsia" w:cs="宋体"/>
                <w:color w:val="auto"/>
                <w:sz w:val="24"/>
                <w:szCs w:val="24"/>
                <w:highlight w:val="none"/>
              </w:rPr>
              <w:t>在线支付的学生确认支付</w:t>
            </w:r>
          </w:p>
        </w:tc>
        <w:tc>
          <w:tcPr>
            <w:tcW w:w="1838" w:type="dxa"/>
            <w:vAlign w:val="center"/>
          </w:tcPr>
          <w:p w14:paraId="0A48DD32">
            <w:pPr>
              <w:snapToGrid w:val="0"/>
              <w:spacing w:line="400" w:lineRule="exact"/>
              <w:jc w:val="center"/>
              <w:rPr>
                <w:rFonts w:cs="宋体"/>
                <w:color w:val="auto"/>
                <w:sz w:val="24"/>
                <w:szCs w:val="24"/>
                <w:highlight w:val="none"/>
              </w:rPr>
            </w:pPr>
            <w:r>
              <w:rPr>
                <w:rFonts w:hint="eastAsia" w:cs="宋体"/>
                <w:color w:val="auto"/>
                <w:sz w:val="24"/>
                <w:szCs w:val="24"/>
                <w:highlight w:val="none"/>
              </w:rPr>
              <w:t>学生</w:t>
            </w:r>
          </w:p>
        </w:tc>
      </w:tr>
      <w:tr w14:paraId="64A1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32A1116E">
            <w:pPr>
              <w:snapToGrid w:val="0"/>
              <w:spacing w:line="400" w:lineRule="exact"/>
              <w:jc w:val="center"/>
              <w:rPr>
                <w:rFonts w:cs="宋体"/>
                <w:color w:val="auto"/>
                <w:sz w:val="24"/>
                <w:szCs w:val="24"/>
                <w:highlight w:val="none"/>
              </w:rPr>
            </w:pPr>
            <w:r>
              <w:rPr>
                <w:rFonts w:hint="eastAsia" w:cs="宋体"/>
                <w:color w:val="auto"/>
                <w:sz w:val="24"/>
                <w:szCs w:val="24"/>
                <w:highlight w:val="none"/>
              </w:rPr>
              <w:t>10</w:t>
            </w:r>
          </w:p>
        </w:tc>
        <w:tc>
          <w:tcPr>
            <w:tcW w:w="2028" w:type="dxa"/>
            <w:vAlign w:val="center"/>
          </w:tcPr>
          <w:p w14:paraId="682688B8">
            <w:pPr>
              <w:snapToGrid w:val="0"/>
              <w:spacing w:line="400" w:lineRule="exact"/>
              <w:jc w:val="center"/>
              <w:rPr>
                <w:rFonts w:cs="宋体"/>
                <w:color w:val="auto"/>
                <w:sz w:val="24"/>
                <w:szCs w:val="24"/>
                <w:highlight w:val="none"/>
              </w:rPr>
            </w:pPr>
            <w:r>
              <w:rPr>
                <w:rFonts w:hint="eastAsia" w:cs="宋体"/>
                <w:color w:val="auto"/>
                <w:sz w:val="24"/>
                <w:szCs w:val="24"/>
                <w:highlight w:val="none"/>
              </w:rPr>
              <w:t>开学1-2周</w:t>
            </w:r>
          </w:p>
        </w:tc>
        <w:tc>
          <w:tcPr>
            <w:tcW w:w="5378" w:type="dxa"/>
          </w:tcPr>
          <w:p w14:paraId="2957D9EE">
            <w:pPr>
              <w:snapToGrid w:val="0"/>
              <w:spacing w:line="400" w:lineRule="exact"/>
              <w:rPr>
                <w:rFonts w:cs="宋体"/>
                <w:color w:val="auto"/>
                <w:sz w:val="24"/>
                <w:szCs w:val="24"/>
                <w:highlight w:val="none"/>
              </w:rPr>
            </w:pPr>
            <w:r>
              <w:rPr>
                <w:rFonts w:hint="eastAsia" w:cs="宋体"/>
                <w:color w:val="auto"/>
                <w:sz w:val="24"/>
                <w:szCs w:val="24"/>
                <w:highlight w:val="none"/>
              </w:rPr>
              <w:t>学生零星购买教材（现场）</w:t>
            </w:r>
          </w:p>
        </w:tc>
        <w:tc>
          <w:tcPr>
            <w:tcW w:w="1838" w:type="dxa"/>
            <w:vAlign w:val="center"/>
          </w:tcPr>
          <w:p w14:paraId="2A504632">
            <w:pPr>
              <w:snapToGrid w:val="0"/>
              <w:spacing w:line="400" w:lineRule="exact"/>
              <w:jc w:val="center"/>
              <w:rPr>
                <w:rFonts w:cs="宋体"/>
                <w:color w:val="auto"/>
                <w:sz w:val="24"/>
                <w:szCs w:val="24"/>
                <w:highlight w:val="none"/>
              </w:rPr>
            </w:pPr>
            <w:r>
              <w:rPr>
                <w:rFonts w:hint="eastAsia" w:cs="宋体"/>
                <w:color w:val="auto"/>
                <w:sz w:val="24"/>
                <w:szCs w:val="24"/>
                <w:highlight w:val="none"/>
              </w:rPr>
              <w:t>商家、学生</w:t>
            </w:r>
          </w:p>
        </w:tc>
      </w:tr>
      <w:tr w14:paraId="3D8F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2A280937">
            <w:pPr>
              <w:snapToGrid w:val="0"/>
              <w:spacing w:line="400" w:lineRule="exact"/>
              <w:jc w:val="center"/>
              <w:rPr>
                <w:rFonts w:cs="宋体"/>
                <w:color w:val="auto"/>
                <w:sz w:val="24"/>
                <w:szCs w:val="24"/>
                <w:highlight w:val="none"/>
              </w:rPr>
            </w:pPr>
            <w:r>
              <w:rPr>
                <w:rFonts w:hint="eastAsia" w:cs="宋体"/>
                <w:color w:val="auto"/>
                <w:sz w:val="24"/>
                <w:szCs w:val="24"/>
                <w:highlight w:val="none"/>
              </w:rPr>
              <w:t>11</w:t>
            </w:r>
          </w:p>
        </w:tc>
        <w:tc>
          <w:tcPr>
            <w:tcW w:w="2028" w:type="dxa"/>
            <w:vAlign w:val="center"/>
          </w:tcPr>
          <w:p w14:paraId="5CF63E66">
            <w:pPr>
              <w:snapToGrid w:val="0"/>
              <w:spacing w:line="400" w:lineRule="exact"/>
              <w:jc w:val="center"/>
              <w:rPr>
                <w:rFonts w:cs="宋体"/>
                <w:color w:val="auto"/>
                <w:sz w:val="24"/>
                <w:szCs w:val="24"/>
                <w:highlight w:val="none"/>
              </w:rPr>
            </w:pPr>
          </w:p>
        </w:tc>
        <w:tc>
          <w:tcPr>
            <w:tcW w:w="5378" w:type="dxa"/>
          </w:tcPr>
          <w:p w14:paraId="6DC4AA77">
            <w:pPr>
              <w:snapToGrid w:val="0"/>
              <w:spacing w:line="400" w:lineRule="exact"/>
              <w:rPr>
                <w:rFonts w:cs="宋体"/>
                <w:color w:val="auto"/>
                <w:sz w:val="24"/>
                <w:szCs w:val="24"/>
                <w:highlight w:val="none"/>
              </w:rPr>
            </w:pPr>
            <w:r>
              <w:rPr>
                <w:rFonts w:hint="eastAsia" w:cs="宋体"/>
                <w:color w:val="auto"/>
                <w:sz w:val="24"/>
                <w:szCs w:val="24"/>
                <w:highlight w:val="none"/>
              </w:rPr>
              <w:t>学校管理员实现全过程监督</w:t>
            </w:r>
          </w:p>
        </w:tc>
        <w:tc>
          <w:tcPr>
            <w:tcW w:w="1838" w:type="dxa"/>
            <w:vAlign w:val="center"/>
          </w:tcPr>
          <w:p w14:paraId="2CCC8826">
            <w:pPr>
              <w:snapToGrid w:val="0"/>
              <w:spacing w:line="400" w:lineRule="exact"/>
              <w:jc w:val="center"/>
              <w:rPr>
                <w:rFonts w:cs="宋体"/>
                <w:color w:val="auto"/>
                <w:sz w:val="24"/>
                <w:szCs w:val="24"/>
                <w:highlight w:val="none"/>
              </w:rPr>
            </w:pPr>
            <w:r>
              <w:rPr>
                <w:rFonts w:hint="eastAsia" w:cs="宋体"/>
                <w:color w:val="auto"/>
                <w:sz w:val="24"/>
                <w:szCs w:val="24"/>
                <w:highlight w:val="none"/>
              </w:rPr>
              <w:t>校方</w:t>
            </w:r>
          </w:p>
        </w:tc>
      </w:tr>
    </w:tbl>
    <w:p w14:paraId="54FBE433">
      <w:pPr>
        <w:snapToGrid w:val="0"/>
        <w:spacing w:line="400" w:lineRule="exact"/>
        <w:rPr>
          <w:rFonts w:ascii="宋体" w:hAnsi="宋体" w:cs="宋体"/>
          <w:b/>
          <w:bCs/>
          <w:color w:val="auto"/>
          <w:sz w:val="24"/>
          <w:szCs w:val="24"/>
          <w:highlight w:val="none"/>
        </w:rPr>
      </w:pPr>
      <w:r>
        <w:rPr>
          <w:rFonts w:hint="eastAsia" w:cs="宋体"/>
          <w:color w:val="auto"/>
          <w:sz w:val="24"/>
          <w:szCs w:val="24"/>
          <w:highlight w:val="none"/>
        </w:rPr>
        <w:t>※</w:t>
      </w:r>
      <w:r>
        <w:rPr>
          <w:rFonts w:hint="eastAsia" w:ascii="宋体" w:hAnsi="宋体" w:cs="宋体"/>
          <w:b/>
          <w:bCs/>
          <w:color w:val="auto"/>
          <w:sz w:val="24"/>
          <w:szCs w:val="24"/>
          <w:highlight w:val="none"/>
        </w:rPr>
        <w:t>（九）其他</w:t>
      </w:r>
    </w:p>
    <w:p w14:paraId="5E6E694B">
      <w:pPr>
        <w:spacing w:line="48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1.教材的送达、退回、调换等环节所产生的运输费、搬运费等一切费用由供应商承担。</w:t>
      </w:r>
    </w:p>
    <w:p w14:paraId="4CCA4A3F">
      <w:pPr>
        <w:spacing w:line="48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2.采购人免费提供3个校区（南岸主校区、兰花湖、茶园校区）的场地供教材供应商存放整理教材，进行教材配发。</w:t>
      </w:r>
    </w:p>
    <w:p w14:paraId="078F313A">
      <w:pPr>
        <w:rPr>
          <w:rFonts w:ascii="宋体" w:hAnsi="宋体" w:cs="宋体"/>
          <w:b/>
          <w:color w:val="auto"/>
          <w:highlight w:val="none"/>
        </w:rPr>
      </w:pPr>
      <w:r>
        <w:rPr>
          <w:rFonts w:hint="eastAsia" w:ascii="宋体" w:hAnsi="宋体" w:cs="宋体"/>
          <w:b/>
          <w:color w:val="auto"/>
          <w:highlight w:val="none"/>
        </w:rPr>
        <w:br w:type="page"/>
      </w:r>
    </w:p>
    <w:p w14:paraId="1B60257C">
      <w:pPr>
        <w:pStyle w:val="4"/>
        <w:spacing w:before="0" w:beforeLines="0" w:after="0" w:afterLines="0" w:line="360" w:lineRule="auto"/>
        <w:rPr>
          <w:rFonts w:ascii="宋体" w:hAnsi="宋体" w:eastAsia="宋体" w:cs="宋体"/>
          <w:bCs/>
          <w:color w:val="auto"/>
          <w:highlight w:val="none"/>
        </w:rPr>
      </w:pPr>
      <w:bookmarkStart w:id="39" w:name="_Toc5807"/>
      <w:bookmarkStart w:id="40" w:name="_Toc23803"/>
      <w:r>
        <w:rPr>
          <w:rFonts w:hint="eastAsia" w:ascii="宋体" w:hAnsi="宋体" w:eastAsia="宋体" w:cs="宋体"/>
          <w:bCs/>
          <w:color w:val="auto"/>
          <w:highlight w:val="none"/>
        </w:rPr>
        <w:t>第三篇  项目商务需求</w:t>
      </w:r>
      <w:bookmarkEnd w:id="39"/>
      <w:bookmarkEnd w:id="40"/>
    </w:p>
    <w:p w14:paraId="528ACE5A">
      <w:pPr>
        <w:snapToGrid w:val="0"/>
        <w:spacing w:line="360" w:lineRule="auto"/>
        <w:ind w:firstLine="480" w:firstLineChars="200"/>
        <w:rPr>
          <w:rFonts w:ascii="宋体" w:hAnsi="宋体" w:cs="宋体"/>
          <w:color w:val="auto"/>
          <w:kern w:val="0"/>
          <w:sz w:val="24"/>
          <w:szCs w:val="24"/>
          <w:highlight w:val="none"/>
        </w:rPr>
      </w:pPr>
      <w:bookmarkStart w:id="41" w:name="_Toc267320049"/>
      <w:r>
        <w:rPr>
          <w:rFonts w:hint="eastAsia" w:ascii="宋体" w:hAnsi="宋体" w:cs="宋体"/>
          <w:color w:val="auto"/>
          <w:sz w:val="24"/>
          <w:szCs w:val="28"/>
          <w:highlight w:val="none"/>
        </w:rPr>
        <w:t>“</w:t>
      </w:r>
      <w:r>
        <w:rPr>
          <w:rFonts w:hint="eastAsia" w:ascii="宋体" w:hAnsi="宋体" w:cs="宋体"/>
          <w:color w:val="auto"/>
          <w:kern w:val="0"/>
          <w:sz w:val="21"/>
          <w:szCs w:val="21"/>
          <w:highlight w:val="none"/>
        </w:rPr>
        <w:t>※</w:t>
      </w:r>
      <w:r>
        <w:rPr>
          <w:rFonts w:hint="eastAsia" w:ascii="宋体" w:hAnsi="宋体" w:cs="宋体"/>
          <w:color w:val="auto"/>
          <w:sz w:val="24"/>
          <w:szCs w:val="28"/>
          <w:highlight w:val="none"/>
        </w:rPr>
        <w:t>”标注的商务要求为符合性审查中的实质性要求，若不满足按无效投标处理。</w:t>
      </w:r>
      <w:bookmarkEnd w:id="41"/>
    </w:p>
    <w:p w14:paraId="321B3766">
      <w:pPr>
        <w:pStyle w:val="5"/>
        <w:spacing w:line="500" w:lineRule="exact"/>
        <w:ind w:firstLine="422" w:firstLineChars="200"/>
        <w:rPr>
          <w:rFonts w:cs="宋体"/>
          <w:b/>
          <w:bCs/>
          <w:color w:val="auto"/>
          <w:sz w:val="24"/>
          <w:szCs w:val="24"/>
          <w:highlight w:val="none"/>
        </w:rPr>
      </w:pPr>
      <w:bookmarkStart w:id="42" w:name="_Toc8070"/>
      <w:bookmarkStart w:id="43" w:name="_Toc6560"/>
      <w:bookmarkStart w:id="44" w:name="_Toc15295"/>
      <w:bookmarkStart w:id="45" w:name="_Toc21805"/>
      <w:r>
        <w:rPr>
          <w:rFonts w:hint="eastAsia" w:cs="宋体"/>
          <w:b/>
          <w:bCs/>
          <w:color w:val="auto"/>
          <w:kern w:val="0"/>
          <w:sz w:val="21"/>
          <w:szCs w:val="21"/>
          <w:highlight w:val="none"/>
        </w:rPr>
        <w:t>※</w:t>
      </w:r>
      <w:r>
        <w:rPr>
          <w:rFonts w:hint="eastAsia" w:cs="宋体"/>
          <w:b/>
          <w:bCs/>
          <w:color w:val="auto"/>
          <w:sz w:val="24"/>
          <w:szCs w:val="24"/>
          <w:highlight w:val="none"/>
        </w:rPr>
        <w:t>一、服务期、服务地点及验收方式</w:t>
      </w:r>
      <w:bookmarkEnd w:id="42"/>
      <w:bookmarkEnd w:id="43"/>
      <w:bookmarkEnd w:id="44"/>
      <w:bookmarkEnd w:id="45"/>
    </w:p>
    <w:p w14:paraId="592922B0">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（一）服务期</w:t>
      </w:r>
    </w:p>
    <w:p w14:paraId="1A24A397">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服务期（合同期）3年（2026年7月1日-2029年6月30日）。</w:t>
      </w:r>
    </w:p>
    <w:p w14:paraId="0AA48FAE">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（二）服务地点</w:t>
      </w:r>
    </w:p>
    <w:p w14:paraId="6628C60C">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服务地点：重庆工商大学指定地点（南岸主校区、兰花湖片区、茶园校区）。</w:t>
      </w:r>
    </w:p>
    <w:p w14:paraId="4542B145">
      <w:pPr>
        <w:snapToGrid w:val="0"/>
        <w:spacing w:line="400" w:lineRule="exact"/>
        <w:ind w:firstLine="480" w:firstLineChars="200"/>
        <w:rPr>
          <w:rFonts w:ascii="宋体" w:hAnsi="宋体" w:cs="宋体"/>
          <w:color w:val="auto"/>
          <w:kern w:val="0"/>
          <w:sz w:val="24"/>
          <w:szCs w:val="24"/>
          <w:highlight w:val="none"/>
        </w:rPr>
      </w:pPr>
      <w:bookmarkStart w:id="46" w:name="_Toc267320050"/>
      <w:r>
        <w:rPr>
          <w:rFonts w:hint="eastAsia" w:ascii="宋体" w:hAnsi="宋体" w:cs="宋体"/>
          <w:color w:val="auto"/>
          <w:kern w:val="0"/>
          <w:sz w:val="24"/>
          <w:szCs w:val="24"/>
          <w:highlight w:val="none"/>
        </w:rPr>
        <w:t>（三）考核方式或验收标准</w:t>
      </w:r>
    </w:p>
    <w:p w14:paraId="2A978806">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1.采购人教务处相关人员在进行教材数量和质量验收、或在配发教材过程中，若发现有脏残、破损、缺页、倒印等质量问题的教材或图书音像制品，应由供应商负责全部退换。</w:t>
      </w:r>
    </w:p>
    <w:p w14:paraId="124A0D7F">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2.采购人因生源及其它原因提出退回一部分教材时，采购人在每学期开学后30天内通知供应商，由供应商负责将其无条件退回原购买地。在退书过程中产生的费用由供应商自行承担。</w:t>
      </w:r>
    </w:p>
    <w:p w14:paraId="3DF48745">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3.若采购合同、技术服务协议与招标文件不一致而未被发现，验收时按招标文件规定执行。</w:t>
      </w:r>
    </w:p>
    <w:p w14:paraId="68F63C81">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4.供应商负责教材的打包及运输，并附列清单。清单具体写明每一种教材的书号、书名、版本、出版社、主编、定价、数量等，然后运送到采购人或采购人指定地点，采购人根据实际情况进行验收。</w:t>
      </w:r>
    </w:p>
    <w:p w14:paraId="497C03EB">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5.采购人需要制造商对中标人交付的教材（包括质量、数量、品种等）进行确认的，制造商应予以配合，并书面正式确认。</w:t>
      </w:r>
    </w:p>
    <w:p w14:paraId="35AF2D28">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6.验收合格条件如下：</w:t>
      </w:r>
    </w:p>
    <w:p w14:paraId="1C6428C2">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6.1教材数量、品目等与采购合同一致，各项要求达到规定的要求。</w:t>
      </w:r>
    </w:p>
    <w:p w14:paraId="497C4A0E">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6.2合同期内所出现的问题得到解决。</w:t>
      </w:r>
    </w:p>
    <w:p w14:paraId="4031E20A">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6.3在规定时间内完成交货并验收，并经采购人确认。</w:t>
      </w:r>
    </w:p>
    <w:p w14:paraId="54B96323">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7.供应商提供的教材未达到招标文件规定要求，且对采购人造成损失的，由供应商承担一切责任，并赔偿所造成的损失。</w:t>
      </w:r>
    </w:p>
    <w:p w14:paraId="671D16D2">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8.产品包装材料归采购人所有。</w:t>
      </w:r>
    </w:p>
    <w:p w14:paraId="62015FB6">
      <w:pPr>
        <w:pStyle w:val="5"/>
        <w:spacing w:line="500" w:lineRule="exact"/>
        <w:ind w:firstLine="482" w:firstLineChars="200"/>
        <w:rPr>
          <w:rFonts w:cs="宋体"/>
          <w:b/>
          <w:bCs/>
          <w:color w:val="auto"/>
          <w:kern w:val="0"/>
          <w:sz w:val="24"/>
          <w:szCs w:val="24"/>
          <w:highlight w:val="none"/>
        </w:rPr>
      </w:pPr>
      <w:bookmarkStart w:id="47" w:name="_Toc24473"/>
      <w:bookmarkStart w:id="48" w:name="_Toc18828"/>
      <w:bookmarkStart w:id="49" w:name="_Toc30975"/>
      <w:bookmarkStart w:id="50" w:name="_Toc17340"/>
      <w:bookmarkStart w:id="51" w:name="_Toc27207"/>
      <w:r>
        <w:rPr>
          <w:rFonts w:hint="eastAsia" w:cs="宋体"/>
          <w:b/>
          <w:bCs/>
          <w:color w:val="auto"/>
          <w:kern w:val="0"/>
          <w:sz w:val="24"/>
          <w:szCs w:val="24"/>
          <w:highlight w:val="none"/>
        </w:rPr>
        <w:t>※二、报价要求</w:t>
      </w:r>
      <w:bookmarkEnd w:id="47"/>
      <w:bookmarkEnd w:id="48"/>
      <w:bookmarkEnd w:id="49"/>
      <w:bookmarkEnd w:id="50"/>
      <w:bookmarkEnd w:id="51"/>
      <w:bookmarkStart w:id="52" w:name="_Toc31597"/>
      <w:bookmarkStart w:id="53" w:name="_Toc5567225"/>
      <w:bookmarkStart w:id="54" w:name="_Toc6507"/>
      <w:bookmarkStart w:id="55" w:name="_Toc8285"/>
      <w:bookmarkStart w:id="56" w:name="_Toc17958"/>
      <w:bookmarkStart w:id="57" w:name="_Toc11231"/>
    </w:p>
    <w:bookmarkEnd w:id="52"/>
    <w:bookmarkEnd w:id="53"/>
    <w:bookmarkEnd w:id="54"/>
    <w:bookmarkEnd w:id="55"/>
    <w:bookmarkEnd w:id="56"/>
    <w:bookmarkEnd w:id="57"/>
    <w:p w14:paraId="69C1B8C2">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本招标项目报价为教材折扣率。教材折扣率＝实洋金额/码洋金额。折扣应小于等于78%。各投标人应结合教材市场行情、企业生产或经营状况自主进行报价。投标报价（指折扣）中标后作为结算依据。采购人不分出版社等差异，所有教材按统一的折扣计算书款。一次性报价且报价唯一（有选择或者有条件的报价不予接受）。</w:t>
      </w:r>
      <w:r>
        <w:rPr>
          <w:rFonts w:hint="eastAsia" w:ascii="宋体" w:hAnsi="宋体" w:cs="宋体"/>
          <w:bCs/>
          <w:color w:val="auto"/>
          <w:sz w:val="24"/>
          <w:szCs w:val="24"/>
          <w:highlight w:val="none"/>
        </w:rPr>
        <w:t>“思政课”教材按上级规定执行。</w:t>
      </w:r>
    </w:p>
    <w:p w14:paraId="47D9DD0B">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例如，以某出版社出版的某非“思政课”教材为例，码洋为50元/本，若折扣率为75%，则该教材实际销售价格为50元*75%=40元/本。</w:t>
      </w:r>
    </w:p>
    <w:p w14:paraId="0C01BE6C">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（二）费用构成：投标报价为包干报价（含人工服务费、人员交通食宿、税费等），</w:t>
      </w:r>
    </w:p>
    <w:p w14:paraId="39F2FD64">
      <w:pPr>
        <w:snapToGrid w:val="0"/>
        <w:spacing w:line="400" w:lineRule="exact"/>
        <w:ind w:firstLine="480" w:firstLineChars="200"/>
        <w:rPr>
          <w:rFonts w:ascii="宋体" w:hAnsi="宋体" w:cs="宋体"/>
          <w:b/>
          <w:bCs/>
          <w:color w:val="auto"/>
          <w:kern w:val="0"/>
          <w:sz w:val="24"/>
          <w:szCs w:val="24"/>
          <w:highlight w:val="none"/>
        </w:rPr>
      </w:pPr>
      <w:r>
        <w:rPr>
          <w:rFonts w:hint="eastAsia" w:ascii="宋体" w:hAnsi="宋体" w:cs="宋体"/>
          <w:color w:val="auto"/>
          <w:kern w:val="0"/>
          <w:sz w:val="24"/>
          <w:szCs w:val="24"/>
          <w:highlight w:val="none"/>
        </w:rPr>
        <w:t>报价为教材折扣率，投标报价为包干报价，报价包括但不限于本项目的原始成本、服务材料费、人工费、运输费、装卸费、存放配发、退还调换、加工费、保险费、知识产权费及各种应纳的税费等。</w:t>
      </w:r>
      <w:r>
        <w:rPr>
          <w:rFonts w:hint="eastAsia" w:ascii="宋体" w:hAnsi="宋体" w:cs="宋体"/>
          <w:b/>
          <w:bCs/>
          <w:color w:val="auto"/>
          <w:kern w:val="0"/>
          <w:sz w:val="24"/>
          <w:szCs w:val="24"/>
          <w:highlight w:val="none"/>
        </w:rPr>
        <w:t>投标报价中标后不作任何调整。本项目服务期间所需发生的一切费用不另计费。</w:t>
      </w:r>
    </w:p>
    <w:p w14:paraId="39EFBC19">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费用构成由投标人根据本项目的实际情况与自身现实情况，并充分考虑不确定性因素可能导致的风险自行填报。若因投标人原因造成的漏报、错报而导致本项目无法履行的，由投标人负责，采购人不承担任何费用。</w:t>
      </w:r>
    </w:p>
    <w:p w14:paraId="3D0FCB99">
      <w:pPr>
        <w:pStyle w:val="5"/>
        <w:spacing w:line="500" w:lineRule="exact"/>
        <w:ind w:firstLine="482" w:firstLineChars="200"/>
        <w:rPr>
          <w:rFonts w:cs="宋体"/>
          <w:color w:val="auto"/>
          <w:kern w:val="0"/>
          <w:sz w:val="24"/>
          <w:szCs w:val="24"/>
          <w:highlight w:val="none"/>
        </w:rPr>
      </w:pPr>
      <w:bookmarkStart w:id="58" w:name="_Toc30714"/>
      <w:r>
        <w:rPr>
          <w:rFonts w:hint="eastAsia" w:cs="宋体"/>
          <w:b/>
          <w:bCs/>
          <w:color w:val="auto"/>
          <w:kern w:val="0"/>
          <w:sz w:val="24"/>
          <w:szCs w:val="24"/>
          <w:highlight w:val="none"/>
        </w:rPr>
        <w:t>※三、质量保证及售后服务</w:t>
      </w:r>
      <w:bookmarkEnd w:id="58"/>
    </w:p>
    <w:p w14:paraId="22026F1F">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1、保证采购人委托采购的教材能按采购人要求的到货时间、品种、数量，免运费直接送至采购人指定的地点。无论购书量的多少，供应商都应免费及时送书上门，并免费搬运入库、拆包清点、分类堆放。</w:t>
      </w:r>
    </w:p>
    <w:p w14:paraId="526DB720">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2、如采购人所购教材因出版社无书或无法按时供应等原因，将导致供应商无法按时交货时，应在接到征订教材订单后3个工作日内回告采购人教务处，并主动向采购人教务处说明出版社的出书和供书时间。</w:t>
      </w:r>
    </w:p>
    <w:p w14:paraId="56172FAC">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3、教材款结算前，对所送教材如出现缺页、重页或排版顺序混乱以及在运输过程中发生的残损问题，供应商一周内免费负责退换或调换。</w:t>
      </w:r>
    </w:p>
    <w:p w14:paraId="528CCCA6">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4、无条件接收采购人提供的追补教材订单（品种和数量不限），并保证在3个工作日内向采购人教材采购人员回告有无该书，以便采购人重新选购教材。追加的教材7个工作日内送达指定地点。追加教材的折扣率与中标价的折扣率一致。</w:t>
      </w:r>
    </w:p>
    <w:p w14:paraId="7E93DD1C">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5、采购人教务处相关人员在进行教材数量和质量验收、或在配发教材过程中，若发现有脏残、破损、缺页、倒印等质量问题的教材或图书音像制品，应由中标人负责全部退换。</w:t>
      </w:r>
    </w:p>
    <w:p w14:paraId="09966F17">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6、采购人因生源及其它原因提出退回一部分教材时，采购人在每学期开学后30天内通知供应商，由供应商负责将其无条件退回原购买地。在退书过程中产生的费用由供应商自行承担。</w:t>
      </w:r>
    </w:p>
    <w:p w14:paraId="6B3078D4">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7、配合采购人完成征订教材的意识形态内容审查。</w:t>
      </w:r>
    </w:p>
    <w:p w14:paraId="3D98550D">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8、中标人应按照合同约定完成中标项目，不得将中标项目分包他人。</w:t>
      </w:r>
    </w:p>
    <w:p w14:paraId="1803AD44">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9、所有教材发放完毕后30个日历日内完成多余书款的退还。</w:t>
      </w:r>
    </w:p>
    <w:p w14:paraId="601ABF80">
      <w:pPr>
        <w:pStyle w:val="5"/>
        <w:spacing w:line="500" w:lineRule="exact"/>
        <w:ind w:firstLine="482" w:firstLineChars="200"/>
        <w:rPr>
          <w:rFonts w:cs="宋体"/>
          <w:color w:val="auto"/>
          <w:kern w:val="0"/>
          <w:sz w:val="24"/>
          <w:szCs w:val="24"/>
          <w:highlight w:val="none"/>
        </w:rPr>
      </w:pPr>
      <w:bookmarkStart w:id="59" w:name="_Toc31909"/>
      <w:bookmarkStart w:id="60" w:name="_Toc14540"/>
      <w:bookmarkStart w:id="61" w:name="_Toc20005"/>
      <w:bookmarkStart w:id="62" w:name="_Toc15180"/>
      <w:bookmarkStart w:id="63" w:name="_Toc12024"/>
      <w:r>
        <w:rPr>
          <w:rFonts w:hint="eastAsia" w:cs="宋体"/>
          <w:b/>
          <w:bCs/>
          <w:color w:val="auto"/>
          <w:kern w:val="0"/>
          <w:sz w:val="24"/>
          <w:szCs w:val="24"/>
          <w:highlight w:val="none"/>
        </w:rPr>
        <w:t>※四、</w:t>
      </w:r>
      <w:bookmarkEnd w:id="46"/>
      <w:bookmarkStart w:id="64" w:name="_Toc267320051"/>
      <w:r>
        <w:rPr>
          <w:rFonts w:hint="eastAsia" w:cs="宋体"/>
          <w:b/>
          <w:bCs/>
          <w:color w:val="auto"/>
          <w:kern w:val="0"/>
          <w:sz w:val="24"/>
          <w:szCs w:val="24"/>
          <w:highlight w:val="none"/>
        </w:rPr>
        <w:t>付款方式</w:t>
      </w:r>
      <w:bookmarkEnd w:id="59"/>
      <w:bookmarkEnd w:id="60"/>
      <w:bookmarkEnd w:id="61"/>
      <w:bookmarkEnd w:id="62"/>
      <w:bookmarkEnd w:id="63"/>
      <w:bookmarkEnd w:id="64"/>
    </w:p>
    <w:p w14:paraId="7D317B5F">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（一）学生用教材：学生通过教材在线征订与管理平台，自主完成网上支付；或每学期期初2周内在中标人校内设点处零散购买。</w:t>
      </w:r>
    </w:p>
    <w:p w14:paraId="6E56DE99">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（二）教师用教材：由采购人对教材验收无误后，以教材定价为依据，按照投标折扣结算书款，对公支付，供应商向招标人开具增值税专用发票。</w:t>
      </w:r>
    </w:p>
    <w:p w14:paraId="15A693CA">
      <w:pPr>
        <w:pStyle w:val="5"/>
        <w:spacing w:line="500" w:lineRule="exact"/>
        <w:ind w:firstLine="482" w:firstLineChars="200"/>
        <w:rPr>
          <w:rFonts w:cs="宋体"/>
          <w:color w:val="auto"/>
          <w:kern w:val="0"/>
          <w:sz w:val="24"/>
          <w:szCs w:val="24"/>
          <w:highlight w:val="none"/>
        </w:rPr>
      </w:pPr>
      <w:bookmarkStart w:id="65" w:name="_Toc267320054"/>
      <w:bookmarkStart w:id="66" w:name="_Toc9303"/>
      <w:bookmarkStart w:id="67" w:name="_Toc15863"/>
      <w:bookmarkStart w:id="68" w:name="_Toc1941"/>
      <w:bookmarkStart w:id="69" w:name="_Toc32702"/>
      <w:r>
        <w:rPr>
          <w:rFonts w:hint="eastAsia" w:cs="宋体"/>
          <w:b/>
          <w:bCs/>
          <w:color w:val="auto"/>
          <w:kern w:val="0"/>
          <w:sz w:val="24"/>
          <w:szCs w:val="24"/>
          <w:highlight w:val="none"/>
        </w:rPr>
        <w:t>※五、</w:t>
      </w:r>
      <w:bookmarkEnd w:id="65"/>
      <w:bookmarkStart w:id="70" w:name="_Toc19027099"/>
      <w:r>
        <w:rPr>
          <w:rFonts w:hint="eastAsia" w:cs="宋体"/>
          <w:b/>
          <w:bCs/>
          <w:color w:val="auto"/>
          <w:kern w:val="0"/>
          <w:sz w:val="24"/>
          <w:szCs w:val="24"/>
          <w:highlight w:val="none"/>
        </w:rPr>
        <w:t>履约保证金</w:t>
      </w:r>
      <w:bookmarkEnd w:id="66"/>
      <w:bookmarkEnd w:id="67"/>
      <w:bookmarkEnd w:id="68"/>
      <w:bookmarkEnd w:id="69"/>
      <w:bookmarkEnd w:id="70"/>
    </w:p>
    <w:p w14:paraId="328057C4">
      <w:pPr>
        <w:spacing w:line="3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根据本项目“一用一备”原则，第一中标候选人为本项目的“执行人”，第二中标候选人为本项目的“备选执行人”。“执行人”须在采购人发出成交通知书之日（不含）起7日内、签订合同前向采购人开户银行汇入履约保证金22.5万元（人民币大写：叁拾叁万元整），确保项目按期、按质进行。“执行人”若发生部分违约现象，采购人从履约保证金中扣除相应金额的违约金；若发现严重违约现象，采购人有充分理由没收其全额保证金。若因“执行人”发生变更，重新确定的“执行人”也应按此规定缴纳足额履约保证金，并按招标文件的相关规定履行全部责任和义务（递补情况详见本招标文件第五篇 中标人变更）。同时，若因违约扣减履约保证金的，“执行人”应在采购人扣减其履约保证金后，于5个工作日内及时补充扣减金额，使履约保证金处于足额状态（22.5万元）。</w:t>
      </w:r>
    </w:p>
    <w:p w14:paraId="00B3DA91">
      <w:pPr>
        <w:spacing w:line="400" w:lineRule="exact"/>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2、履约保证金缴纳方式：以转账、电汇等方式交到重庆工商大学指定的银行基本账户，不得以现金或其他方式划入任何个人账户，否则由此产生的所有损失由投标人自行承担。中标人务必在汇款凭证上注明</w:t>
      </w:r>
      <w:r>
        <w:rPr>
          <w:rFonts w:hint="eastAsia" w:ascii="宋体" w:hAnsi="宋体" w:cs="宋体"/>
          <w:b/>
          <w:color w:val="auto"/>
          <w:sz w:val="24"/>
          <w:szCs w:val="24"/>
          <w:highlight w:val="none"/>
        </w:rPr>
        <w:t>“</w:t>
      </w:r>
      <w:r>
        <w:rPr>
          <w:rFonts w:hint="eastAsia" w:ascii="宋体" w:hAnsi="宋体" w:cs="宋体"/>
          <w:color w:val="auto"/>
          <w:sz w:val="24"/>
          <w:szCs w:val="24"/>
          <w:highlight w:val="none"/>
        </w:rPr>
        <w:t>CTBU-JZ2025197</w:t>
      </w:r>
      <w:r>
        <w:rPr>
          <w:rFonts w:hint="eastAsia" w:ascii="宋体" w:hAnsi="宋体" w:cs="宋体"/>
          <w:b/>
          <w:color w:val="auto"/>
          <w:sz w:val="24"/>
          <w:szCs w:val="24"/>
          <w:highlight w:val="none"/>
        </w:rPr>
        <w:t>”。</w:t>
      </w:r>
    </w:p>
    <w:p w14:paraId="0ED4906B">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3、履约保证金指定收取账户</w:t>
      </w:r>
    </w:p>
    <w:p w14:paraId="0BB52501">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户名：重庆工商大学</w:t>
      </w:r>
    </w:p>
    <w:p w14:paraId="3F5944F5">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开户行：工行重庆南岸学府支行</w:t>
      </w:r>
    </w:p>
    <w:p w14:paraId="5EB745EE">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账号：9558 8531 0075 3300 031</w:t>
      </w:r>
    </w:p>
    <w:p w14:paraId="3802923B">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统一社会信用代码：125000007428748822</w:t>
      </w:r>
    </w:p>
    <w:p w14:paraId="55B0A1F2">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4、履约保证金退还方式</w:t>
      </w:r>
    </w:p>
    <w:p w14:paraId="7441A9D0">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（1）服务期满，经采购人验收合格后且无遗留问题的前提下全额退还履约保证金（不计利息）。</w:t>
      </w:r>
    </w:p>
    <w:p w14:paraId="161C75CB">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（2）中标人申请退履约保证金时提供需求部门、资产管理处签署的《重庆工商大学货物及服务项目质量评估报告及履约保证金退还审核流程表》。</w:t>
      </w:r>
    </w:p>
    <w:p w14:paraId="5CDFAF81">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注：如遇寒暑假或国家重大事件，则顺延至开学或条件允许后支付。</w:t>
      </w:r>
    </w:p>
    <w:p w14:paraId="0C5CE200">
      <w:pPr>
        <w:pStyle w:val="5"/>
        <w:spacing w:line="500" w:lineRule="exact"/>
        <w:ind w:firstLine="482" w:firstLineChars="200"/>
        <w:rPr>
          <w:rFonts w:cs="宋体"/>
          <w:color w:val="auto"/>
          <w:kern w:val="0"/>
          <w:sz w:val="24"/>
          <w:szCs w:val="24"/>
          <w:highlight w:val="none"/>
        </w:rPr>
      </w:pPr>
      <w:bookmarkStart w:id="71" w:name="_Toc267320053"/>
      <w:bookmarkStart w:id="72" w:name="_Toc524622133"/>
      <w:bookmarkStart w:id="73" w:name="_Toc5057"/>
      <w:bookmarkStart w:id="74" w:name="_Toc27595"/>
      <w:bookmarkStart w:id="75" w:name="_Toc68080887"/>
      <w:bookmarkStart w:id="76" w:name="_Toc4730"/>
      <w:bookmarkStart w:id="77" w:name="_Toc2300"/>
      <w:r>
        <w:rPr>
          <w:rFonts w:hint="eastAsia" w:cs="宋体"/>
          <w:b/>
          <w:bCs/>
          <w:color w:val="auto"/>
          <w:kern w:val="0"/>
          <w:sz w:val="24"/>
          <w:szCs w:val="24"/>
          <w:highlight w:val="none"/>
        </w:rPr>
        <w:t>※六、</w:t>
      </w:r>
      <w:bookmarkEnd w:id="71"/>
      <w:bookmarkEnd w:id="72"/>
      <w:r>
        <w:rPr>
          <w:rFonts w:hint="eastAsia" w:cs="宋体"/>
          <w:b/>
          <w:bCs/>
          <w:color w:val="auto"/>
          <w:kern w:val="0"/>
          <w:sz w:val="24"/>
          <w:szCs w:val="24"/>
          <w:highlight w:val="none"/>
        </w:rPr>
        <w:t>违约责任</w:t>
      </w:r>
      <w:bookmarkEnd w:id="73"/>
      <w:bookmarkEnd w:id="74"/>
      <w:bookmarkEnd w:id="75"/>
      <w:bookmarkEnd w:id="76"/>
      <w:bookmarkEnd w:id="77"/>
    </w:p>
    <w:p w14:paraId="6256D052">
      <w:pPr>
        <w:snapToGrid w:val="0"/>
        <w:spacing w:line="440" w:lineRule="exact"/>
        <w:ind w:firstLine="480" w:firstLineChars="200"/>
        <w:rPr>
          <w:rFonts w:ascii="宋体" w:hAnsi="宋体" w:cs="宋体"/>
          <w:color w:val="auto"/>
          <w:sz w:val="24"/>
          <w:szCs w:val="24"/>
          <w:highlight w:val="none"/>
        </w:rPr>
      </w:pPr>
      <w:bookmarkStart w:id="78" w:name="_Hlk68075709"/>
      <w:r>
        <w:rPr>
          <w:rFonts w:hint="eastAsia" w:ascii="宋体" w:hAnsi="宋体"/>
          <w:color w:val="auto"/>
          <w:sz w:val="24"/>
          <w:szCs w:val="24"/>
          <w:highlight w:val="none"/>
        </w:rPr>
        <w:t>（一）评标结束后，采购人可通过现场考察、函询等多种方式对中标人的投标文件响应情况予以核查，中标人须无条件配合并提供有关证明材料，证明其响应内容的真实有效性。采购人若发现中标人进行虚假响应或提供虚假材料的，有权取消中标人的中标资格，全额没收投标保证金；若在合同签订后查实中标人进行虚假响应或提供虚假材料的，采购人有权单方面终止合同，全额没收履约保证金。</w:t>
      </w:r>
    </w:p>
    <w:p w14:paraId="3782CE14">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（二）中标人未在规定时间内缴纳履约保证金的，不退还投标保证金，取消中标资格。</w:t>
      </w:r>
    </w:p>
    <w:p w14:paraId="3028AB82">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中标人有以下情况视为重大违约，采购人有权立即终止合同将其列入采购人黑名单，以后不得参与采购人同类项目投标，并保留向上级主管部门提请将该供应商加入违约黑名单的权利，并部分或全额没收其履约保证金(若履约保证金扣完，从银行保函中扣除)，由此所造成的其他全部损失由中标人负责。</w:t>
      </w:r>
    </w:p>
    <w:p w14:paraId="234876B1">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1.非不可抗力情况下，因中标人拒签合同或拒不供货或终止履行合同的，履约保证金全额不予退还；</w:t>
      </w:r>
    </w:p>
    <w:p w14:paraId="2DFE1D53">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2.中标人若未按采购人规定时间反馈教材供应情况等信息，或未按时送达预订教材，采购人按以下标准扣除保证金。</w:t>
      </w:r>
    </w:p>
    <w:p w14:paraId="08B7B566">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（1）超过规定时间5至10个工作日（含）的，按每门课程教材1000元扣除履约保证金。</w:t>
      </w:r>
    </w:p>
    <w:p w14:paraId="0AB6BF08">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（2）超过规定时间11至15个工作日（含）的，按每门课程教材2000元扣除履约保证金。</w:t>
      </w:r>
    </w:p>
    <w:p w14:paraId="1FCB597E">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（3）超过规定时间15个工作日以上且无充分理由的，按每门课程教材5000元扣除履约保证金，并中止合同。</w:t>
      </w:r>
    </w:p>
    <w:p w14:paraId="57350A78">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3.中标人不得供应使用过的教材，如若出现，按每本3000元扣除保证金。若出现十本及以上则直接解除合同。</w:t>
      </w:r>
    </w:p>
    <w:p w14:paraId="28DF7350">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4.中标人若违反合同其他条款规定，造成订购教材不能保质保量按时供应、销售，或造成采购人教学秩序紊乱的，采购人将视其具体情况扣除1000元至30000元的保证金；情节严重者，解除合同，同时采购人保留追究中标人及有关人员民事责任的权利。</w:t>
      </w:r>
    </w:p>
    <w:p w14:paraId="1F57961C">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5.中标人必须保证销售正版图书，保证所供应图书的版本与进书来源合法，并对所供应的图书版本、知识产权、进货来源承担相应的法律责任。对盗版、盗印及非法图书无论是否已拆封发放，中标人须无条件负责退货，采购人有权单方面终止合同，并全额没收履约保证金，同时承担由此产生的一切法律责任。</w:t>
      </w:r>
    </w:p>
    <w:p w14:paraId="7E268609">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6.对涉及知识产权纠纷和意识形态的图书无论是否已拆封发放，中标人必须无条件负责退货并承担相应的法律责任。</w:t>
      </w:r>
    </w:p>
    <w:p w14:paraId="26F10D9E">
      <w:pPr>
        <w:snapToGrid w:val="0"/>
        <w:spacing w:line="400" w:lineRule="exact"/>
        <w:ind w:firstLine="559" w:firstLineChars="233"/>
        <w:rPr>
          <w:rFonts w:ascii="宋体" w:hAnsi="宋体" w:cs="宋体"/>
          <w:color w:val="auto"/>
          <w:kern w:val="0"/>
          <w:sz w:val="24"/>
          <w:szCs w:val="24"/>
          <w:highlight w:val="none"/>
        </w:rPr>
      </w:pPr>
      <w:r>
        <w:rPr>
          <w:rFonts w:hint="eastAsia" w:ascii="宋体" w:hAnsi="宋体" w:cs="宋体"/>
          <w:color w:val="auto"/>
          <w:kern w:val="0"/>
          <w:sz w:val="24"/>
          <w:szCs w:val="24"/>
          <w:highlight w:val="none"/>
        </w:rPr>
        <w:t>7.因中标人原因导致到书率低于95%，每低一个百分点，扣履约保证金30000元，且终止履行第二年的合同且取消下一次投标资格。学期订单在指定时间内到书率低于92%，一经发现将终止整个合同，全额扣除履约保证金，并报采购人采购与招投标管理中心备案。</w:t>
      </w:r>
    </w:p>
    <w:p w14:paraId="08A4341A">
      <w:pPr>
        <w:snapToGrid w:val="0"/>
        <w:spacing w:line="400" w:lineRule="exact"/>
        <w:ind w:firstLine="559" w:firstLineChars="233"/>
        <w:rPr>
          <w:rFonts w:ascii="宋体" w:hAnsi="宋体" w:cs="宋体"/>
          <w:color w:val="auto"/>
          <w:sz w:val="24"/>
          <w:szCs w:val="24"/>
          <w:highlight w:val="none"/>
        </w:rPr>
      </w:pPr>
      <w:r>
        <w:rPr>
          <w:rFonts w:hint="eastAsia" w:ascii="宋体" w:hAnsi="宋体" w:cs="宋体"/>
          <w:color w:val="auto"/>
          <w:kern w:val="0"/>
          <w:sz w:val="24"/>
          <w:szCs w:val="24"/>
          <w:highlight w:val="none"/>
        </w:rPr>
        <w:t>8.中标人及其从业人员出现有损采购人的行为，情节严重的全额没收履约保证金。</w:t>
      </w:r>
    </w:p>
    <w:p w14:paraId="1E6F8AC9">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因不可抗力，或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14:paraId="382C037B">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若中标人在投标或履约过程中有虚假响应或合同违约行为的，或正式验收或使用过程中，若经采购人或第三方检测机构验证不合格，除全额没收履约保证金，承担相应的经济赔偿责任之外，采购人有权终止合同，并报送至重庆市财政局，将其列入政府采购黑名单。</w:t>
      </w:r>
    </w:p>
    <w:p w14:paraId="21EEA9E9">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供应商有下列情形之一的，列入采购人采招供应商黑名单，采购人视情况禁止供应商及关联关系方（指单位负责人为同一人或存在直接控股、关联关系的不同供应商）6个月至3年内参加采购人采招项目投标。</w:t>
      </w:r>
    </w:p>
    <w:p w14:paraId="38B5E1CA">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投标人在投标过程中有虚假投标、围标、串标行为的。</w:t>
      </w:r>
    </w:p>
    <w:p w14:paraId="1F86D64F">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不按规定提交履约保证金。</w:t>
      </w:r>
    </w:p>
    <w:p w14:paraId="19D585EA">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非不可抗力原因，中标人无故放弃项目中标资格的、或不与采购人签订合同的、或合同签订后拒绝履行合同义务的。</w:t>
      </w:r>
    </w:p>
    <w:p w14:paraId="02AB7C63">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4.中标人在合同履约过程中有违约行为，整改后再次违约的。</w:t>
      </w:r>
    </w:p>
    <w:p w14:paraId="7B983FF7">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中标人因自身原因未按合同约定完成送货、安装调试达到验收要求，给采购人造成负面影响的。</w:t>
      </w:r>
    </w:p>
    <w:p w14:paraId="3FC58775">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其他违反采购与招投标法律法规和采购人规章制度的。</w:t>
      </w:r>
    </w:p>
    <w:p w14:paraId="0B8E63F2">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七</w:t>
      </w:r>
      <w:r>
        <w:rPr>
          <w:rFonts w:hint="eastAsia" w:ascii="宋体" w:hAnsi="宋体" w:cs="宋体"/>
          <w:color w:val="auto"/>
          <w:sz w:val="24"/>
          <w:szCs w:val="24"/>
          <w:highlight w:val="none"/>
        </w:rPr>
        <w:t>）其他未尽事宜按《中华人民共和国民法典》、《政府采购法》执行。</w:t>
      </w:r>
    </w:p>
    <w:bookmarkEnd w:id="78"/>
    <w:p w14:paraId="709D01B8">
      <w:pPr>
        <w:pStyle w:val="5"/>
        <w:spacing w:line="500" w:lineRule="exact"/>
        <w:ind w:firstLine="482" w:firstLineChars="200"/>
        <w:rPr>
          <w:rFonts w:cs="宋体"/>
          <w:color w:val="auto"/>
          <w:kern w:val="0"/>
          <w:sz w:val="24"/>
          <w:szCs w:val="24"/>
          <w:highlight w:val="none"/>
        </w:rPr>
      </w:pPr>
      <w:bookmarkStart w:id="79" w:name="_Toc5248"/>
      <w:bookmarkStart w:id="80" w:name="_Toc17919"/>
      <w:bookmarkStart w:id="81" w:name="_Toc28142"/>
      <w:bookmarkStart w:id="82" w:name="_Toc68080886"/>
      <w:bookmarkStart w:id="83" w:name="_Toc2310"/>
      <w:r>
        <w:rPr>
          <w:rFonts w:hint="eastAsia" w:cs="宋体"/>
          <w:b/>
          <w:bCs/>
          <w:color w:val="auto"/>
          <w:kern w:val="0"/>
          <w:sz w:val="24"/>
          <w:szCs w:val="24"/>
          <w:highlight w:val="none"/>
        </w:rPr>
        <w:t>※七、知识产权</w:t>
      </w:r>
      <w:bookmarkEnd w:id="79"/>
      <w:bookmarkEnd w:id="80"/>
      <w:bookmarkEnd w:id="81"/>
      <w:bookmarkEnd w:id="82"/>
      <w:bookmarkEnd w:id="83"/>
    </w:p>
    <w:p w14:paraId="5257E2A2">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采购人在中华人民共和国境内使用投标人提供的货物及服务时免受第三方提出的侵犯其专利权或其它知识产权的起诉。如果第三方提出侵权指控，中标人应承担由此而引起的一切法律责任和费用。</w:t>
      </w:r>
    </w:p>
    <w:p w14:paraId="109E452F">
      <w:pPr>
        <w:pStyle w:val="5"/>
        <w:spacing w:line="500" w:lineRule="exact"/>
        <w:ind w:firstLine="482" w:firstLineChars="200"/>
        <w:rPr>
          <w:rFonts w:cs="宋体"/>
          <w:color w:val="auto"/>
          <w:kern w:val="0"/>
          <w:sz w:val="24"/>
          <w:szCs w:val="24"/>
          <w:highlight w:val="none"/>
        </w:rPr>
      </w:pPr>
      <w:bookmarkStart w:id="84" w:name="_Toc1140"/>
      <w:bookmarkStart w:id="85" w:name="_Toc8578"/>
      <w:bookmarkStart w:id="86" w:name="_Toc28286"/>
      <w:bookmarkStart w:id="87" w:name="_Toc27252"/>
      <w:r>
        <w:rPr>
          <w:rFonts w:hint="eastAsia" w:cs="宋体"/>
          <w:b/>
          <w:bCs/>
          <w:color w:val="auto"/>
          <w:kern w:val="0"/>
          <w:sz w:val="24"/>
          <w:szCs w:val="24"/>
          <w:highlight w:val="none"/>
        </w:rPr>
        <w:t>八、其他商务要求内容</w:t>
      </w:r>
      <w:bookmarkEnd w:id="84"/>
      <w:bookmarkEnd w:id="85"/>
      <w:bookmarkEnd w:id="86"/>
      <w:bookmarkEnd w:id="87"/>
    </w:p>
    <w:p w14:paraId="22D0D7DE">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kern w:val="0"/>
          <w:sz w:val="24"/>
          <w:szCs w:val="24"/>
          <w:highlight w:val="none"/>
        </w:rPr>
        <w:t>（一）若</w:t>
      </w:r>
      <w:r>
        <w:rPr>
          <w:rFonts w:hint="eastAsia" w:ascii="宋体" w:hAnsi="宋体" w:cs="宋体"/>
          <w:color w:val="auto"/>
          <w:sz w:val="24"/>
          <w:szCs w:val="24"/>
          <w:highlight w:val="none"/>
        </w:rPr>
        <w:t>采购合同、技术服务协议与招标文件不一致而未被发现，验收时按招标文件规定执行。</w:t>
      </w:r>
    </w:p>
    <w:p w14:paraId="40F6378A">
      <w:pPr>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（二）中标人提供的教材未达到招标文件规定要求，且对采购人造成损失的，由中标人承担一切责任，并赔偿所造成的损失。</w:t>
      </w:r>
    </w:p>
    <w:p w14:paraId="40BD8572">
      <w:pPr>
        <w:snapToGrid w:val="0"/>
        <w:spacing w:line="440" w:lineRule="exact"/>
        <w:ind w:firstLine="480" w:firstLineChars="200"/>
        <w:rPr>
          <w:rFonts w:ascii="宋体" w:hAnsi="宋体" w:cs="宋体"/>
          <w:color w:val="auto"/>
          <w:sz w:val="24"/>
          <w:highlight w:val="none"/>
        </w:rPr>
        <w:sectPr>
          <w:footerReference r:id="rId7" w:type="default"/>
          <w:footerReference r:id="rId8" w:type="even"/>
          <w:pgSz w:w="11907" w:h="16840"/>
          <w:pgMar w:top="1134" w:right="1417" w:bottom="1134" w:left="1417" w:header="964" w:footer="992" w:gutter="0"/>
          <w:pgNumType w:fmt="numberInDash"/>
          <w:cols w:space="720" w:num="1"/>
          <w:docGrid w:linePitch="312" w:charSpace="0"/>
        </w:sectPr>
      </w:pPr>
      <w:r>
        <w:rPr>
          <w:rFonts w:hint="eastAsia" w:ascii="宋体" w:hAnsi="宋体" w:cs="宋体"/>
          <w:color w:val="auto"/>
          <w:sz w:val="24"/>
          <w:szCs w:val="24"/>
          <w:highlight w:val="none"/>
        </w:rPr>
        <w:t>（三）其他未尽事宜由供需双方在采购合同中详细约定。</w:t>
      </w:r>
    </w:p>
    <w:p w14:paraId="41B537DD">
      <w:pPr>
        <w:pStyle w:val="4"/>
        <w:spacing w:before="0" w:beforeLines="0" w:after="0" w:afterLines="0" w:line="360" w:lineRule="auto"/>
        <w:rPr>
          <w:rFonts w:ascii="宋体" w:hAnsi="宋体" w:eastAsia="宋体" w:cs="宋体"/>
          <w:bCs/>
          <w:color w:val="auto"/>
          <w:highlight w:val="none"/>
        </w:rPr>
      </w:pPr>
      <w:bookmarkStart w:id="88" w:name="_Toc26291"/>
      <w:bookmarkStart w:id="89" w:name="_Toc5361"/>
      <w:bookmarkStart w:id="90" w:name="_Toc15020"/>
      <w:r>
        <w:rPr>
          <w:rFonts w:hint="eastAsia" w:ascii="宋体" w:hAnsi="宋体" w:eastAsia="宋体" w:cs="宋体"/>
          <w:bCs/>
          <w:color w:val="auto"/>
          <w:highlight w:val="none"/>
        </w:rPr>
        <w:t>第四篇 资格审查及评标办法</w:t>
      </w:r>
      <w:bookmarkEnd w:id="88"/>
      <w:bookmarkEnd w:id="89"/>
      <w:bookmarkEnd w:id="90"/>
    </w:p>
    <w:p w14:paraId="602CDDC5">
      <w:pPr>
        <w:pStyle w:val="5"/>
        <w:ind w:firstLine="482" w:firstLineChars="200"/>
        <w:rPr>
          <w:rFonts w:cs="宋体"/>
          <w:b/>
          <w:color w:val="auto"/>
          <w:sz w:val="24"/>
          <w:szCs w:val="24"/>
          <w:highlight w:val="none"/>
        </w:rPr>
      </w:pPr>
      <w:bookmarkStart w:id="91" w:name="_Toc5869"/>
      <w:bookmarkStart w:id="92" w:name="_Toc986"/>
      <w:bookmarkStart w:id="93" w:name="_Toc3487"/>
      <w:r>
        <w:rPr>
          <w:rFonts w:hint="eastAsia" w:cs="宋体"/>
          <w:b/>
          <w:color w:val="auto"/>
          <w:sz w:val="24"/>
          <w:szCs w:val="24"/>
          <w:highlight w:val="none"/>
        </w:rPr>
        <w:t>一、资格审查</w:t>
      </w:r>
      <w:bookmarkEnd w:id="91"/>
      <w:bookmarkEnd w:id="92"/>
      <w:bookmarkEnd w:id="93"/>
    </w:p>
    <w:p w14:paraId="3444A928">
      <w:pPr>
        <w:snapToGrid w:val="0"/>
        <w:spacing w:line="360" w:lineRule="auto"/>
        <w:ind w:firstLine="482" w:firstLineChars="20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若未通过资格审查及符合性审查的投标文件，不进入评审环节。</w:t>
      </w:r>
    </w:p>
    <w:p w14:paraId="491A2E29">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（一）资格审查</w:t>
      </w:r>
    </w:p>
    <w:p w14:paraId="0C69B171">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依据政府采购相关法律法规规定，由采购人或采购代理机构对投标文件中的资格证明文件进行审查。资格审查资料表如下：</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3C33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DC8E7A9">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3827" w:type="dxa"/>
            <w:gridSpan w:val="2"/>
            <w:vAlign w:val="center"/>
          </w:tcPr>
          <w:p w14:paraId="2F6C0D4C">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检查因素</w:t>
            </w:r>
          </w:p>
        </w:tc>
        <w:tc>
          <w:tcPr>
            <w:tcW w:w="4984" w:type="dxa"/>
            <w:vAlign w:val="center"/>
          </w:tcPr>
          <w:p w14:paraId="5F46DA59">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检查内容</w:t>
            </w:r>
          </w:p>
        </w:tc>
      </w:tr>
      <w:tr w14:paraId="4159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1E26D72C">
            <w:pPr>
              <w:jc w:val="center"/>
              <w:rPr>
                <w:rFonts w:ascii="宋体" w:hAnsi="宋体" w:cs="宋体"/>
                <w:color w:val="auto"/>
                <w:sz w:val="21"/>
                <w:szCs w:val="21"/>
                <w:highlight w:val="none"/>
              </w:rPr>
            </w:pPr>
            <w:r>
              <w:rPr>
                <w:rFonts w:hint="eastAsia" w:ascii="宋体" w:hAnsi="宋体" w:cs="宋体"/>
                <w:color w:val="auto"/>
                <w:sz w:val="21"/>
                <w:szCs w:val="21"/>
                <w:highlight w:val="none"/>
              </w:rPr>
              <w:t>（一）</w:t>
            </w:r>
          </w:p>
        </w:tc>
        <w:tc>
          <w:tcPr>
            <w:tcW w:w="709" w:type="dxa"/>
            <w:vMerge w:val="restart"/>
            <w:vAlign w:val="center"/>
          </w:tcPr>
          <w:p w14:paraId="531967CF">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《中华人民共和国政府采购法》第二十二条规定</w:t>
            </w:r>
          </w:p>
        </w:tc>
        <w:tc>
          <w:tcPr>
            <w:tcW w:w="3118" w:type="dxa"/>
            <w:vAlign w:val="center"/>
          </w:tcPr>
          <w:p w14:paraId="10B04C37">
            <w:pPr>
              <w:rPr>
                <w:rFonts w:ascii="宋体" w:hAnsi="宋体" w:cs="宋体"/>
                <w:color w:val="auto"/>
                <w:sz w:val="21"/>
                <w:szCs w:val="21"/>
                <w:highlight w:val="none"/>
              </w:rPr>
            </w:pPr>
            <w:r>
              <w:rPr>
                <w:rFonts w:hint="eastAsia" w:ascii="宋体" w:hAnsi="宋体" w:cs="宋体"/>
                <w:color w:val="auto"/>
                <w:sz w:val="21"/>
                <w:szCs w:val="21"/>
                <w:highlight w:val="none"/>
              </w:rPr>
              <w:t>1.具有独立承担民事责任的能力</w:t>
            </w:r>
          </w:p>
        </w:tc>
        <w:tc>
          <w:tcPr>
            <w:tcW w:w="4984" w:type="dxa"/>
            <w:vAlign w:val="center"/>
          </w:tcPr>
          <w:p w14:paraId="56688F8E">
            <w:pPr>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1.投标人企业法人营业执照（副本）（提供复印件）。 </w:t>
            </w:r>
          </w:p>
          <w:p w14:paraId="04580F8F">
            <w:pPr>
              <w:rPr>
                <w:rFonts w:ascii="宋体" w:hAnsi="宋体" w:cs="宋体"/>
                <w:color w:val="auto"/>
                <w:sz w:val="21"/>
                <w:szCs w:val="21"/>
                <w:highlight w:val="none"/>
              </w:rPr>
            </w:pPr>
            <w:r>
              <w:rPr>
                <w:rFonts w:hint="eastAsia" w:ascii="宋体" w:hAnsi="宋体" w:cs="宋体"/>
                <w:color w:val="auto"/>
                <w:sz w:val="21"/>
                <w:szCs w:val="21"/>
                <w:highlight w:val="none"/>
              </w:rPr>
              <w:t>2.投标人法定代表人身份证明和法定代表人授权代表委托书。</w:t>
            </w:r>
          </w:p>
        </w:tc>
      </w:tr>
      <w:tr w14:paraId="7FFC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4832C91">
            <w:pPr>
              <w:jc w:val="center"/>
              <w:rPr>
                <w:rFonts w:ascii="宋体" w:hAnsi="宋体" w:cs="宋体"/>
                <w:color w:val="auto"/>
                <w:sz w:val="21"/>
                <w:szCs w:val="21"/>
                <w:highlight w:val="none"/>
              </w:rPr>
            </w:pPr>
          </w:p>
        </w:tc>
        <w:tc>
          <w:tcPr>
            <w:tcW w:w="709" w:type="dxa"/>
            <w:vMerge w:val="continue"/>
            <w:vAlign w:val="center"/>
          </w:tcPr>
          <w:p w14:paraId="57516C8C">
            <w:pPr>
              <w:rPr>
                <w:rFonts w:ascii="宋体" w:hAnsi="宋体" w:cs="宋体"/>
                <w:color w:val="auto"/>
                <w:sz w:val="21"/>
                <w:szCs w:val="21"/>
                <w:highlight w:val="none"/>
                <w:lang w:val="zh-CN"/>
              </w:rPr>
            </w:pPr>
          </w:p>
        </w:tc>
        <w:tc>
          <w:tcPr>
            <w:tcW w:w="3118" w:type="dxa"/>
            <w:vAlign w:val="center"/>
          </w:tcPr>
          <w:p w14:paraId="69BE27B3">
            <w:pPr>
              <w:rPr>
                <w:rFonts w:ascii="宋体" w:hAnsi="宋体" w:cs="宋体"/>
                <w:color w:val="auto"/>
                <w:sz w:val="21"/>
                <w:szCs w:val="21"/>
                <w:highlight w:val="none"/>
              </w:rPr>
            </w:pPr>
            <w:r>
              <w:rPr>
                <w:rFonts w:hint="eastAsia" w:ascii="宋体" w:hAnsi="宋体" w:cs="宋体"/>
                <w:color w:val="auto"/>
                <w:sz w:val="21"/>
                <w:szCs w:val="21"/>
                <w:highlight w:val="none"/>
                <w:lang w:val="zh-CN"/>
              </w:rPr>
              <w:t>2.</w:t>
            </w:r>
            <w:r>
              <w:rPr>
                <w:rFonts w:hint="eastAsia" w:ascii="宋体" w:hAnsi="宋体" w:cs="宋体"/>
                <w:color w:val="auto"/>
                <w:sz w:val="21"/>
                <w:szCs w:val="21"/>
                <w:highlight w:val="none"/>
              </w:rPr>
              <w:t>具有良好的商业信誉和健全的财务会计制度</w:t>
            </w:r>
          </w:p>
        </w:tc>
        <w:tc>
          <w:tcPr>
            <w:tcW w:w="4984" w:type="dxa"/>
            <w:vMerge w:val="restart"/>
            <w:vAlign w:val="center"/>
          </w:tcPr>
          <w:p w14:paraId="3F05ECFF">
            <w:pPr>
              <w:rPr>
                <w:rFonts w:ascii="宋体" w:hAnsi="宋体" w:cs="宋体"/>
                <w:color w:val="auto"/>
                <w:sz w:val="21"/>
                <w:szCs w:val="21"/>
                <w:highlight w:val="none"/>
              </w:rPr>
            </w:pPr>
            <w:r>
              <w:rPr>
                <w:rFonts w:hint="eastAsia" w:ascii="宋体" w:hAnsi="宋体" w:cs="宋体"/>
                <w:color w:val="auto"/>
                <w:sz w:val="21"/>
                <w:szCs w:val="21"/>
                <w:highlight w:val="none"/>
              </w:rPr>
              <w:t>投标人提供“基本资格条件承诺函”（格式详见第七篇）</w:t>
            </w:r>
          </w:p>
          <w:p w14:paraId="6161CCD9">
            <w:pPr>
              <w:rPr>
                <w:rFonts w:ascii="宋体" w:hAnsi="宋体" w:cs="宋体"/>
                <w:b/>
                <w:color w:val="auto"/>
                <w:sz w:val="21"/>
                <w:szCs w:val="21"/>
                <w:highlight w:val="none"/>
              </w:rPr>
            </w:pPr>
          </w:p>
        </w:tc>
      </w:tr>
      <w:tr w14:paraId="05EB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17FA3C1E">
            <w:pPr>
              <w:jc w:val="center"/>
              <w:rPr>
                <w:rFonts w:ascii="宋体" w:hAnsi="宋体" w:cs="宋体"/>
                <w:color w:val="auto"/>
                <w:sz w:val="21"/>
                <w:szCs w:val="21"/>
                <w:highlight w:val="none"/>
              </w:rPr>
            </w:pPr>
          </w:p>
        </w:tc>
        <w:tc>
          <w:tcPr>
            <w:tcW w:w="709" w:type="dxa"/>
            <w:vMerge w:val="continue"/>
            <w:vAlign w:val="center"/>
          </w:tcPr>
          <w:p w14:paraId="75E11B25">
            <w:pPr>
              <w:rPr>
                <w:rFonts w:ascii="宋体" w:hAnsi="宋体" w:cs="宋体"/>
                <w:color w:val="auto"/>
                <w:sz w:val="21"/>
                <w:szCs w:val="21"/>
                <w:highlight w:val="none"/>
                <w:lang w:val="zh-CN"/>
              </w:rPr>
            </w:pPr>
          </w:p>
        </w:tc>
        <w:tc>
          <w:tcPr>
            <w:tcW w:w="3118" w:type="dxa"/>
            <w:vAlign w:val="center"/>
          </w:tcPr>
          <w:p w14:paraId="57DB48E2">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3.具有履行合同所必需的设备和专业技术能力</w:t>
            </w:r>
          </w:p>
        </w:tc>
        <w:tc>
          <w:tcPr>
            <w:tcW w:w="4984" w:type="dxa"/>
            <w:vMerge w:val="continue"/>
            <w:vAlign w:val="center"/>
          </w:tcPr>
          <w:p w14:paraId="1287FC6B">
            <w:pPr>
              <w:rPr>
                <w:rFonts w:ascii="宋体" w:hAnsi="宋体" w:cs="宋体"/>
                <w:color w:val="auto"/>
                <w:sz w:val="21"/>
                <w:szCs w:val="21"/>
                <w:highlight w:val="none"/>
              </w:rPr>
            </w:pPr>
          </w:p>
        </w:tc>
      </w:tr>
      <w:tr w14:paraId="780D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D2C7C8D">
            <w:pPr>
              <w:jc w:val="center"/>
              <w:rPr>
                <w:rFonts w:ascii="宋体" w:hAnsi="宋体" w:cs="宋体"/>
                <w:color w:val="auto"/>
                <w:sz w:val="21"/>
                <w:szCs w:val="21"/>
                <w:highlight w:val="none"/>
              </w:rPr>
            </w:pPr>
          </w:p>
        </w:tc>
        <w:tc>
          <w:tcPr>
            <w:tcW w:w="709" w:type="dxa"/>
            <w:vMerge w:val="continue"/>
            <w:vAlign w:val="center"/>
          </w:tcPr>
          <w:p w14:paraId="1EB2F05C">
            <w:pPr>
              <w:rPr>
                <w:rFonts w:ascii="宋体" w:hAnsi="宋体" w:cs="宋体"/>
                <w:color w:val="auto"/>
                <w:sz w:val="21"/>
                <w:szCs w:val="21"/>
                <w:highlight w:val="none"/>
                <w:lang w:val="zh-CN"/>
              </w:rPr>
            </w:pPr>
          </w:p>
        </w:tc>
        <w:tc>
          <w:tcPr>
            <w:tcW w:w="3118" w:type="dxa"/>
            <w:vAlign w:val="center"/>
          </w:tcPr>
          <w:p w14:paraId="51BBC9AB">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4.有依法缴纳税收和社会保障金的良好记录</w:t>
            </w:r>
          </w:p>
        </w:tc>
        <w:tc>
          <w:tcPr>
            <w:tcW w:w="4984" w:type="dxa"/>
            <w:vMerge w:val="continue"/>
            <w:vAlign w:val="center"/>
          </w:tcPr>
          <w:p w14:paraId="2C349391">
            <w:pPr>
              <w:rPr>
                <w:rFonts w:ascii="宋体" w:hAnsi="宋体" w:cs="宋体"/>
                <w:color w:val="auto"/>
                <w:sz w:val="21"/>
                <w:szCs w:val="21"/>
                <w:highlight w:val="none"/>
              </w:rPr>
            </w:pPr>
          </w:p>
        </w:tc>
      </w:tr>
      <w:tr w14:paraId="5939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49F599F4">
            <w:pPr>
              <w:jc w:val="center"/>
              <w:rPr>
                <w:rFonts w:ascii="宋体" w:hAnsi="宋体" w:cs="宋体"/>
                <w:color w:val="auto"/>
                <w:sz w:val="21"/>
                <w:szCs w:val="21"/>
                <w:highlight w:val="none"/>
              </w:rPr>
            </w:pPr>
          </w:p>
        </w:tc>
        <w:tc>
          <w:tcPr>
            <w:tcW w:w="709" w:type="dxa"/>
            <w:vMerge w:val="continue"/>
            <w:vAlign w:val="center"/>
          </w:tcPr>
          <w:p w14:paraId="6E200E2A">
            <w:pPr>
              <w:rPr>
                <w:rFonts w:ascii="宋体" w:hAnsi="宋体" w:cs="宋体"/>
                <w:color w:val="auto"/>
                <w:sz w:val="21"/>
                <w:szCs w:val="21"/>
                <w:highlight w:val="none"/>
                <w:lang w:val="zh-CN"/>
              </w:rPr>
            </w:pPr>
          </w:p>
        </w:tc>
        <w:tc>
          <w:tcPr>
            <w:tcW w:w="3118" w:type="dxa"/>
            <w:vAlign w:val="center"/>
          </w:tcPr>
          <w:p w14:paraId="5ECC4A02">
            <w:pPr>
              <w:rPr>
                <w:rFonts w:ascii="宋体" w:hAnsi="宋体" w:cs="宋体"/>
                <w:color w:val="auto"/>
                <w:sz w:val="21"/>
                <w:szCs w:val="21"/>
                <w:highlight w:val="none"/>
                <w:lang w:val="zh-CN"/>
              </w:rPr>
            </w:pPr>
            <w:r>
              <w:rPr>
                <w:rFonts w:hint="eastAsia" w:ascii="宋体" w:hAnsi="宋体" w:cs="宋体"/>
                <w:color w:val="auto"/>
                <w:sz w:val="21"/>
                <w:szCs w:val="21"/>
                <w:highlight w:val="none"/>
              </w:rPr>
              <w:t>5.参加政府采购活动前三年内，在经营活动中没有重大违法记录（注</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2"/>
                <w:sz w:val="14"/>
                <w:szCs w:val="21"/>
                <w:highlight w:val="none"/>
              </w:rPr>
              <w:instrText xml:space="preserve">1</w:instrText>
            </w:r>
            <w:r>
              <w:rPr>
                <w:rFonts w:hint="eastAsia" w:ascii="宋体" w:hAnsi="宋体" w:cs="宋体"/>
                <w:color w:val="auto"/>
                <w:sz w:val="21"/>
                <w:szCs w:val="21"/>
                <w:highlight w:val="none"/>
              </w:rPr>
              <w:instrText xml:space="preserve">)</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w:t>
            </w:r>
          </w:p>
        </w:tc>
        <w:tc>
          <w:tcPr>
            <w:tcW w:w="4984" w:type="dxa"/>
            <w:vMerge w:val="continue"/>
            <w:vAlign w:val="center"/>
          </w:tcPr>
          <w:p w14:paraId="5E40062B">
            <w:pPr>
              <w:rPr>
                <w:rFonts w:ascii="宋体" w:hAnsi="宋体" w:cs="宋体"/>
                <w:b/>
                <w:color w:val="auto"/>
                <w:sz w:val="21"/>
                <w:szCs w:val="21"/>
                <w:highlight w:val="none"/>
              </w:rPr>
            </w:pPr>
          </w:p>
        </w:tc>
      </w:tr>
      <w:tr w14:paraId="03C6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0CD01739">
            <w:pPr>
              <w:jc w:val="center"/>
              <w:rPr>
                <w:rFonts w:ascii="宋体" w:hAnsi="宋体" w:cs="宋体"/>
                <w:color w:val="auto"/>
                <w:sz w:val="21"/>
                <w:szCs w:val="21"/>
                <w:highlight w:val="none"/>
              </w:rPr>
            </w:pPr>
          </w:p>
        </w:tc>
        <w:tc>
          <w:tcPr>
            <w:tcW w:w="709" w:type="dxa"/>
            <w:vMerge w:val="continue"/>
            <w:vAlign w:val="center"/>
          </w:tcPr>
          <w:p w14:paraId="2617A7F2">
            <w:pPr>
              <w:rPr>
                <w:rFonts w:ascii="宋体" w:hAnsi="宋体" w:cs="宋体"/>
                <w:color w:val="auto"/>
                <w:sz w:val="21"/>
                <w:szCs w:val="21"/>
                <w:highlight w:val="none"/>
              </w:rPr>
            </w:pPr>
          </w:p>
        </w:tc>
        <w:tc>
          <w:tcPr>
            <w:tcW w:w="3118" w:type="dxa"/>
            <w:vAlign w:val="center"/>
          </w:tcPr>
          <w:p w14:paraId="7492B844">
            <w:pPr>
              <w:rPr>
                <w:rFonts w:ascii="宋体" w:hAnsi="宋体" w:cs="宋体"/>
                <w:color w:val="auto"/>
                <w:sz w:val="21"/>
                <w:szCs w:val="21"/>
                <w:highlight w:val="none"/>
              </w:rPr>
            </w:pPr>
            <w:r>
              <w:rPr>
                <w:rFonts w:hint="eastAsia" w:ascii="宋体" w:hAnsi="宋体" w:cs="宋体"/>
                <w:color w:val="auto"/>
                <w:sz w:val="21"/>
                <w:szCs w:val="21"/>
                <w:highlight w:val="none"/>
              </w:rPr>
              <w:t>6.法律、行政法规规定的其他条件</w:t>
            </w:r>
          </w:p>
        </w:tc>
        <w:tc>
          <w:tcPr>
            <w:tcW w:w="4984" w:type="dxa"/>
            <w:vAlign w:val="center"/>
          </w:tcPr>
          <w:p w14:paraId="3BB4023D">
            <w:pPr>
              <w:rPr>
                <w:rFonts w:ascii="宋体" w:hAnsi="宋体" w:cs="宋体"/>
                <w:color w:val="auto"/>
                <w:sz w:val="21"/>
                <w:szCs w:val="21"/>
                <w:highlight w:val="none"/>
              </w:rPr>
            </w:pPr>
          </w:p>
        </w:tc>
      </w:tr>
      <w:tr w14:paraId="7D08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7765C280">
            <w:pPr>
              <w:jc w:val="center"/>
              <w:rPr>
                <w:rFonts w:ascii="宋体" w:hAnsi="宋体" w:cs="宋体"/>
                <w:color w:val="auto"/>
                <w:sz w:val="21"/>
                <w:szCs w:val="21"/>
                <w:highlight w:val="none"/>
              </w:rPr>
            </w:pPr>
          </w:p>
        </w:tc>
        <w:tc>
          <w:tcPr>
            <w:tcW w:w="709" w:type="dxa"/>
            <w:vMerge w:val="continue"/>
            <w:vAlign w:val="center"/>
          </w:tcPr>
          <w:p w14:paraId="15E399DF">
            <w:pPr>
              <w:rPr>
                <w:rFonts w:ascii="宋体" w:hAnsi="宋体" w:cs="宋体"/>
                <w:color w:val="auto"/>
                <w:sz w:val="21"/>
                <w:szCs w:val="21"/>
                <w:highlight w:val="none"/>
              </w:rPr>
            </w:pPr>
          </w:p>
        </w:tc>
        <w:tc>
          <w:tcPr>
            <w:tcW w:w="3118" w:type="dxa"/>
            <w:vAlign w:val="center"/>
          </w:tcPr>
          <w:p w14:paraId="5792ACBE">
            <w:pPr>
              <w:rPr>
                <w:rFonts w:ascii="宋体" w:hAnsi="宋体" w:cs="宋体"/>
                <w:color w:val="auto"/>
                <w:sz w:val="21"/>
                <w:szCs w:val="21"/>
                <w:highlight w:val="none"/>
              </w:rPr>
            </w:pPr>
            <w:r>
              <w:rPr>
                <w:rFonts w:hint="eastAsia" w:ascii="宋体" w:hAnsi="宋体" w:cs="宋体"/>
                <w:color w:val="auto"/>
                <w:sz w:val="21"/>
                <w:szCs w:val="21"/>
                <w:highlight w:val="none"/>
              </w:rPr>
              <w:t>7.本项目的特定资格要求</w:t>
            </w:r>
          </w:p>
        </w:tc>
        <w:tc>
          <w:tcPr>
            <w:tcW w:w="4984" w:type="dxa"/>
            <w:vAlign w:val="center"/>
          </w:tcPr>
          <w:p w14:paraId="30F9DFB9">
            <w:pPr>
              <w:rPr>
                <w:rFonts w:ascii="宋体" w:hAnsi="宋体" w:cs="宋体"/>
                <w:color w:val="auto"/>
                <w:sz w:val="21"/>
                <w:szCs w:val="21"/>
                <w:highlight w:val="none"/>
              </w:rPr>
            </w:pPr>
            <w:r>
              <w:rPr>
                <w:rFonts w:hint="eastAsia" w:ascii="宋体" w:hAnsi="宋体" w:cs="宋体"/>
                <w:color w:val="auto"/>
                <w:sz w:val="21"/>
                <w:szCs w:val="21"/>
                <w:highlight w:val="none"/>
              </w:rPr>
              <w:t>按第一篇“三、投标人资格要求（三）本项目的特定资格要求”的要求提交（如果有）。</w:t>
            </w:r>
          </w:p>
        </w:tc>
      </w:tr>
      <w:tr w14:paraId="5E2E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B7732CB">
            <w:pPr>
              <w:jc w:val="center"/>
              <w:rPr>
                <w:rFonts w:ascii="宋体" w:hAnsi="宋体" w:cs="宋体"/>
                <w:color w:val="auto"/>
                <w:sz w:val="21"/>
                <w:szCs w:val="21"/>
                <w:highlight w:val="none"/>
              </w:rPr>
            </w:pPr>
            <w:r>
              <w:rPr>
                <w:rFonts w:hint="eastAsia" w:ascii="宋体" w:hAnsi="宋体" w:cs="宋体"/>
                <w:color w:val="auto"/>
                <w:sz w:val="21"/>
                <w:szCs w:val="21"/>
                <w:highlight w:val="none"/>
              </w:rPr>
              <w:t>（二）</w:t>
            </w:r>
          </w:p>
        </w:tc>
        <w:tc>
          <w:tcPr>
            <w:tcW w:w="3827" w:type="dxa"/>
            <w:gridSpan w:val="2"/>
            <w:vAlign w:val="center"/>
          </w:tcPr>
          <w:p w14:paraId="36E46BB1">
            <w:pPr>
              <w:rPr>
                <w:rFonts w:ascii="宋体" w:hAnsi="宋体" w:cs="宋体"/>
                <w:color w:val="auto"/>
                <w:sz w:val="21"/>
                <w:szCs w:val="21"/>
                <w:highlight w:val="none"/>
              </w:rPr>
            </w:pPr>
            <w:r>
              <w:rPr>
                <w:rFonts w:hint="eastAsia" w:ascii="宋体" w:hAnsi="宋体" w:cs="宋体"/>
                <w:color w:val="auto"/>
                <w:sz w:val="21"/>
                <w:szCs w:val="21"/>
                <w:highlight w:val="none"/>
              </w:rPr>
              <w:t>落实政府采购政策需满足的资格要求</w:t>
            </w:r>
          </w:p>
        </w:tc>
        <w:tc>
          <w:tcPr>
            <w:tcW w:w="4984" w:type="dxa"/>
            <w:vAlign w:val="center"/>
          </w:tcPr>
          <w:p w14:paraId="740425E3">
            <w:pPr>
              <w:rPr>
                <w:rFonts w:ascii="宋体" w:hAnsi="宋体" w:cs="宋体"/>
                <w:color w:val="auto"/>
                <w:sz w:val="21"/>
                <w:szCs w:val="21"/>
                <w:highlight w:val="none"/>
              </w:rPr>
            </w:pPr>
            <w:r>
              <w:rPr>
                <w:rFonts w:hint="eastAsia" w:ascii="宋体" w:hAnsi="宋体" w:cs="宋体"/>
                <w:color w:val="auto"/>
                <w:sz w:val="21"/>
                <w:szCs w:val="21"/>
                <w:highlight w:val="none"/>
              </w:rPr>
              <w:t>按第一篇“三、投标人资格要求（二）落实政府采购政策需满足的资格要求”的要求提交（如果有）。</w:t>
            </w:r>
          </w:p>
        </w:tc>
      </w:tr>
      <w:tr w14:paraId="26CF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34F24F10">
            <w:pPr>
              <w:jc w:val="center"/>
              <w:rPr>
                <w:rFonts w:ascii="宋体" w:hAnsi="宋体" w:cs="宋体"/>
                <w:color w:val="auto"/>
                <w:sz w:val="21"/>
                <w:szCs w:val="21"/>
                <w:highlight w:val="none"/>
              </w:rPr>
            </w:pPr>
            <w:r>
              <w:rPr>
                <w:rFonts w:hint="eastAsia" w:ascii="宋体" w:hAnsi="宋体" w:cs="宋体"/>
                <w:color w:val="auto"/>
                <w:sz w:val="21"/>
                <w:szCs w:val="21"/>
                <w:highlight w:val="none"/>
              </w:rPr>
              <w:t>（三）</w:t>
            </w:r>
          </w:p>
        </w:tc>
        <w:tc>
          <w:tcPr>
            <w:tcW w:w="3827" w:type="dxa"/>
            <w:gridSpan w:val="2"/>
            <w:vAlign w:val="center"/>
          </w:tcPr>
          <w:p w14:paraId="4ECFE2D7">
            <w:pPr>
              <w:rPr>
                <w:rFonts w:ascii="宋体" w:hAnsi="宋体" w:cs="宋体"/>
                <w:color w:val="auto"/>
                <w:sz w:val="21"/>
                <w:szCs w:val="21"/>
                <w:highlight w:val="none"/>
              </w:rPr>
            </w:pPr>
            <w:r>
              <w:rPr>
                <w:rFonts w:hint="eastAsia" w:ascii="宋体" w:hAnsi="宋体" w:cs="宋体"/>
                <w:color w:val="auto"/>
                <w:sz w:val="21"/>
                <w:szCs w:val="21"/>
                <w:highlight w:val="none"/>
              </w:rPr>
              <w:t>投标保证金</w:t>
            </w:r>
          </w:p>
        </w:tc>
        <w:tc>
          <w:tcPr>
            <w:tcW w:w="4984" w:type="dxa"/>
            <w:vAlign w:val="center"/>
          </w:tcPr>
          <w:p w14:paraId="183E3DA1">
            <w:pPr>
              <w:rPr>
                <w:rFonts w:ascii="宋体" w:hAnsi="宋体" w:cs="宋体"/>
                <w:color w:val="auto"/>
                <w:sz w:val="21"/>
                <w:szCs w:val="21"/>
                <w:highlight w:val="none"/>
              </w:rPr>
            </w:pPr>
            <w:r>
              <w:rPr>
                <w:rFonts w:hint="eastAsia" w:ascii="宋体" w:hAnsi="宋体" w:cs="宋体"/>
                <w:color w:val="auto"/>
                <w:sz w:val="21"/>
                <w:szCs w:val="21"/>
                <w:highlight w:val="none"/>
              </w:rPr>
              <w:t>按照招标文件要求足额交纳所投包的投标保证金。</w:t>
            </w:r>
          </w:p>
        </w:tc>
      </w:tr>
    </w:tbl>
    <w:p w14:paraId="718E5613">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14:paraId="7C89172D">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eq \o\ac(○,</w:instrText>
      </w:r>
      <w:r>
        <w:rPr>
          <w:rFonts w:hint="eastAsia" w:ascii="宋体" w:hAnsi="宋体" w:cs="宋体"/>
          <w:color w:val="auto"/>
          <w:kern w:val="0"/>
          <w:position w:val="3"/>
          <w:sz w:val="16"/>
          <w:szCs w:val="24"/>
          <w:highlight w:val="none"/>
        </w:rPr>
        <w:instrText xml:space="preserve">1</w:instrText>
      </w:r>
      <w:r>
        <w:rPr>
          <w:rFonts w:hint="eastAsia" w:ascii="宋体" w:hAnsi="宋体" w:cs="宋体"/>
          <w:color w:val="auto"/>
          <w:kern w:val="0"/>
          <w:sz w:val="24"/>
          <w:szCs w:val="24"/>
          <w:highlight w:val="none"/>
        </w:rPr>
        <w:instrText xml:space="preserve">)</w:instrText>
      </w:r>
      <w:r>
        <w:rPr>
          <w:rFonts w:hint="eastAsia" w:ascii="宋体" w:hAnsi="宋体" w:cs="宋体"/>
          <w:color w:val="auto"/>
          <w:kern w:val="0"/>
          <w:sz w:val="24"/>
          <w:szCs w:val="24"/>
          <w:highlight w:val="none"/>
        </w:rPr>
        <w:fldChar w:fldCharType="end"/>
      </w:r>
      <w:r>
        <w:rPr>
          <w:rFonts w:hint="eastAsia" w:ascii="宋体" w:hAnsi="宋体" w:cs="宋体"/>
          <w:color w:val="auto"/>
          <w:kern w:val="0"/>
          <w:sz w:val="24"/>
          <w:szCs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324B185A">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（二）符合性审查</w:t>
      </w:r>
    </w:p>
    <w:p w14:paraId="05F20A0B">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评标委员会应当对符合资格的投标人的投标文件进行符合性审查，以确定其是否满足招标文件的实质性要求。符合性审查资料表如下：</w:t>
      </w:r>
    </w:p>
    <w:tbl>
      <w:tblPr>
        <w:tblStyle w:val="19"/>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3EB8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3177F734">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3119" w:type="dxa"/>
            <w:gridSpan w:val="2"/>
            <w:vAlign w:val="center"/>
          </w:tcPr>
          <w:p w14:paraId="62534A00">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评审因素</w:t>
            </w:r>
          </w:p>
        </w:tc>
        <w:tc>
          <w:tcPr>
            <w:tcW w:w="5836" w:type="dxa"/>
            <w:vAlign w:val="center"/>
          </w:tcPr>
          <w:p w14:paraId="304AC01C">
            <w:pP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评审标准</w:t>
            </w:r>
          </w:p>
        </w:tc>
      </w:tr>
      <w:tr w14:paraId="6E0F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53465773">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562" w:type="dxa"/>
            <w:vMerge w:val="restart"/>
            <w:vAlign w:val="center"/>
          </w:tcPr>
          <w:p w14:paraId="4C95BA5B">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有效性审查</w:t>
            </w:r>
          </w:p>
        </w:tc>
        <w:tc>
          <w:tcPr>
            <w:tcW w:w="1557" w:type="dxa"/>
            <w:vAlign w:val="center"/>
          </w:tcPr>
          <w:p w14:paraId="271B1E42">
            <w:pPr>
              <w:rPr>
                <w:rFonts w:ascii="宋体" w:hAnsi="宋体" w:cs="宋体"/>
                <w:color w:val="auto"/>
                <w:kern w:val="0"/>
                <w:sz w:val="21"/>
                <w:szCs w:val="21"/>
                <w:highlight w:val="none"/>
              </w:rPr>
            </w:pPr>
            <w:r>
              <w:rPr>
                <w:rFonts w:hint="eastAsia" w:ascii="宋体" w:hAnsi="宋体" w:cs="宋体"/>
                <w:color w:val="auto"/>
                <w:sz w:val="21"/>
                <w:szCs w:val="21"/>
                <w:highlight w:val="none"/>
              </w:rPr>
              <w:t>投标文件签署或盖章</w:t>
            </w:r>
          </w:p>
        </w:tc>
        <w:tc>
          <w:tcPr>
            <w:tcW w:w="5836" w:type="dxa"/>
            <w:vAlign w:val="center"/>
          </w:tcPr>
          <w:p w14:paraId="5664A4B7">
            <w:pPr>
              <w:rPr>
                <w:rFonts w:ascii="宋体" w:hAnsi="宋体" w:cs="宋体"/>
                <w:color w:val="auto"/>
                <w:kern w:val="0"/>
                <w:sz w:val="21"/>
                <w:szCs w:val="21"/>
                <w:highlight w:val="none"/>
              </w:rPr>
            </w:pPr>
            <w:r>
              <w:rPr>
                <w:rFonts w:hint="eastAsia" w:ascii="宋体" w:hAnsi="宋体" w:cs="宋体"/>
                <w:color w:val="auto"/>
                <w:sz w:val="21"/>
                <w:szCs w:val="21"/>
                <w:highlight w:val="none"/>
              </w:rPr>
              <w:t>投标文件上法定代表人（或其授权代表）的签署或盖章齐全。</w:t>
            </w:r>
          </w:p>
        </w:tc>
      </w:tr>
      <w:tr w14:paraId="3EE1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71066FA8">
            <w:pPr>
              <w:jc w:val="center"/>
              <w:rPr>
                <w:rFonts w:ascii="宋体" w:hAnsi="宋体" w:cs="宋体"/>
                <w:color w:val="auto"/>
                <w:kern w:val="0"/>
                <w:sz w:val="21"/>
                <w:szCs w:val="21"/>
                <w:highlight w:val="none"/>
              </w:rPr>
            </w:pPr>
          </w:p>
        </w:tc>
        <w:tc>
          <w:tcPr>
            <w:tcW w:w="1562" w:type="dxa"/>
            <w:vMerge w:val="continue"/>
            <w:vAlign w:val="center"/>
          </w:tcPr>
          <w:p w14:paraId="1EF67931">
            <w:pPr>
              <w:rPr>
                <w:rFonts w:ascii="宋体" w:hAnsi="宋体" w:cs="宋体"/>
                <w:color w:val="auto"/>
                <w:kern w:val="0"/>
                <w:sz w:val="21"/>
                <w:szCs w:val="21"/>
                <w:highlight w:val="none"/>
              </w:rPr>
            </w:pPr>
          </w:p>
        </w:tc>
        <w:tc>
          <w:tcPr>
            <w:tcW w:w="1557" w:type="dxa"/>
            <w:vAlign w:val="center"/>
          </w:tcPr>
          <w:p w14:paraId="70941BB3">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投标方案</w:t>
            </w:r>
          </w:p>
        </w:tc>
        <w:tc>
          <w:tcPr>
            <w:tcW w:w="5836" w:type="dxa"/>
            <w:vAlign w:val="center"/>
          </w:tcPr>
          <w:p w14:paraId="7CF78621">
            <w:pPr>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每个包只能有一个方案投标。</w:t>
            </w:r>
          </w:p>
        </w:tc>
      </w:tr>
      <w:tr w14:paraId="7841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6EE85F46">
            <w:pPr>
              <w:jc w:val="center"/>
              <w:rPr>
                <w:rFonts w:ascii="宋体" w:hAnsi="宋体" w:cs="宋体"/>
                <w:color w:val="auto"/>
                <w:kern w:val="0"/>
                <w:sz w:val="21"/>
                <w:szCs w:val="21"/>
                <w:highlight w:val="none"/>
              </w:rPr>
            </w:pPr>
          </w:p>
        </w:tc>
        <w:tc>
          <w:tcPr>
            <w:tcW w:w="1562" w:type="dxa"/>
            <w:vMerge w:val="continue"/>
            <w:vAlign w:val="center"/>
          </w:tcPr>
          <w:p w14:paraId="639BE295">
            <w:pPr>
              <w:rPr>
                <w:rFonts w:ascii="宋体" w:hAnsi="宋体" w:cs="宋体"/>
                <w:color w:val="auto"/>
                <w:kern w:val="0"/>
                <w:sz w:val="21"/>
                <w:szCs w:val="21"/>
                <w:highlight w:val="none"/>
              </w:rPr>
            </w:pPr>
          </w:p>
        </w:tc>
        <w:tc>
          <w:tcPr>
            <w:tcW w:w="1557" w:type="dxa"/>
            <w:vAlign w:val="center"/>
          </w:tcPr>
          <w:p w14:paraId="6E506C88">
            <w:pPr>
              <w:rPr>
                <w:rFonts w:ascii="宋体" w:hAnsi="宋体" w:cs="宋体"/>
                <w:color w:val="auto"/>
                <w:sz w:val="21"/>
                <w:szCs w:val="21"/>
                <w:highlight w:val="none"/>
                <w:lang w:val="zh-CN"/>
              </w:rPr>
            </w:pPr>
            <w:r>
              <w:rPr>
                <w:rFonts w:hint="eastAsia" w:ascii="宋体" w:hAnsi="宋体" w:cs="宋体"/>
                <w:color w:val="auto"/>
                <w:sz w:val="21"/>
                <w:szCs w:val="21"/>
                <w:highlight w:val="none"/>
              </w:rPr>
              <w:t>报价唯一</w:t>
            </w:r>
          </w:p>
        </w:tc>
        <w:tc>
          <w:tcPr>
            <w:tcW w:w="5836" w:type="dxa"/>
            <w:vAlign w:val="center"/>
          </w:tcPr>
          <w:p w14:paraId="1E6087A8">
            <w:pPr>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只能在预算金额和最高限价内报价，</w:t>
            </w:r>
            <w:r>
              <w:rPr>
                <w:rFonts w:hint="eastAsia" w:ascii="宋体" w:hAnsi="宋体" w:cs="宋体"/>
                <w:color w:val="auto"/>
                <w:sz w:val="21"/>
                <w:szCs w:val="21"/>
                <w:highlight w:val="none"/>
              </w:rPr>
              <w:t>只能有一个有效报价，不得提交选择性报价。</w:t>
            </w:r>
          </w:p>
        </w:tc>
      </w:tr>
      <w:tr w14:paraId="7C48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70DF0622">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1562" w:type="dxa"/>
            <w:vAlign w:val="center"/>
          </w:tcPr>
          <w:p w14:paraId="36FB382B">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完整性审查</w:t>
            </w:r>
          </w:p>
        </w:tc>
        <w:tc>
          <w:tcPr>
            <w:tcW w:w="1557" w:type="dxa"/>
            <w:vAlign w:val="center"/>
          </w:tcPr>
          <w:p w14:paraId="5EA6A029">
            <w:pPr>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投标文件份数</w:t>
            </w:r>
          </w:p>
        </w:tc>
        <w:tc>
          <w:tcPr>
            <w:tcW w:w="5836" w:type="dxa"/>
            <w:vAlign w:val="center"/>
          </w:tcPr>
          <w:p w14:paraId="395B3D3B">
            <w:pPr>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投标文件正、副本数量（含电子文档）符合招标文件要求。</w:t>
            </w:r>
          </w:p>
        </w:tc>
      </w:tr>
      <w:tr w14:paraId="445B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1046D3FD">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1562" w:type="dxa"/>
            <w:vAlign w:val="center"/>
          </w:tcPr>
          <w:p w14:paraId="083F37CD">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技术部分</w:t>
            </w:r>
          </w:p>
        </w:tc>
        <w:tc>
          <w:tcPr>
            <w:tcW w:w="1557" w:type="dxa"/>
            <w:vAlign w:val="center"/>
          </w:tcPr>
          <w:p w14:paraId="7C4C715C">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14:paraId="1BA5D7FA">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本招标文件第二篇中（※）号标注的部分。</w:t>
            </w:r>
          </w:p>
        </w:tc>
      </w:tr>
      <w:tr w14:paraId="7CAC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7CD48266">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1562" w:type="dxa"/>
            <w:vAlign w:val="center"/>
          </w:tcPr>
          <w:p w14:paraId="7F9B7A43">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商务部分</w:t>
            </w:r>
          </w:p>
        </w:tc>
        <w:tc>
          <w:tcPr>
            <w:tcW w:w="1557" w:type="dxa"/>
            <w:vAlign w:val="center"/>
          </w:tcPr>
          <w:p w14:paraId="0AAE5C3F">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14:paraId="5E1592C2">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本招标文件第三篇中（※）号标注的部分。</w:t>
            </w:r>
          </w:p>
        </w:tc>
      </w:tr>
      <w:tr w14:paraId="51B5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6F87CB64">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1562" w:type="dxa"/>
            <w:vAlign w:val="center"/>
          </w:tcPr>
          <w:p w14:paraId="4792BBFB">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投标有效期</w:t>
            </w:r>
          </w:p>
        </w:tc>
        <w:tc>
          <w:tcPr>
            <w:tcW w:w="1557" w:type="dxa"/>
            <w:vAlign w:val="center"/>
          </w:tcPr>
          <w:p w14:paraId="63426160">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14:paraId="049E8DE0">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投标有效期为投标截止时间起90天。</w:t>
            </w:r>
          </w:p>
        </w:tc>
      </w:tr>
    </w:tbl>
    <w:p w14:paraId="38A47D26">
      <w:pPr>
        <w:pStyle w:val="5"/>
        <w:ind w:firstLine="482" w:firstLineChars="200"/>
        <w:rPr>
          <w:rFonts w:cs="宋体"/>
          <w:b/>
          <w:color w:val="auto"/>
          <w:sz w:val="24"/>
          <w:szCs w:val="24"/>
          <w:highlight w:val="none"/>
        </w:rPr>
      </w:pPr>
      <w:bookmarkStart w:id="94" w:name="_Toc27348"/>
      <w:bookmarkStart w:id="95" w:name="_Toc6463"/>
      <w:bookmarkStart w:id="96" w:name="_Toc3600"/>
      <w:r>
        <w:rPr>
          <w:rFonts w:hint="eastAsia" w:cs="宋体"/>
          <w:b/>
          <w:color w:val="auto"/>
          <w:sz w:val="24"/>
          <w:szCs w:val="24"/>
          <w:highlight w:val="none"/>
        </w:rPr>
        <w:t>二、评标方法</w:t>
      </w:r>
      <w:bookmarkEnd w:id="94"/>
      <w:bookmarkEnd w:id="95"/>
      <w:bookmarkEnd w:id="96"/>
    </w:p>
    <w:p w14:paraId="1961DAB9">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本项目采用综合评分法进行评标。</w:t>
      </w:r>
    </w:p>
    <w:p w14:paraId="5A109C5C">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100分。</w:t>
      </w:r>
    </w:p>
    <w:p w14:paraId="4A4B5541">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签字，其澄清的内容不得超出投标文件的范围或者改变投标文件的实质性内容。</w:t>
      </w:r>
    </w:p>
    <w:p w14:paraId="471284AA">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（一）比较与评价。按招标文件中规定的评标方法和标准，对资格审查和符合性审查合格的投标文件进行商务和服务评估。</w:t>
      </w:r>
    </w:p>
    <w:p w14:paraId="2C7856BC">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1FA43022">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复核后，评标委员会汇总每个投标人每项评分因素的得分。</w:t>
      </w:r>
    </w:p>
    <w:p w14:paraId="78D746EA">
      <w:pPr>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（二）推荐中标候选人名单。</w:t>
      </w:r>
    </w:p>
    <w:p w14:paraId="75C8728B">
      <w:pPr>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按评审后得分由高到低的排列顺序推荐综合得分排名前三的投标人为本项目中标候选人，排名第一、第二和第三的分别为第一中标候选人、第二中标候选人和第三中标候选人。得分相同的，按投标报价由低到高顺序排列。得分且投标报价相同的并列。</w:t>
      </w:r>
    </w:p>
    <w:p w14:paraId="25DF424C">
      <w:pPr>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根据本项目“一用一备”原则，第一中标候选人</w:t>
      </w:r>
      <w:bookmarkStart w:id="97" w:name="OLE_LINK15"/>
      <w:r>
        <w:rPr>
          <w:rFonts w:hint="eastAsia" w:ascii="宋体" w:hAnsi="宋体" w:cs="宋体"/>
          <w:b/>
          <w:bCs/>
          <w:color w:val="auto"/>
          <w:sz w:val="24"/>
          <w:szCs w:val="24"/>
          <w:highlight w:val="none"/>
        </w:rPr>
        <w:t>为本项目的“执行人”，第二中标候选人为本项目的“备选执行人”</w:t>
      </w:r>
      <w:bookmarkEnd w:id="97"/>
      <w:r>
        <w:rPr>
          <w:rFonts w:hint="eastAsia" w:ascii="宋体" w:hAnsi="宋体" w:cs="宋体"/>
          <w:b/>
          <w:bCs/>
          <w:color w:val="auto"/>
          <w:sz w:val="24"/>
          <w:szCs w:val="24"/>
          <w:highlight w:val="none"/>
        </w:rPr>
        <w:t>。若第一中标候选人放弃中标或合同终止，顺延到第二中标人为为本项目的“执行人”，第三中标候选人为本项目的“备选执行人”，依次顺延。</w:t>
      </w:r>
    </w:p>
    <w:p w14:paraId="00FF2492">
      <w:pPr>
        <w:pStyle w:val="5"/>
        <w:ind w:firstLine="482" w:firstLineChars="200"/>
        <w:rPr>
          <w:rFonts w:cs="宋体"/>
          <w:b/>
          <w:color w:val="auto"/>
          <w:sz w:val="24"/>
          <w:szCs w:val="24"/>
          <w:highlight w:val="none"/>
        </w:rPr>
      </w:pPr>
      <w:bookmarkStart w:id="98" w:name="_Toc95404305"/>
      <w:bookmarkStart w:id="99" w:name="_Toc27372"/>
      <w:bookmarkStart w:id="100" w:name="_Toc17532"/>
      <w:bookmarkStart w:id="101" w:name="_Toc25359"/>
      <w:r>
        <w:rPr>
          <w:rFonts w:hint="eastAsia" w:cs="宋体"/>
          <w:b/>
          <w:color w:val="auto"/>
          <w:sz w:val="24"/>
          <w:szCs w:val="24"/>
          <w:highlight w:val="none"/>
        </w:rPr>
        <w:t>三、评标标准</w:t>
      </w:r>
      <w:bookmarkEnd w:id="98"/>
      <w:bookmarkEnd w:id="99"/>
      <w:bookmarkEnd w:id="100"/>
      <w:bookmarkEnd w:id="101"/>
    </w:p>
    <w:tbl>
      <w:tblPr>
        <w:tblStyle w:val="19"/>
        <w:tblW w:w="10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912"/>
        <w:gridCol w:w="1056"/>
        <w:gridCol w:w="785"/>
        <w:gridCol w:w="4627"/>
        <w:gridCol w:w="2379"/>
      </w:tblGrid>
      <w:tr w14:paraId="682E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1" w:type="dxa"/>
            <w:vAlign w:val="center"/>
          </w:tcPr>
          <w:p w14:paraId="572AA90A">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968" w:type="dxa"/>
            <w:gridSpan w:val="2"/>
            <w:vAlign w:val="center"/>
          </w:tcPr>
          <w:p w14:paraId="1AA3C0B9">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评分因素</w:t>
            </w:r>
          </w:p>
          <w:p w14:paraId="17254137">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及权重</w:t>
            </w:r>
          </w:p>
        </w:tc>
        <w:tc>
          <w:tcPr>
            <w:tcW w:w="785" w:type="dxa"/>
            <w:vAlign w:val="center"/>
          </w:tcPr>
          <w:p w14:paraId="0B43A3D0">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4627" w:type="dxa"/>
            <w:vAlign w:val="center"/>
          </w:tcPr>
          <w:p w14:paraId="3CF02B52">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评分标准</w:t>
            </w:r>
          </w:p>
        </w:tc>
        <w:tc>
          <w:tcPr>
            <w:tcW w:w="2379" w:type="dxa"/>
            <w:vAlign w:val="center"/>
          </w:tcPr>
          <w:p w14:paraId="64BAAA93">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说明</w:t>
            </w:r>
          </w:p>
        </w:tc>
      </w:tr>
      <w:tr w14:paraId="7C3A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1" w:type="dxa"/>
            <w:vAlign w:val="center"/>
          </w:tcPr>
          <w:p w14:paraId="62FC736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68" w:type="dxa"/>
            <w:gridSpan w:val="2"/>
            <w:vAlign w:val="center"/>
          </w:tcPr>
          <w:p w14:paraId="09E33FA9">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投标报价</w:t>
            </w:r>
          </w:p>
          <w:p w14:paraId="6E0DEDB0">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（55%）</w:t>
            </w:r>
          </w:p>
        </w:tc>
        <w:tc>
          <w:tcPr>
            <w:tcW w:w="785" w:type="dxa"/>
            <w:vAlign w:val="center"/>
          </w:tcPr>
          <w:p w14:paraId="27647B17">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55</w:t>
            </w:r>
          </w:p>
        </w:tc>
        <w:tc>
          <w:tcPr>
            <w:tcW w:w="4627" w:type="dxa"/>
            <w:vAlign w:val="center"/>
          </w:tcPr>
          <w:p w14:paraId="54D2E876">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有效的投标折扣率中的最低折扣率为评标基准折扣率，按照下列公式计算每个投标人的投标价格得分。</w:t>
            </w:r>
          </w:p>
          <w:p w14:paraId="3A2CDF2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投标报价得分＝（评标基准折扣率/投标折扣率）×价格权重×100。</w:t>
            </w:r>
          </w:p>
        </w:tc>
        <w:tc>
          <w:tcPr>
            <w:tcW w:w="2379" w:type="dxa"/>
            <w:vAlign w:val="center"/>
          </w:tcPr>
          <w:p w14:paraId="667A4877">
            <w:pPr>
              <w:spacing w:line="360" w:lineRule="exact"/>
              <w:rPr>
                <w:rFonts w:ascii="宋体" w:hAnsi="宋体" w:cs="宋体"/>
                <w:color w:val="auto"/>
                <w:sz w:val="24"/>
                <w:szCs w:val="24"/>
                <w:highlight w:val="none"/>
              </w:rPr>
            </w:pPr>
          </w:p>
        </w:tc>
      </w:tr>
      <w:tr w14:paraId="562E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31" w:type="dxa"/>
            <w:vMerge w:val="restart"/>
            <w:vAlign w:val="center"/>
          </w:tcPr>
          <w:p w14:paraId="79D22E44">
            <w:pPr>
              <w:spacing w:line="360" w:lineRule="exact"/>
              <w:rPr>
                <w:rFonts w:ascii="宋体" w:hAnsi="宋体" w:cs="宋体"/>
                <w:color w:val="auto"/>
                <w:sz w:val="24"/>
                <w:szCs w:val="24"/>
                <w:highlight w:val="none"/>
              </w:rPr>
            </w:pPr>
          </w:p>
        </w:tc>
        <w:tc>
          <w:tcPr>
            <w:tcW w:w="912" w:type="dxa"/>
            <w:vMerge w:val="restart"/>
            <w:vAlign w:val="center"/>
          </w:tcPr>
          <w:p w14:paraId="0F45E3C3">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服务部分（12%）</w:t>
            </w:r>
          </w:p>
        </w:tc>
        <w:tc>
          <w:tcPr>
            <w:tcW w:w="1056" w:type="dxa"/>
            <w:vAlign w:val="center"/>
          </w:tcPr>
          <w:p w14:paraId="073F6977">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校内零散购买服务</w:t>
            </w:r>
          </w:p>
        </w:tc>
        <w:tc>
          <w:tcPr>
            <w:tcW w:w="785" w:type="dxa"/>
            <w:vAlign w:val="center"/>
          </w:tcPr>
          <w:p w14:paraId="26BDA17F">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4627" w:type="dxa"/>
            <w:vAlign w:val="center"/>
          </w:tcPr>
          <w:p w14:paraId="53E93F8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承诺每学期期初2周内，须在校内指定场地为学生零散购买教材提供服务。</w:t>
            </w:r>
          </w:p>
        </w:tc>
        <w:tc>
          <w:tcPr>
            <w:tcW w:w="2379" w:type="dxa"/>
            <w:vAlign w:val="center"/>
          </w:tcPr>
          <w:p w14:paraId="363624C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提供承诺函并加盖投标人公章，不提供不得分。</w:t>
            </w:r>
          </w:p>
        </w:tc>
      </w:tr>
      <w:tr w14:paraId="7585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31" w:type="dxa"/>
            <w:vMerge w:val="continue"/>
            <w:vAlign w:val="center"/>
          </w:tcPr>
          <w:p w14:paraId="62C9D152">
            <w:pPr>
              <w:spacing w:line="360" w:lineRule="exact"/>
              <w:rPr>
                <w:rFonts w:ascii="宋体" w:hAnsi="宋体" w:cs="宋体"/>
                <w:color w:val="auto"/>
                <w:sz w:val="24"/>
                <w:szCs w:val="24"/>
                <w:highlight w:val="none"/>
              </w:rPr>
            </w:pPr>
          </w:p>
        </w:tc>
        <w:tc>
          <w:tcPr>
            <w:tcW w:w="912" w:type="dxa"/>
            <w:vMerge w:val="continue"/>
            <w:vAlign w:val="center"/>
          </w:tcPr>
          <w:p w14:paraId="737017D2">
            <w:pPr>
              <w:spacing w:line="360" w:lineRule="exact"/>
              <w:rPr>
                <w:rFonts w:ascii="宋体" w:hAnsi="宋体" w:cs="宋体"/>
                <w:color w:val="auto"/>
                <w:sz w:val="24"/>
                <w:szCs w:val="24"/>
                <w:highlight w:val="none"/>
              </w:rPr>
            </w:pPr>
          </w:p>
        </w:tc>
        <w:tc>
          <w:tcPr>
            <w:tcW w:w="1056" w:type="dxa"/>
            <w:vAlign w:val="center"/>
          </w:tcPr>
          <w:p w14:paraId="2E4EB5BF">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售后服务及人员配置方案</w:t>
            </w:r>
          </w:p>
        </w:tc>
        <w:tc>
          <w:tcPr>
            <w:tcW w:w="785" w:type="dxa"/>
            <w:vAlign w:val="center"/>
          </w:tcPr>
          <w:p w14:paraId="1C9F2DF1">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4627" w:type="dxa"/>
            <w:vAlign w:val="center"/>
          </w:tcPr>
          <w:p w14:paraId="55C2314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针对本项目采购需求提供售后服务及人员配置方案，内容须包含但不限于产品质量保证、质保时间、质保范围、服务速度与效率、应急处理、服务咨询以及团队主要成员的姓名、职务、学历、职称、业绩、相关工作经历、资格证书等详细人员信息。</w:t>
            </w:r>
          </w:p>
          <w:p w14:paraId="132B17E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评标委员将根据售后服务及人员配置方案进行综合评价：</w:t>
            </w:r>
          </w:p>
          <w:p w14:paraId="244C152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方案内容不存在瑕疵，得5分；</w:t>
            </w:r>
          </w:p>
          <w:p w14:paraId="77DB3EBC">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方案内容存在1处瑕疵，得3分；</w:t>
            </w:r>
          </w:p>
          <w:p w14:paraId="501663C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方案内容存在2处瑕疵，得1分；</w:t>
            </w:r>
          </w:p>
          <w:p w14:paraId="046FDAB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方案内容存在2处及以上瑕疵或未提供方案得0分。</w:t>
            </w:r>
          </w:p>
          <w:p w14:paraId="556378D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注：本项内容中所称的“瑕疵”指以下内容：</w:t>
            </w:r>
          </w:p>
          <w:p w14:paraId="295FED8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①方案内容要素欠缺、仅有标题而无实质意义叙述内容；</w:t>
            </w:r>
          </w:p>
          <w:p w14:paraId="6A34C77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②方案内容中包含其他项目名称，或出现与本项目不相关的其他内容；</w:t>
            </w:r>
          </w:p>
          <w:p w14:paraId="0709B18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③内容表述前后矛盾、无连贯性、内容存在逻辑漏洞；</w:t>
            </w:r>
          </w:p>
          <w:p w14:paraId="3E3ECC00">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④常识性错误；</w:t>
            </w:r>
          </w:p>
          <w:p w14:paraId="0F5FA45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⑤方案内容并不适用于本项目特性或非专门针对本项目制定；</w:t>
            </w:r>
          </w:p>
          <w:p w14:paraId="4B00405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⑥方案中提出的措施举措不利于本项目目标的实现；</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⑦现有技术条件下不可能实现采购目标。</w:t>
            </w:r>
          </w:p>
          <w:p w14:paraId="63B14D7A">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上述任意一种情形为1处瑕疵。</w:t>
            </w:r>
          </w:p>
        </w:tc>
        <w:tc>
          <w:tcPr>
            <w:tcW w:w="2379" w:type="dxa"/>
            <w:vAlign w:val="center"/>
          </w:tcPr>
          <w:p w14:paraId="63BAB80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1、须提供具体方案并加盖投标人公章。</w:t>
            </w:r>
          </w:p>
          <w:p w14:paraId="23F6358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2、人员团队成员若具有发行员资格证书的（投标文件中须提供发行员有效的资格证书复印件）</w:t>
            </w:r>
          </w:p>
          <w:p w14:paraId="3770980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2、投标文件中团队主要成员不得在履约过程中随意变更，否则将承担虚假应标与合同违约责任。</w:t>
            </w:r>
          </w:p>
        </w:tc>
      </w:tr>
      <w:tr w14:paraId="0E54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31" w:type="dxa"/>
            <w:vMerge w:val="continue"/>
            <w:vAlign w:val="center"/>
          </w:tcPr>
          <w:p w14:paraId="26ED12C7">
            <w:pPr>
              <w:spacing w:line="360" w:lineRule="exact"/>
              <w:rPr>
                <w:rFonts w:ascii="宋体" w:hAnsi="宋体" w:cs="宋体"/>
                <w:color w:val="auto"/>
                <w:sz w:val="24"/>
                <w:szCs w:val="24"/>
                <w:highlight w:val="none"/>
              </w:rPr>
            </w:pPr>
          </w:p>
        </w:tc>
        <w:tc>
          <w:tcPr>
            <w:tcW w:w="912" w:type="dxa"/>
            <w:vMerge w:val="continue"/>
            <w:vAlign w:val="center"/>
          </w:tcPr>
          <w:p w14:paraId="6FF61C0E">
            <w:pPr>
              <w:spacing w:line="360" w:lineRule="exact"/>
              <w:rPr>
                <w:rFonts w:ascii="宋体" w:hAnsi="宋体" w:cs="宋体"/>
                <w:color w:val="auto"/>
                <w:sz w:val="24"/>
                <w:szCs w:val="24"/>
                <w:highlight w:val="none"/>
              </w:rPr>
            </w:pPr>
          </w:p>
        </w:tc>
        <w:tc>
          <w:tcPr>
            <w:tcW w:w="1056" w:type="dxa"/>
            <w:vAlign w:val="center"/>
          </w:tcPr>
          <w:p w14:paraId="4F9F3507">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配发教材方案</w:t>
            </w:r>
          </w:p>
        </w:tc>
        <w:tc>
          <w:tcPr>
            <w:tcW w:w="785" w:type="dxa"/>
            <w:vAlign w:val="center"/>
          </w:tcPr>
          <w:p w14:paraId="29C235C5">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4627" w:type="dxa"/>
            <w:vAlign w:val="center"/>
          </w:tcPr>
          <w:p w14:paraId="1A959372">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投标人针对本项目配发教材方案，内容须包含：针对采购人教材配发的合规性、时效性、质量性、服务型等方面。</w:t>
            </w:r>
          </w:p>
          <w:p w14:paraId="400623C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方案包含上述所有内容，且对各项内容均进行描述的基础上，方案内容不存在瑕疵，得5分；</w:t>
            </w:r>
          </w:p>
          <w:p w14:paraId="45F18932">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方案内容存在1处瑕疵，得3分；</w:t>
            </w:r>
          </w:p>
          <w:p w14:paraId="6992894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方案内容存在2处瑕疵，得1分；</w:t>
            </w:r>
          </w:p>
          <w:p w14:paraId="4D8529D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方案内容存在2处及以上瑕疵或未提供方案，得0分。</w:t>
            </w:r>
          </w:p>
          <w:p w14:paraId="3344260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注：本项内容中所称的“瑕疵”指以下内容：</w:t>
            </w:r>
          </w:p>
          <w:p w14:paraId="0C593945">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①方案内容要素欠缺、仅有标题而无实质意义叙述内容；</w:t>
            </w:r>
          </w:p>
          <w:p w14:paraId="3A1B8CE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②方案内容中包含其他项目名称，或出现与本项目不相关的其他内容；</w:t>
            </w:r>
          </w:p>
          <w:p w14:paraId="79F6E8E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③内容表述前后矛盾、无连贯性、内容存在逻辑漏洞；</w:t>
            </w:r>
          </w:p>
          <w:p w14:paraId="5A1BB7A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④常识性错误；</w:t>
            </w:r>
          </w:p>
          <w:p w14:paraId="132A0AB5">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⑤方案内容并不适用于本项目特性或非专门针对本项目制定；</w:t>
            </w:r>
          </w:p>
          <w:p w14:paraId="69D4A9FE">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⑥方案中提出的措施举措不利于本项目目标的实现；</w:t>
            </w:r>
          </w:p>
          <w:p w14:paraId="77463DD3">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⑦现有技术条件下不可能实现采购目标。</w:t>
            </w:r>
          </w:p>
          <w:p w14:paraId="5CBEB772">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上述任意一种情形为1处瑕疵。</w:t>
            </w:r>
          </w:p>
        </w:tc>
        <w:tc>
          <w:tcPr>
            <w:tcW w:w="2379" w:type="dxa"/>
            <w:vAlign w:val="center"/>
          </w:tcPr>
          <w:p w14:paraId="1B906A8E">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须提供具体方案并加盖投标人公章。</w:t>
            </w:r>
          </w:p>
        </w:tc>
      </w:tr>
      <w:tr w14:paraId="2CE2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31" w:type="dxa"/>
            <w:vMerge w:val="restart"/>
            <w:vAlign w:val="center"/>
          </w:tcPr>
          <w:p w14:paraId="5D429E7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12" w:type="dxa"/>
            <w:vMerge w:val="restart"/>
            <w:vAlign w:val="center"/>
          </w:tcPr>
          <w:p w14:paraId="5FC657AE">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商务部分（33%）</w:t>
            </w:r>
          </w:p>
        </w:tc>
        <w:tc>
          <w:tcPr>
            <w:tcW w:w="1056" w:type="dxa"/>
            <w:vAlign w:val="center"/>
          </w:tcPr>
          <w:p w14:paraId="571E923D">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w:t>
            </w:r>
          </w:p>
          <w:p w14:paraId="4ADD1ACE">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与出版社合作实力</w:t>
            </w:r>
          </w:p>
        </w:tc>
        <w:tc>
          <w:tcPr>
            <w:tcW w:w="785" w:type="dxa"/>
            <w:vAlign w:val="center"/>
          </w:tcPr>
          <w:p w14:paraId="1F5A3937">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4627" w:type="dxa"/>
            <w:vAlign w:val="center"/>
          </w:tcPr>
          <w:p w14:paraId="2CB3005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具有1个与采购人专业对口的重点出版社合作的，得0.5分，最多得10分。</w:t>
            </w:r>
          </w:p>
          <w:p w14:paraId="77B3A24C">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2.除与采购人专业对口的重点出版社（20个）以外的合作出版社有1个，得0.3分，最多得3分。</w:t>
            </w:r>
          </w:p>
          <w:p w14:paraId="6A1FF685">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与采购人专业对口的重点出版社（20个）包括：高等教育出版社、</w:t>
            </w:r>
            <w:r>
              <w:rPr>
                <w:rFonts w:ascii="宋体" w:hAnsi="宋体" w:cs="宋体"/>
                <w:color w:val="auto"/>
                <w:sz w:val="24"/>
                <w:szCs w:val="24"/>
                <w:highlight w:val="none"/>
              </w:rPr>
              <w:t>中国科技出版传媒股份有限公司</w:t>
            </w:r>
            <w:r>
              <w:rPr>
                <w:rFonts w:hint="eastAsia" w:ascii="宋体" w:hAnsi="宋体" w:cs="宋体"/>
                <w:color w:val="auto"/>
                <w:sz w:val="24"/>
                <w:szCs w:val="24"/>
                <w:highlight w:val="none"/>
              </w:rPr>
              <w:t>、机械工业出版社、电子工业出版社、立信会计出版社、化学工业出版社、清华大学出版社、人民邮电出版社、外语教学与研究出版社、中国人民大学出版社、北京大学出版社、重庆大学出版社、经济科学出版社、南京大学出版社、北京师范大学出版社、西南财经大学出版社、西南大学出版社、上海外语教育出版社、东北财经大学出版社、</w:t>
            </w:r>
            <w:r>
              <w:rPr>
                <w:rFonts w:ascii="宋体" w:hAnsi="宋体" w:cs="宋体"/>
                <w:color w:val="auto"/>
                <w:sz w:val="24"/>
                <w:szCs w:val="24"/>
                <w:highlight w:val="none"/>
              </w:rPr>
              <w:t>东华大学出版社</w:t>
            </w:r>
            <w:r>
              <w:rPr>
                <w:rFonts w:hint="eastAsia" w:ascii="宋体" w:hAnsi="宋体" w:cs="宋体"/>
                <w:color w:val="auto"/>
                <w:sz w:val="24"/>
                <w:szCs w:val="24"/>
                <w:highlight w:val="none"/>
              </w:rPr>
              <w:t>。</w:t>
            </w:r>
          </w:p>
        </w:tc>
        <w:tc>
          <w:tcPr>
            <w:tcW w:w="2379" w:type="dxa"/>
            <w:vAlign w:val="center"/>
          </w:tcPr>
          <w:p w14:paraId="67413703">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投标人须提供出版社授权书或服务合同（授权书或服务合同内容须包含但不限于征订、销售）复印件并提供有授权或服务关系的出版社的名称、联系人、联系电话清单，加盖投标人公章。</w:t>
            </w:r>
          </w:p>
          <w:p w14:paraId="4BE8611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【注：授权书或服务合同于开标当日须处于有效状态】。</w:t>
            </w:r>
          </w:p>
        </w:tc>
      </w:tr>
      <w:tr w14:paraId="45E4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1" w:type="dxa"/>
            <w:vMerge w:val="continue"/>
            <w:vAlign w:val="center"/>
          </w:tcPr>
          <w:p w14:paraId="794CB800">
            <w:pPr>
              <w:spacing w:line="360" w:lineRule="exact"/>
              <w:rPr>
                <w:rFonts w:ascii="宋体" w:hAnsi="宋体" w:cs="宋体"/>
                <w:color w:val="auto"/>
                <w:sz w:val="24"/>
                <w:szCs w:val="24"/>
                <w:highlight w:val="none"/>
              </w:rPr>
            </w:pPr>
          </w:p>
        </w:tc>
        <w:tc>
          <w:tcPr>
            <w:tcW w:w="912" w:type="dxa"/>
            <w:vMerge w:val="continue"/>
            <w:vAlign w:val="center"/>
          </w:tcPr>
          <w:p w14:paraId="0F3BD762">
            <w:pPr>
              <w:spacing w:line="360" w:lineRule="exact"/>
              <w:rPr>
                <w:rFonts w:ascii="宋体" w:hAnsi="宋体" w:cs="宋体"/>
                <w:color w:val="auto"/>
                <w:sz w:val="24"/>
                <w:szCs w:val="24"/>
                <w:highlight w:val="none"/>
              </w:rPr>
            </w:pPr>
          </w:p>
        </w:tc>
        <w:tc>
          <w:tcPr>
            <w:tcW w:w="1056" w:type="dxa"/>
            <w:vAlign w:val="center"/>
          </w:tcPr>
          <w:p w14:paraId="05C275FD">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w:t>
            </w:r>
          </w:p>
          <w:p w14:paraId="103524E8">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业绩</w:t>
            </w:r>
          </w:p>
        </w:tc>
        <w:tc>
          <w:tcPr>
            <w:tcW w:w="785" w:type="dxa"/>
            <w:vAlign w:val="center"/>
          </w:tcPr>
          <w:p w14:paraId="61D5A262">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4627" w:type="dxa"/>
            <w:vAlign w:val="center"/>
          </w:tcPr>
          <w:p w14:paraId="5BC37C17">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2023年以来与公办本科院校合作（不含独立学院和职业学院），有1所得1分，最多得10分。</w:t>
            </w:r>
          </w:p>
        </w:tc>
        <w:tc>
          <w:tcPr>
            <w:tcW w:w="2379" w:type="dxa"/>
            <w:vAlign w:val="center"/>
          </w:tcPr>
          <w:p w14:paraId="757C6D2C">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1、投标人提供有效的教材订购协议或年度合作码洋证明或合作院校出具的对其服务情况的评价等材料的复印件并加盖投标人公章，不提供不得分；</w:t>
            </w:r>
          </w:p>
          <w:p w14:paraId="417523A0">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2、同一项目不重复得分。</w:t>
            </w:r>
          </w:p>
        </w:tc>
      </w:tr>
      <w:tr w14:paraId="65E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1" w:type="dxa"/>
            <w:vMerge w:val="continue"/>
            <w:vAlign w:val="center"/>
          </w:tcPr>
          <w:p w14:paraId="6B357D17">
            <w:pPr>
              <w:spacing w:line="360" w:lineRule="exact"/>
              <w:rPr>
                <w:rFonts w:ascii="宋体" w:hAnsi="宋体" w:cs="宋体"/>
                <w:color w:val="auto"/>
                <w:sz w:val="24"/>
                <w:szCs w:val="24"/>
                <w:highlight w:val="none"/>
              </w:rPr>
            </w:pPr>
          </w:p>
        </w:tc>
        <w:tc>
          <w:tcPr>
            <w:tcW w:w="912" w:type="dxa"/>
            <w:vMerge w:val="continue"/>
            <w:vAlign w:val="center"/>
          </w:tcPr>
          <w:p w14:paraId="7E0CD09D">
            <w:pPr>
              <w:spacing w:line="360" w:lineRule="exact"/>
              <w:rPr>
                <w:rFonts w:ascii="宋体" w:hAnsi="宋体" w:cs="宋体"/>
                <w:color w:val="auto"/>
                <w:sz w:val="24"/>
                <w:szCs w:val="24"/>
                <w:highlight w:val="none"/>
              </w:rPr>
            </w:pPr>
          </w:p>
        </w:tc>
        <w:tc>
          <w:tcPr>
            <w:tcW w:w="1056" w:type="dxa"/>
            <w:vAlign w:val="center"/>
          </w:tcPr>
          <w:p w14:paraId="4CAC2194">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仓储面积</w:t>
            </w:r>
          </w:p>
        </w:tc>
        <w:tc>
          <w:tcPr>
            <w:tcW w:w="785" w:type="dxa"/>
            <w:vAlign w:val="center"/>
          </w:tcPr>
          <w:p w14:paraId="0290FF10">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4627" w:type="dxa"/>
            <w:vAlign w:val="center"/>
          </w:tcPr>
          <w:p w14:paraId="0F95C98E">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投标人仓储场地面积：</w:t>
            </w:r>
          </w:p>
          <w:p w14:paraId="0061FDAC">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1.办公及仓储面积达到1000平方米（含）以上得2分；</w:t>
            </w:r>
          </w:p>
          <w:p w14:paraId="4A4D52A0">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2.700平方米（含）—1000平方米（不含）的得1分；</w:t>
            </w:r>
          </w:p>
          <w:p w14:paraId="1367A53D">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3.400平方米（含）—700平方米（不含）的得0.5分；</w:t>
            </w:r>
          </w:p>
          <w:p w14:paraId="0A3AC03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4.小于400平方米（不含）得0分。</w:t>
            </w:r>
          </w:p>
        </w:tc>
        <w:tc>
          <w:tcPr>
            <w:tcW w:w="2379" w:type="dxa"/>
            <w:vAlign w:val="center"/>
          </w:tcPr>
          <w:p w14:paraId="53FF87B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提供有效的房产证明复印件或租赁房屋合同复印件。</w:t>
            </w:r>
            <w:r>
              <w:rPr>
                <w:rFonts w:hint="eastAsia" w:ascii="宋体" w:hAnsi="宋体" w:eastAsia="宋体" w:cs="宋体"/>
                <w:b w:val="0"/>
                <w:bCs w:val="0"/>
                <w:color w:val="auto"/>
                <w:sz w:val="24"/>
                <w:szCs w:val="24"/>
                <w:highlight w:val="none"/>
              </w:rPr>
              <w:t>其中，复印件上有使用面积数量，且产权证上的所有人或承租方须与投标人名称一致</w:t>
            </w:r>
            <w:r>
              <w:rPr>
                <w:rFonts w:hint="eastAsia" w:ascii="宋体" w:hAnsi="宋体" w:cs="宋体"/>
                <w:b w:val="0"/>
                <w:bCs w:val="0"/>
                <w:color w:val="auto"/>
                <w:sz w:val="24"/>
                <w:szCs w:val="24"/>
                <w:highlight w:val="none"/>
                <w:lang w:eastAsia="zh-CN"/>
              </w:rPr>
              <w:t>。</w:t>
            </w:r>
          </w:p>
          <w:p w14:paraId="6F840EA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2、提供</w:t>
            </w:r>
            <w:r>
              <w:rPr>
                <w:rFonts w:hint="eastAsia" w:ascii="宋体" w:hAnsi="宋体" w:cs="宋体"/>
                <w:b w:val="0"/>
                <w:bCs w:val="0"/>
                <w:color w:val="auto"/>
                <w:sz w:val="24"/>
                <w:szCs w:val="24"/>
                <w:highlight w:val="none"/>
                <w:lang w:val="en-US" w:eastAsia="zh-CN"/>
              </w:rPr>
              <w:t>仓储场地</w:t>
            </w:r>
            <w:r>
              <w:rPr>
                <w:rFonts w:hint="eastAsia" w:ascii="宋体" w:hAnsi="宋体" w:cs="宋体"/>
                <w:b w:val="0"/>
                <w:bCs w:val="0"/>
                <w:color w:val="auto"/>
                <w:sz w:val="24"/>
                <w:szCs w:val="24"/>
                <w:highlight w:val="none"/>
                <w:lang w:eastAsia="zh-CN"/>
              </w:rPr>
              <w:t>照片，照片上记录名称须与投标投标人名称一致；</w:t>
            </w:r>
          </w:p>
          <w:p w14:paraId="08AB47CA">
            <w:pPr>
              <w:spacing w:line="360" w:lineRule="exact"/>
              <w:rPr>
                <w:rFonts w:ascii="宋体" w:hAnsi="宋体" w:cs="宋体"/>
                <w:color w:val="auto"/>
                <w:sz w:val="24"/>
                <w:szCs w:val="24"/>
                <w:highlight w:val="none"/>
              </w:rPr>
            </w:pPr>
            <w:r>
              <w:rPr>
                <w:rFonts w:hint="eastAsia" w:ascii="宋体" w:hAnsi="宋体" w:cs="宋体"/>
                <w:b w:val="0"/>
                <w:bCs w:val="0"/>
                <w:color w:val="auto"/>
                <w:sz w:val="24"/>
                <w:szCs w:val="24"/>
                <w:highlight w:val="none"/>
                <w:lang w:eastAsia="zh-CN"/>
              </w:rPr>
              <w:t>3、以上两项要求必须同时提供，否则得0分。</w:t>
            </w:r>
          </w:p>
        </w:tc>
      </w:tr>
      <w:tr w14:paraId="34F6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31" w:type="dxa"/>
            <w:vMerge w:val="continue"/>
            <w:vAlign w:val="center"/>
          </w:tcPr>
          <w:p w14:paraId="07086814">
            <w:pPr>
              <w:spacing w:line="360" w:lineRule="exact"/>
              <w:rPr>
                <w:rFonts w:ascii="宋体" w:hAnsi="宋体" w:cs="宋体"/>
                <w:color w:val="auto"/>
                <w:sz w:val="24"/>
                <w:szCs w:val="24"/>
                <w:highlight w:val="none"/>
              </w:rPr>
            </w:pPr>
          </w:p>
        </w:tc>
        <w:tc>
          <w:tcPr>
            <w:tcW w:w="912" w:type="dxa"/>
            <w:vMerge w:val="continue"/>
            <w:vAlign w:val="center"/>
          </w:tcPr>
          <w:p w14:paraId="688D7771">
            <w:pPr>
              <w:spacing w:line="360" w:lineRule="exact"/>
              <w:rPr>
                <w:rFonts w:ascii="宋体" w:hAnsi="宋体" w:cs="宋体"/>
                <w:color w:val="auto"/>
                <w:sz w:val="24"/>
                <w:szCs w:val="24"/>
                <w:highlight w:val="none"/>
              </w:rPr>
            </w:pPr>
          </w:p>
        </w:tc>
        <w:tc>
          <w:tcPr>
            <w:tcW w:w="1056" w:type="dxa"/>
            <w:vAlign w:val="center"/>
          </w:tcPr>
          <w:p w14:paraId="162C2263">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w:t>
            </w:r>
          </w:p>
          <w:p w14:paraId="362FFEDE">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资质</w:t>
            </w:r>
          </w:p>
        </w:tc>
        <w:tc>
          <w:tcPr>
            <w:tcW w:w="785" w:type="dxa"/>
            <w:vAlign w:val="center"/>
          </w:tcPr>
          <w:p w14:paraId="6A514863">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4627" w:type="dxa"/>
            <w:vAlign w:val="center"/>
          </w:tcPr>
          <w:p w14:paraId="4B52F194">
            <w:pPr>
              <w:numPr>
                <w:ilvl w:val="0"/>
                <w:numId w:val="0"/>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投标人具有有效的国家认证认可监督管理委员会认证的GB/T27922-2011商品售后服务能力的服务认证证书，认证范围包含图书售后服务能力，得1.5分。</w:t>
            </w:r>
          </w:p>
          <w:p w14:paraId="480A9F05">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2.投标人具有有效期内图书批发相关的质量管理体系认证证书，得1.5分。</w:t>
            </w:r>
          </w:p>
        </w:tc>
        <w:tc>
          <w:tcPr>
            <w:tcW w:w="2379" w:type="dxa"/>
            <w:vAlign w:val="center"/>
          </w:tcPr>
          <w:p w14:paraId="5A835E0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1、提供证书复印件，加盖投标人公章。</w:t>
            </w:r>
          </w:p>
          <w:p w14:paraId="7CBA285F">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2、提供国家市场监督管理总局:国家认证认可监督管理委员会网页查询截图，加盖投标人公章。</w:t>
            </w:r>
          </w:p>
          <w:p w14:paraId="0CABC6D1">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查询网址：国家认证认可监督管理委员会(www.cnca.gov.cn)</w:t>
            </w:r>
          </w:p>
        </w:tc>
      </w:tr>
      <w:tr w14:paraId="173C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31" w:type="dxa"/>
            <w:vMerge w:val="continue"/>
            <w:vAlign w:val="center"/>
          </w:tcPr>
          <w:p w14:paraId="002C905F">
            <w:pPr>
              <w:spacing w:line="360" w:lineRule="exact"/>
              <w:rPr>
                <w:rFonts w:ascii="宋体" w:hAnsi="宋体" w:cs="宋体"/>
                <w:color w:val="auto"/>
                <w:sz w:val="24"/>
                <w:szCs w:val="24"/>
                <w:highlight w:val="none"/>
              </w:rPr>
            </w:pPr>
          </w:p>
        </w:tc>
        <w:tc>
          <w:tcPr>
            <w:tcW w:w="912" w:type="dxa"/>
            <w:vMerge w:val="continue"/>
            <w:vAlign w:val="center"/>
          </w:tcPr>
          <w:p w14:paraId="48AB3ABE">
            <w:pPr>
              <w:spacing w:line="360" w:lineRule="exact"/>
              <w:rPr>
                <w:rFonts w:ascii="宋体" w:hAnsi="宋体" w:cs="宋体"/>
                <w:color w:val="auto"/>
                <w:sz w:val="24"/>
                <w:szCs w:val="24"/>
                <w:highlight w:val="none"/>
              </w:rPr>
            </w:pPr>
          </w:p>
        </w:tc>
        <w:tc>
          <w:tcPr>
            <w:tcW w:w="1056" w:type="dxa"/>
            <w:vAlign w:val="center"/>
          </w:tcPr>
          <w:p w14:paraId="6BF967A2">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获奖情况</w:t>
            </w:r>
          </w:p>
        </w:tc>
        <w:tc>
          <w:tcPr>
            <w:tcW w:w="785" w:type="dxa"/>
            <w:vAlign w:val="center"/>
          </w:tcPr>
          <w:p w14:paraId="5A09AD8F">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4627" w:type="dxa"/>
            <w:vAlign w:val="center"/>
          </w:tcPr>
          <w:p w14:paraId="40541C98">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1.2023年1月1日以来，投标人获得全国大中专教学用书汇编委员会颁发的“全国优秀教材经销商”奖项，每获得一次得1分，最高得3分。</w:t>
            </w:r>
          </w:p>
          <w:p w14:paraId="75D9BE4B">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 2023年1月1日以来，投标人获得过国家级出版社颁发的“优秀教材经销商”，每获得3个出版社颁发的优秀，得1分（同一出版社两次及以上优秀得分不累计），最高得2分。</w:t>
            </w:r>
          </w:p>
        </w:tc>
        <w:tc>
          <w:tcPr>
            <w:tcW w:w="2379" w:type="dxa"/>
            <w:vAlign w:val="center"/>
          </w:tcPr>
          <w:p w14:paraId="3D664399">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提供获奖证明复印件，不提供不得分。</w:t>
            </w:r>
          </w:p>
        </w:tc>
      </w:tr>
    </w:tbl>
    <w:p w14:paraId="79481CD1">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注：异常低价问题有关事项的说明</w:t>
      </w:r>
    </w:p>
    <w:p w14:paraId="5E866F24">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1.根据《关于推动解决政府采购异常低价问题的通知》财库〔2026〕2号文件规定，政府采购评审中出现下列情形之一的，评审委员会应当启动异常低价投标（响应）审查程序：</w:t>
      </w:r>
    </w:p>
    <w:p w14:paraId="6662A399">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1.1.投标（响应）报价低于全部通过符合性审查供应商投标（响应）报价平均值50%的，即投标（响应）报价&lt;全部通过符合性审查供应商投标（响应）报价平均值×50%；</w:t>
      </w:r>
    </w:p>
    <w:p w14:paraId="712B1785">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1.2.投标（响应）报价低于通过符合性审查的次低报价供应商投标（响应）报价50%的，即投标（响应）报价&lt;通过符合性审查的次低报价供应商投标（响应）报价×50%；</w:t>
      </w:r>
    </w:p>
    <w:p w14:paraId="1D323B96">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1.3.投标（响应）报价低于采购项目最高限价45%的，即投标（响应）报价&lt;采购项目最高限价×45%；</w:t>
      </w:r>
    </w:p>
    <w:p w14:paraId="2B249D1F">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1.4.评审委员会基于专业判断，认为供应商报价过低，有可能影响产品质量或者不能诚信履约的其他情形。</w:t>
      </w:r>
    </w:p>
    <w:p w14:paraId="36AC6782">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供应商需在不少于 30 分钟内现场提交书面说明。其中，属于第3项情形，供应商已随投标（响应）文件一并提交相关书面说明及必要的证明材料的，在评审现场可不再重复提交。</w:t>
      </w:r>
    </w:p>
    <w:p w14:paraId="0F0BB761">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86ACD9">
      <w:pPr>
        <w:pStyle w:val="5"/>
        <w:ind w:firstLine="482" w:firstLineChars="200"/>
        <w:rPr>
          <w:rFonts w:ascii="宋体" w:hAnsi="宋体" w:cs="宋体"/>
          <w:b/>
          <w:color w:val="auto"/>
          <w:sz w:val="24"/>
          <w:szCs w:val="24"/>
          <w:highlight w:val="none"/>
        </w:rPr>
      </w:pPr>
      <w:bookmarkStart w:id="102" w:name="_Toc76567145"/>
      <w:bookmarkStart w:id="103" w:name="_Toc59621303"/>
      <w:r>
        <w:rPr>
          <w:rFonts w:hint="eastAsia" w:ascii="宋体" w:hAnsi="宋体" w:cs="宋体"/>
          <w:b/>
          <w:color w:val="auto"/>
          <w:sz w:val="24"/>
          <w:szCs w:val="24"/>
          <w:highlight w:val="none"/>
        </w:rPr>
        <w:t>四、无效投标条款</w:t>
      </w:r>
      <w:bookmarkEnd w:id="102"/>
      <w:bookmarkEnd w:id="103"/>
    </w:p>
    <w:p w14:paraId="7CA1EBE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投标人或其投标文件出现下列情况之一者，应为无效投标：</w:t>
      </w:r>
    </w:p>
    <w:p w14:paraId="6AE3EC69">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（一）未按照招标文件的规定提交投标保证金的；</w:t>
      </w:r>
    </w:p>
    <w:p w14:paraId="44F15CC6">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（二）投标文件未按招标文件要求签署、盖章的；</w:t>
      </w:r>
    </w:p>
    <w:p w14:paraId="7A80EFAB">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（三）不具备招标文件中规定的资格要求的；</w:t>
      </w:r>
    </w:p>
    <w:p w14:paraId="3F7767DC">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（四）报价超过招标文件中规定的预算金额或者最高限价的；</w:t>
      </w:r>
    </w:p>
    <w:p w14:paraId="62D83CC2">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（五）投标文件含有采购人不能接受的附加条件的；</w:t>
      </w:r>
    </w:p>
    <w:p w14:paraId="1C9FD684">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（六）投标人串通投标的；</w:t>
      </w:r>
    </w:p>
    <w:p w14:paraId="3AF538FB">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w:t>
      </w:r>
      <w:r>
        <w:rPr>
          <w:rFonts w:hint="eastAsia" w:cs="方正仿宋_GBK" w:asciiTheme="minorEastAsia" w:hAnsiTheme="minorEastAsia" w:eastAsiaTheme="minorEastAsia"/>
          <w:color w:val="auto"/>
          <w:sz w:val="24"/>
          <w:szCs w:val="24"/>
          <w:highlight w:val="none"/>
        </w:rPr>
        <w:t>法律</w:t>
      </w:r>
      <w:r>
        <w:rPr>
          <w:rFonts w:hint="eastAsia" w:ascii="宋体" w:hAnsi="宋体" w:cs="宋体"/>
          <w:color w:val="auto"/>
          <w:sz w:val="24"/>
          <w:szCs w:val="24"/>
          <w:highlight w:val="none"/>
        </w:rPr>
        <w:t>、法规和招标文件规定的其他无效情形。</w:t>
      </w:r>
    </w:p>
    <w:p w14:paraId="6C97C368">
      <w:pPr>
        <w:pStyle w:val="5"/>
        <w:ind w:firstLine="482" w:firstLineChars="200"/>
        <w:rPr>
          <w:rFonts w:ascii="宋体" w:hAnsi="宋体" w:cs="宋体"/>
          <w:b/>
          <w:color w:val="auto"/>
          <w:sz w:val="24"/>
          <w:szCs w:val="24"/>
          <w:highlight w:val="none"/>
        </w:rPr>
      </w:pPr>
      <w:bookmarkStart w:id="104" w:name="_Toc59621304"/>
      <w:bookmarkStart w:id="105" w:name="_Toc76567146"/>
      <w:r>
        <w:rPr>
          <w:rFonts w:hint="eastAsia" w:ascii="宋体" w:hAnsi="宋体" w:cs="宋体"/>
          <w:b/>
          <w:color w:val="auto"/>
          <w:sz w:val="24"/>
          <w:szCs w:val="24"/>
          <w:highlight w:val="none"/>
        </w:rPr>
        <w:t>五、废标条款</w:t>
      </w:r>
      <w:bookmarkEnd w:id="104"/>
      <w:bookmarkEnd w:id="105"/>
    </w:p>
    <w:p w14:paraId="15305EE6">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在招标采购中，出现下列情形之一的，应予废标：</w:t>
      </w:r>
    </w:p>
    <w:p w14:paraId="7BB5699B">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（一）符合专业条件的投标人或者对招标文件作实质响应的投标人不足三家的。</w:t>
      </w:r>
    </w:p>
    <w:p w14:paraId="79A14728">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（二）投标人的报价均超过了采购预算，采购人不能支付的。</w:t>
      </w:r>
    </w:p>
    <w:p w14:paraId="3B33C071">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（三）出现影响采购公正的违法、违规行为的。</w:t>
      </w:r>
    </w:p>
    <w:p w14:paraId="4B6A931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（四）以联合体参与投标的或者进行合同分包的。</w:t>
      </w:r>
    </w:p>
    <w:p w14:paraId="529952E9">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（五）因重大变故，采购任务取消的。</w:t>
      </w:r>
    </w:p>
    <w:p w14:paraId="5F0E9D05">
      <w:pPr>
        <w:snapToGrid w:val="0"/>
        <w:spacing w:line="400" w:lineRule="exact"/>
        <w:ind w:firstLine="480" w:firstLineChars="200"/>
        <w:rPr>
          <w:rFonts w:ascii="宋体" w:hAnsi="宋体" w:cs="宋体"/>
          <w:color w:val="auto"/>
          <w:sz w:val="24"/>
          <w:szCs w:val="24"/>
          <w:highlight w:val="none"/>
        </w:rPr>
      </w:pPr>
      <w:r>
        <w:rPr>
          <w:rFonts w:hint="eastAsia" w:cs="方正仿宋_GBK" w:asciiTheme="minorEastAsia" w:hAnsiTheme="minorEastAsia" w:eastAsiaTheme="minorEastAsia"/>
          <w:color w:val="auto"/>
          <w:sz w:val="24"/>
          <w:szCs w:val="24"/>
          <w:highlight w:val="none"/>
        </w:rPr>
        <w:t>废标后，除采购任务取消情形外，应当重新组织采购</w:t>
      </w:r>
      <w:r>
        <w:rPr>
          <w:rFonts w:hint="eastAsia" w:ascii="宋体" w:hAnsi="宋体" w:cs="宋体"/>
          <w:color w:val="auto"/>
          <w:sz w:val="24"/>
          <w:szCs w:val="24"/>
          <w:highlight w:val="none"/>
        </w:rPr>
        <w:t>。</w:t>
      </w:r>
    </w:p>
    <w:p w14:paraId="4EAAA3A1">
      <w:pPr>
        <w:pStyle w:val="4"/>
        <w:spacing w:before="0" w:beforeLines="0" w:after="0" w:afterLines="0" w:line="360" w:lineRule="auto"/>
        <w:rPr>
          <w:rFonts w:ascii="宋体" w:hAnsi="宋体" w:eastAsia="宋体" w:cs="宋体"/>
          <w:b/>
          <w:color w:val="auto"/>
          <w:highlight w:val="none"/>
        </w:rPr>
      </w:pPr>
      <w:r>
        <w:rPr>
          <w:rFonts w:hint="eastAsia" w:ascii="宋体" w:hAnsi="宋体" w:eastAsia="宋体" w:cs="宋体"/>
          <w:color w:val="auto"/>
          <w:sz w:val="28"/>
          <w:highlight w:val="none"/>
        </w:rPr>
        <w:br w:type="page"/>
      </w:r>
      <w:bookmarkStart w:id="106" w:name="_Toc20128"/>
      <w:bookmarkStart w:id="107" w:name="_Toc21058"/>
      <w:bookmarkStart w:id="108" w:name="_Toc32589"/>
      <w:r>
        <w:rPr>
          <w:rFonts w:hint="eastAsia" w:ascii="宋体" w:hAnsi="宋体" w:eastAsia="宋体" w:cs="宋体"/>
          <w:b/>
          <w:color w:val="auto"/>
          <w:highlight w:val="none"/>
        </w:rPr>
        <w:t>第五篇  投标人须知</w:t>
      </w:r>
      <w:bookmarkEnd w:id="106"/>
      <w:bookmarkEnd w:id="107"/>
      <w:bookmarkEnd w:id="108"/>
    </w:p>
    <w:p w14:paraId="03543707">
      <w:pPr>
        <w:pStyle w:val="5"/>
        <w:ind w:firstLine="482" w:firstLineChars="200"/>
        <w:rPr>
          <w:rFonts w:cs="宋体"/>
          <w:b/>
          <w:color w:val="auto"/>
          <w:sz w:val="24"/>
          <w:highlight w:val="none"/>
        </w:rPr>
      </w:pPr>
      <w:bookmarkStart w:id="109" w:name="_Toc15956"/>
      <w:bookmarkStart w:id="110" w:name="_Toc25936"/>
      <w:bookmarkStart w:id="111" w:name="_Toc4442"/>
      <w:r>
        <w:rPr>
          <w:rFonts w:hint="eastAsia" w:cs="宋体"/>
          <w:b/>
          <w:color w:val="auto"/>
          <w:sz w:val="24"/>
          <w:highlight w:val="none"/>
        </w:rPr>
        <w:t>一、投标人</w:t>
      </w:r>
      <w:bookmarkEnd w:id="109"/>
      <w:bookmarkEnd w:id="110"/>
      <w:bookmarkEnd w:id="111"/>
    </w:p>
    <w:p w14:paraId="50CFAB5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（一）投标人</w:t>
      </w:r>
    </w:p>
    <w:p w14:paraId="49EDBB8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投标人是指响应招标、参加投标竞争的法人、其他组织或者自然人。</w:t>
      </w:r>
    </w:p>
    <w:p w14:paraId="403FB8A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（二）合格投标人条件</w:t>
      </w:r>
    </w:p>
    <w:p w14:paraId="679BC89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合格投标人应完全符合招标文件第一篇中规定的投标人资格条件，并对招标文件作出实质性响应。</w:t>
      </w:r>
    </w:p>
    <w:p w14:paraId="5E6C2918">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（三）投标人的风险</w:t>
      </w:r>
    </w:p>
    <w:p w14:paraId="7671536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投标人没有按照招标文件要求提供全部资料，或者投标人没有对招标文件在各方面作出实质性响应，可能导致投标被拒绝或评定为无效投标。</w:t>
      </w:r>
    </w:p>
    <w:p w14:paraId="749AC1B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（四）法律责任</w:t>
      </w:r>
    </w:p>
    <w:p w14:paraId="70071F3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投标人违反《中华人民共和国政府采购法》、《中华人民共和国政府采购实施条例》等相关规定，将按规定追究投标人法律责任。</w:t>
      </w:r>
    </w:p>
    <w:p w14:paraId="5C464E2F">
      <w:pPr>
        <w:pStyle w:val="5"/>
        <w:ind w:firstLine="482" w:firstLineChars="200"/>
        <w:rPr>
          <w:rFonts w:cs="宋体"/>
          <w:b/>
          <w:color w:val="auto"/>
          <w:sz w:val="24"/>
          <w:highlight w:val="none"/>
        </w:rPr>
      </w:pPr>
      <w:bookmarkStart w:id="112" w:name="_Toc21145"/>
      <w:bookmarkStart w:id="113" w:name="_Toc5686"/>
      <w:bookmarkStart w:id="114" w:name="_Toc21934"/>
      <w:r>
        <w:rPr>
          <w:rFonts w:hint="eastAsia" w:cs="宋体"/>
          <w:b/>
          <w:color w:val="auto"/>
          <w:sz w:val="24"/>
          <w:highlight w:val="none"/>
        </w:rPr>
        <w:t>二、招标文件</w:t>
      </w:r>
      <w:bookmarkEnd w:id="112"/>
      <w:bookmarkEnd w:id="113"/>
      <w:bookmarkEnd w:id="114"/>
    </w:p>
    <w:p w14:paraId="103257F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招标文件是投标人编制投标文件的依据，是评标委员会评判依据和标准。招标文件也是采购人与中标人签订合同的基础。</w:t>
      </w:r>
    </w:p>
    <w:p w14:paraId="7666428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（一）招标文件由投标邀请书；项目技术规格、数量及质量要求；商务条款；投标人须知；评标方法、评标标准、无效投标条款和废标条款；合同主要条款、合同范本；投标文件格式等七部分组成。</w:t>
      </w:r>
    </w:p>
    <w:p w14:paraId="4C120E2D">
      <w:pPr>
        <w:snapToGrid w:val="0"/>
        <w:spacing w:line="360" w:lineRule="auto"/>
        <w:ind w:firstLine="480"/>
        <w:rPr>
          <w:rFonts w:ascii="宋体" w:hAnsi="宋体" w:cs="宋体"/>
          <w:color w:val="auto"/>
          <w:sz w:val="24"/>
          <w:highlight w:val="none"/>
        </w:rPr>
      </w:pPr>
      <w:r>
        <w:rPr>
          <w:rFonts w:hint="eastAsia" w:ascii="宋体" w:hAnsi="宋体" w:cs="宋体"/>
          <w:color w:val="auto"/>
          <w:sz w:val="24"/>
          <w:szCs w:val="28"/>
          <w:highlight w:val="none"/>
        </w:rPr>
        <w:t>（二）</w:t>
      </w:r>
      <w:r>
        <w:rPr>
          <w:rFonts w:hint="eastAsia" w:ascii="宋体" w:hAnsi="宋体" w:cs="宋体"/>
          <w:color w:val="auto"/>
          <w:sz w:val="24"/>
          <w:highlight w:val="none"/>
        </w:rPr>
        <w:t>采购代理机构对招标文件所作的一切有效的书面通知、修改及补充，都是招标文件不可分割的部分。</w:t>
      </w:r>
    </w:p>
    <w:p w14:paraId="6BB6C0EB">
      <w:pPr>
        <w:snapToGrid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w:t>
      </w:r>
      <w:r>
        <w:rPr>
          <w:rFonts w:hint="eastAsia" w:ascii="宋体" w:hAnsi="宋体" w:cs="宋体"/>
          <w:color w:val="auto"/>
          <w:sz w:val="24"/>
          <w:szCs w:val="24"/>
          <w:highlight w:val="none"/>
        </w:rPr>
        <w:t>本项目的招标文件、澄清文件（如果有）一律在行采家网（https://www.gec123.com/）或重庆工商大学招投标信息网（</w:t>
      </w:r>
      <w:r>
        <w:rPr>
          <w:color w:val="auto"/>
          <w:highlight w:val="none"/>
        </w:rPr>
        <w:fldChar w:fldCharType="begin"/>
      </w:r>
      <w:r>
        <w:rPr>
          <w:color w:val="auto"/>
          <w:highlight w:val="none"/>
        </w:rPr>
        <w:instrText xml:space="preserve"> HYPERLINK "https://zbcg.ctbu.edu.cn/" </w:instrText>
      </w:r>
      <w:r>
        <w:rPr>
          <w:color w:val="auto"/>
          <w:highlight w:val="none"/>
        </w:rPr>
        <w:fldChar w:fldCharType="separate"/>
      </w:r>
      <w:r>
        <w:rPr>
          <w:rFonts w:hint="eastAsia" w:ascii="宋体" w:hAnsi="宋体" w:cs="宋体"/>
          <w:color w:val="auto"/>
          <w:sz w:val="24"/>
          <w:szCs w:val="24"/>
          <w:highlight w:val="none"/>
        </w:rPr>
        <w:t>https://zbcg.ctbu.edu.cn/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）发布，请各投标人注意下载或到采购代理机构处领取；无论投标人下载或领取与否，均视同投标人已知晓本项目招标文件、澄清文件的内容。</w:t>
      </w:r>
    </w:p>
    <w:p w14:paraId="5D13D8C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（四）采购代理机构对已发出的招标文件需要进行澄清或修改的，应以书面形式或公告形式通知所有招标文件收受人。该澄清或者修改的内容为招标文件的组成部分。</w:t>
      </w:r>
    </w:p>
    <w:p w14:paraId="5D70293A">
      <w:pPr>
        <w:pStyle w:val="5"/>
        <w:ind w:firstLine="482" w:firstLineChars="200"/>
        <w:rPr>
          <w:rFonts w:cs="宋体"/>
          <w:b/>
          <w:color w:val="auto"/>
          <w:sz w:val="24"/>
          <w:highlight w:val="none"/>
        </w:rPr>
      </w:pPr>
      <w:bookmarkStart w:id="115" w:name="_Toc9024"/>
      <w:bookmarkStart w:id="116" w:name="_Toc7402"/>
      <w:bookmarkStart w:id="117" w:name="_Toc17567"/>
      <w:r>
        <w:rPr>
          <w:rFonts w:hint="eastAsia" w:cs="宋体"/>
          <w:b/>
          <w:color w:val="auto"/>
          <w:sz w:val="24"/>
          <w:highlight w:val="none"/>
        </w:rPr>
        <w:t>三、投标文件</w:t>
      </w:r>
      <w:bookmarkEnd w:id="115"/>
      <w:bookmarkEnd w:id="116"/>
      <w:bookmarkEnd w:id="117"/>
    </w:p>
    <w:p w14:paraId="32EA75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投标人应当按照招标文件的要求编制投标文件，并对招标文件提出的要求和条件作出实质性响应，投标文件原则上采用软面订本，同时应编制完整的页码、目录。</w:t>
      </w:r>
    </w:p>
    <w:p w14:paraId="67A026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（一）投标文件组成</w:t>
      </w:r>
    </w:p>
    <w:p w14:paraId="05E3CE0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0F64B1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（二）投标有效期</w:t>
      </w:r>
    </w:p>
    <w:p w14:paraId="24FC261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投标有效期为投标截止时间起90天。</w:t>
      </w:r>
    </w:p>
    <w:p w14:paraId="784F3A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（三）投标保证金</w:t>
      </w:r>
    </w:p>
    <w:p w14:paraId="127390F8">
      <w:pPr>
        <w:tabs>
          <w:tab w:val="left" w:pos="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1.投标人应在投标截止时间前，按招标文件第一篇规定交纳投标保证金。</w:t>
      </w:r>
    </w:p>
    <w:p w14:paraId="768D380E">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2.投标保证金为投标的有效约束条件。</w:t>
      </w:r>
    </w:p>
    <w:p w14:paraId="22AC799B">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3.投标保证金的有效期限在投标有效期过后三十天继续有效。</w:t>
      </w:r>
    </w:p>
    <w:p w14:paraId="4DC20759">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4.投标保证金币种应与投标报价币种相同。</w:t>
      </w:r>
    </w:p>
    <w:p w14:paraId="27A0CB95">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5.《中标通知书》发出后，由</w:t>
      </w:r>
      <w:r>
        <w:rPr>
          <w:rFonts w:hint="eastAsia" w:ascii="宋体" w:hAnsi="宋体" w:cs="宋体"/>
          <w:color w:val="auto"/>
          <w:sz w:val="24"/>
          <w:szCs w:val="24"/>
          <w:highlight w:val="none"/>
        </w:rPr>
        <w:t>重庆市公共资源交易中心</w:t>
      </w:r>
      <w:r>
        <w:rPr>
          <w:rFonts w:hint="eastAsia" w:ascii="宋体" w:hAnsi="宋体" w:cs="宋体"/>
          <w:color w:val="auto"/>
          <w:sz w:val="24"/>
          <w:highlight w:val="none"/>
        </w:rPr>
        <w:t>五个工作日内退还未中标人的投标保证金；在采购合同签订后，由</w:t>
      </w:r>
      <w:r>
        <w:rPr>
          <w:rFonts w:hint="eastAsia" w:ascii="宋体" w:hAnsi="宋体" w:cs="宋体"/>
          <w:color w:val="auto"/>
          <w:sz w:val="24"/>
          <w:szCs w:val="24"/>
          <w:highlight w:val="none"/>
        </w:rPr>
        <w:t>重庆市公共资源交易中心</w:t>
      </w:r>
      <w:r>
        <w:rPr>
          <w:rFonts w:hint="eastAsia" w:ascii="宋体" w:hAnsi="宋体" w:cs="宋体"/>
          <w:color w:val="auto"/>
          <w:sz w:val="24"/>
          <w:highlight w:val="none"/>
        </w:rPr>
        <w:t>五个工作日退还中标人的投标保证金。</w:t>
      </w:r>
    </w:p>
    <w:p w14:paraId="5EAEDC55">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6.投标人有下列情形之一的，采购人或者采购代理机构可以不退还投标保证金：</w:t>
      </w:r>
    </w:p>
    <w:p w14:paraId="7547947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6.1投标人在投标有效期撤回投标文件的；</w:t>
      </w:r>
    </w:p>
    <w:p w14:paraId="5617DFD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6.2投标人未按规定提交履约保证金的；</w:t>
      </w:r>
    </w:p>
    <w:p w14:paraId="6CF40F8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6.3投标人在投标过程中弄虚作假，提供虚假材料的；</w:t>
      </w:r>
    </w:p>
    <w:p w14:paraId="6A03A9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6.4中标人无正当理由不与采购人签订合同的；</w:t>
      </w:r>
    </w:p>
    <w:p w14:paraId="297BDB6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6.5中标人将中标项目转让给他人或者在投标文件中未说明且未经采购人同意，将中标项目分包给他人的；</w:t>
      </w:r>
    </w:p>
    <w:p w14:paraId="0F9D1A1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6.6中标人拒绝履行合同义务的；</w:t>
      </w:r>
    </w:p>
    <w:p w14:paraId="18FFDBF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6.7其他严重扰乱招投标程序的。</w:t>
      </w:r>
    </w:p>
    <w:p w14:paraId="2AA6A897">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（四）投标文件的份数和签署</w:t>
      </w:r>
    </w:p>
    <w:p w14:paraId="569E671F">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
          <w:bCs/>
          <w:color w:val="auto"/>
          <w:sz w:val="24"/>
          <w:highlight w:val="none"/>
        </w:rPr>
        <w:t>投标文件一式四份，其中正本一份，副本二份，电子文档一份（电子文档内容须为投标文件正本的PDF扫描件，文件载体须为优盘）。</w:t>
      </w:r>
      <w:r>
        <w:rPr>
          <w:rFonts w:hint="eastAsia" w:ascii="宋体" w:hAnsi="宋体" w:cs="宋体"/>
          <w:color w:val="auto"/>
          <w:sz w:val="24"/>
          <w:highlight w:val="none"/>
        </w:rPr>
        <w:t>每套纸质投标文件须在封面清楚地标明“正本”、“副本”或“电子文档”，副本应为正本的完整复印件，副本与正本不一致时以正本为准。投标文件电子文档与纸质投标文件正本不一致时，以纸质投标文件正本为准。</w:t>
      </w:r>
    </w:p>
    <w:p w14:paraId="15E6E7EE">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2.在投标文件正本中，招标文件第七篇投标文件格式中规定签字、盖章的地方必须按其规定签字、盖章。</w:t>
      </w:r>
    </w:p>
    <w:p w14:paraId="565C5CDE">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3.若投标人对投标文件的错处作必要修改，则应在修改处加盖投标人公章或由</w:t>
      </w:r>
      <w:r>
        <w:rPr>
          <w:rFonts w:hint="eastAsia" w:ascii="宋体" w:hAnsi="宋体" w:cs="宋体"/>
          <w:color w:val="auto"/>
          <w:sz w:val="24"/>
          <w:szCs w:val="28"/>
          <w:highlight w:val="none"/>
        </w:rPr>
        <w:t>法定代表人（或其授权代表）</w:t>
      </w:r>
      <w:r>
        <w:rPr>
          <w:rFonts w:hint="eastAsia" w:ascii="宋体" w:hAnsi="宋体" w:cs="宋体"/>
          <w:color w:val="auto"/>
          <w:sz w:val="24"/>
          <w:highlight w:val="none"/>
        </w:rPr>
        <w:t>签字确认。</w:t>
      </w:r>
    </w:p>
    <w:p w14:paraId="30638E76">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color w:val="auto"/>
          <w:sz w:val="24"/>
          <w:highlight w:val="none"/>
        </w:rPr>
        <w:t>4.电报、电话、传真形式的投标文件概不接受。</w:t>
      </w:r>
    </w:p>
    <w:p w14:paraId="765D083A">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（五）投标报价</w:t>
      </w:r>
    </w:p>
    <w:p w14:paraId="6A117E39">
      <w:pPr>
        <w:snapToGrid w:val="0"/>
        <w:spacing w:line="360" w:lineRule="auto"/>
        <w:ind w:firstLine="470" w:firstLineChars="196"/>
        <w:jc w:val="left"/>
        <w:rPr>
          <w:rFonts w:ascii="宋体" w:hAnsi="宋体" w:cs="宋体"/>
          <w:color w:val="auto"/>
          <w:sz w:val="24"/>
          <w:highlight w:val="none"/>
        </w:rPr>
      </w:pPr>
      <w:r>
        <w:rPr>
          <w:rFonts w:hint="eastAsia" w:ascii="宋体" w:hAnsi="宋体" w:cs="宋体"/>
          <w:bCs/>
          <w:color w:val="auto"/>
          <w:sz w:val="24"/>
          <w:highlight w:val="none"/>
        </w:rPr>
        <w:t>1.投标人应严格按照“投标文件格式”中“开标一览表”和“分项报价明细表”</w:t>
      </w:r>
      <w:r>
        <w:rPr>
          <w:rFonts w:hint="eastAsia" w:ascii="宋体" w:hAnsi="宋体" w:cs="宋体"/>
          <w:color w:val="auto"/>
          <w:sz w:val="24"/>
          <w:highlight w:val="none"/>
        </w:rPr>
        <w:t>的格式填写报价。</w:t>
      </w:r>
    </w:p>
    <w:p w14:paraId="3C2432F0">
      <w:pPr>
        <w:snapToGrid w:val="0"/>
        <w:spacing w:line="360" w:lineRule="auto"/>
        <w:ind w:left="3" w:leftChars="1" w:firstLine="480" w:firstLineChars="200"/>
        <w:rPr>
          <w:rFonts w:ascii="宋体" w:hAnsi="宋体" w:cs="宋体"/>
          <w:color w:val="auto"/>
          <w:sz w:val="24"/>
          <w:highlight w:val="none"/>
        </w:rPr>
      </w:pPr>
      <w:r>
        <w:rPr>
          <w:rFonts w:hint="eastAsia" w:ascii="宋体" w:hAnsi="宋体" w:cs="宋体"/>
          <w:color w:val="auto"/>
          <w:sz w:val="24"/>
          <w:highlight w:val="none"/>
        </w:rPr>
        <w:t>2.投标人的报价为一次性报价，即在投标有效期内投标价格固定不变。</w:t>
      </w:r>
    </w:p>
    <w:p w14:paraId="53C3000C">
      <w:pPr>
        <w:snapToGrid w:val="0"/>
        <w:spacing w:line="360" w:lineRule="auto"/>
        <w:ind w:left="3" w:leftChars="1" w:firstLine="480" w:firstLineChars="200"/>
        <w:rPr>
          <w:rFonts w:ascii="宋体" w:hAnsi="宋体" w:cs="宋体"/>
          <w:color w:val="auto"/>
          <w:sz w:val="24"/>
          <w:highlight w:val="none"/>
        </w:rPr>
      </w:pPr>
      <w:r>
        <w:rPr>
          <w:rFonts w:hint="eastAsia" w:ascii="宋体" w:hAnsi="宋体" w:cs="宋体"/>
          <w:color w:val="auto"/>
          <w:sz w:val="24"/>
          <w:highlight w:val="none"/>
        </w:rPr>
        <w:t>3.本项目只接受一个投标报价，有选择的或有条件的报价将不予接受。</w:t>
      </w:r>
    </w:p>
    <w:p w14:paraId="7AE5A48C">
      <w:pPr>
        <w:pStyle w:val="9"/>
        <w:ind w:firstLine="480" w:firstLineChars="200"/>
        <w:rPr>
          <w:rFonts w:hAnsi="宋体" w:cs="宋体"/>
          <w:color w:val="auto"/>
          <w:sz w:val="24"/>
          <w:highlight w:val="none"/>
        </w:rPr>
      </w:pPr>
      <w:r>
        <w:rPr>
          <w:rFonts w:hint="eastAsia" w:hAnsi="宋体" w:cs="宋体"/>
          <w:color w:val="auto"/>
          <w:sz w:val="24"/>
          <w:highlight w:val="none"/>
        </w:rPr>
        <w:t>（六）修正错误</w:t>
      </w:r>
    </w:p>
    <w:p w14:paraId="56E6870B">
      <w:pPr>
        <w:pStyle w:val="9"/>
        <w:ind w:firstLine="480" w:firstLineChars="200"/>
        <w:rPr>
          <w:rFonts w:hAnsi="宋体" w:cs="宋体"/>
          <w:color w:val="auto"/>
          <w:sz w:val="24"/>
          <w:highlight w:val="none"/>
        </w:rPr>
      </w:pPr>
      <w:r>
        <w:rPr>
          <w:rFonts w:hint="eastAsia" w:hAnsi="宋体" w:cs="宋体"/>
          <w:color w:val="auto"/>
          <w:sz w:val="24"/>
          <w:highlight w:val="none"/>
        </w:rPr>
        <w:t>若投标文件出现计算或表达上的错误，修正错误的原则如下：</w:t>
      </w:r>
    </w:p>
    <w:p w14:paraId="64D79852">
      <w:pPr>
        <w:pStyle w:val="9"/>
        <w:ind w:firstLine="480" w:firstLineChars="200"/>
        <w:rPr>
          <w:rFonts w:hAnsi="宋体" w:cs="宋体"/>
          <w:color w:val="auto"/>
          <w:sz w:val="24"/>
          <w:highlight w:val="none"/>
        </w:rPr>
      </w:pPr>
      <w:r>
        <w:rPr>
          <w:rFonts w:hint="eastAsia" w:hAnsi="宋体" w:cs="宋体"/>
          <w:color w:val="auto"/>
          <w:sz w:val="24"/>
          <w:highlight w:val="none"/>
        </w:rPr>
        <w:t>1.投标文件中开标一览表（报价表）内容与投标文件中相应内容不一致的，以开标一览表（报价表）为准；</w:t>
      </w:r>
    </w:p>
    <w:p w14:paraId="3DFB6E23">
      <w:pPr>
        <w:pStyle w:val="9"/>
        <w:ind w:firstLine="480" w:firstLineChars="200"/>
        <w:rPr>
          <w:rFonts w:hAnsi="宋体" w:cs="宋体"/>
          <w:color w:val="auto"/>
          <w:sz w:val="24"/>
          <w:highlight w:val="none"/>
        </w:rPr>
      </w:pPr>
      <w:r>
        <w:rPr>
          <w:rFonts w:hint="eastAsia" w:hAnsi="宋体" w:cs="宋体"/>
          <w:color w:val="auto"/>
          <w:sz w:val="24"/>
          <w:highlight w:val="none"/>
        </w:rPr>
        <w:t>2.大写金额和小写金额不一致的，以大写金额为准；</w:t>
      </w:r>
    </w:p>
    <w:p w14:paraId="71BD0137">
      <w:pPr>
        <w:pStyle w:val="9"/>
        <w:ind w:firstLine="480" w:firstLineChars="200"/>
        <w:rPr>
          <w:rFonts w:hAnsi="宋体" w:cs="宋体"/>
          <w:color w:val="auto"/>
          <w:sz w:val="24"/>
          <w:highlight w:val="none"/>
        </w:rPr>
      </w:pPr>
      <w:r>
        <w:rPr>
          <w:rFonts w:hint="eastAsia" w:hAnsi="宋体" w:cs="宋体"/>
          <w:color w:val="auto"/>
          <w:sz w:val="24"/>
          <w:highlight w:val="none"/>
        </w:rPr>
        <w:t>3.单价金额小数点或者百分比有明显错位的，以开标一览表的总价为准，并修改单价；</w:t>
      </w:r>
    </w:p>
    <w:p w14:paraId="7AE48646">
      <w:pPr>
        <w:pStyle w:val="9"/>
        <w:ind w:firstLine="480" w:firstLineChars="200"/>
        <w:rPr>
          <w:rFonts w:hAnsi="宋体" w:cs="宋体"/>
          <w:color w:val="auto"/>
          <w:sz w:val="24"/>
          <w:highlight w:val="none"/>
        </w:rPr>
      </w:pPr>
      <w:r>
        <w:rPr>
          <w:rFonts w:hint="eastAsia" w:hAnsi="宋体" w:cs="宋体"/>
          <w:color w:val="auto"/>
          <w:sz w:val="24"/>
          <w:highlight w:val="none"/>
        </w:rPr>
        <w:t>4.总价金额与按单价汇总金额不一致的，以单价金额计算结果为准。</w:t>
      </w:r>
    </w:p>
    <w:p w14:paraId="2C002FD4">
      <w:pPr>
        <w:pStyle w:val="9"/>
        <w:ind w:firstLine="480" w:firstLineChars="200"/>
        <w:rPr>
          <w:rFonts w:hAnsi="宋体" w:cs="宋体"/>
          <w:color w:val="auto"/>
          <w:sz w:val="24"/>
          <w:highlight w:val="none"/>
        </w:rPr>
      </w:pPr>
      <w:r>
        <w:rPr>
          <w:rFonts w:hint="eastAsia" w:hAnsi="宋体" w:cs="宋体"/>
          <w:color w:val="auto"/>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1E37B05C">
      <w:pPr>
        <w:pStyle w:val="9"/>
        <w:ind w:firstLine="480" w:firstLineChars="200"/>
        <w:rPr>
          <w:rFonts w:hAnsi="宋体" w:cs="宋体"/>
          <w:color w:val="auto"/>
          <w:sz w:val="24"/>
          <w:highlight w:val="none"/>
        </w:rPr>
      </w:pPr>
      <w:r>
        <w:rPr>
          <w:rFonts w:hint="eastAsia" w:hAnsi="宋体" w:cs="宋体"/>
          <w:color w:val="auto"/>
          <w:sz w:val="24"/>
          <w:highlight w:val="none"/>
        </w:rPr>
        <w:t>（七）投标文件的递交</w:t>
      </w:r>
    </w:p>
    <w:p w14:paraId="597572D1">
      <w:pPr>
        <w:pStyle w:val="9"/>
        <w:ind w:firstLine="480" w:firstLineChars="200"/>
        <w:rPr>
          <w:rFonts w:hAnsi="宋体" w:cs="宋体"/>
          <w:color w:val="auto"/>
          <w:sz w:val="24"/>
          <w:highlight w:val="none"/>
        </w:rPr>
      </w:pPr>
      <w:r>
        <w:rPr>
          <w:rFonts w:hint="eastAsia" w:hAnsi="宋体" w:cs="宋体"/>
          <w:color w:val="auto"/>
          <w:sz w:val="24"/>
          <w:highlight w:val="none"/>
        </w:rPr>
        <w:t>投标文件的正本、副本以及电子文档均应密封送达投标地点，应在封套上注明项目名称、投标人名称。若正本、副本以及电子文档分别进行密封的，还应在封套上注明“正本”、“副本”、“电子文档”字样。</w:t>
      </w:r>
    </w:p>
    <w:p w14:paraId="09C29B03">
      <w:pPr>
        <w:pStyle w:val="5"/>
        <w:ind w:firstLine="482" w:firstLineChars="200"/>
        <w:rPr>
          <w:rFonts w:cs="宋体"/>
          <w:b/>
          <w:color w:val="auto"/>
          <w:sz w:val="24"/>
          <w:highlight w:val="none"/>
        </w:rPr>
      </w:pPr>
      <w:bookmarkStart w:id="118" w:name="_Toc5917"/>
      <w:bookmarkStart w:id="119" w:name="_Toc3286"/>
      <w:bookmarkStart w:id="120" w:name="_Toc30185"/>
      <w:r>
        <w:rPr>
          <w:rFonts w:hint="eastAsia" w:cs="宋体"/>
          <w:b/>
          <w:color w:val="auto"/>
          <w:sz w:val="24"/>
          <w:highlight w:val="none"/>
        </w:rPr>
        <w:t>四、开标</w:t>
      </w:r>
      <w:bookmarkEnd w:id="118"/>
      <w:bookmarkEnd w:id="119"/>
      <w:bookmarkEnd w:id="120"/>
    </w:p>
    <w:p w14:paraId="09C188D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（一）开标应当在招标文件中“投标邀请书”确定的时间和地点公开进行。</w:t>
      </w:r>
    </w:p>
    <w:p w14:paraId="60AACC1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（二）采购代理机构可视采购具体情况，延长投标截止时间和开标时间，并将变更时间书面通知所有招标文件收受人。</w:t>
      </w:r>
    </w:p>
    <w:p w14:paraId="136536A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（三）开标由采购人或采购代理机构主持，邀请投标人和有关监督部门代表参加,有关监督部门可视情况派员现场监督。</w:t>
      </w:r>
    </w:p>
    <w:p w14:paraId="2CED538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27AAD6E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（五）未宣读的投标价格、价格折扣和招标文件允许提供的备选投标方案等实质性内容等，评标时不予承认。</w:t>
      </w:r>
    </w:p>
    <w:p w14:paraId="60037332">
      <w:pPr>
        <w:pStyle w:val="9"/>
        <w:ind w:firstLine="480" w:firstLineChars="200"/>
        <w:rPr>
          <w:rFonts w:hAnsi="宋体" w:cs="宋体"/>
          <w:color w:val="auto"/>
          <w:sz w:val="24"/>
          <w:highlight w:val="none"/>
        </w:rPr>
      </w:pPr>
      <w:r>
        <w:rPr>
          <w:rFonts w:hint="eastAsia" w:hAnsi="宋体" w:cs="宋体"/>
          <w:color w:val="auto"/>
          <w:sz w:val="24"/>
          <w:highlight w:val="none"/>
        </w:rPr>
        <w:t>（六）开标过程应由采购人或采购代理机构或重庆市公共资源交易中心指定专人负责记录，并存档备查。</w:t>
      </w:r>
    </w:p>
    <w:p w14:paraId="7F673B19">
      <w:pPr>
        <w:pStyle w:val="9"/>
        <w:ind w:firstLine="480" w:firstLineChars="200"/>
        <w:rPr>
          <w:rFonts w:hAnsi="宋体" w:cs="宋体"/>
          <w:color w:val="auto"/>
          <w:sz w:val="24"/>
          <w:highlight w:val="none"/>
        </w:rPr>
      </w:pPr>
      <w:r>
        <w:rPr>
          <w:rFonts w:hint="eastAsia" w:hAnsi="宋体" w:cs="宋体"/>
          <w:color w:val="auto"/>
          <w:sz w:val="24"/>
          <w:highlight w:val="none"/>
        </w:rPr>
        <w:t>（七）投标人未参加开标的，视同认可开标结果。</w:t>
      </w:r>
    </w:p>
    <w:p w14:paraId="36532A8A">
      <w:pPr>
        <w:pStyle w:val="5"/>
        <w:ind w:firstLine="482" w:firstLineChars="200"/>
        <w:rPr>
          <w:rFonts w:cs="宋体"/>
          <w:b/>
          <w:color w:val="auto"/>
          <w:sz w:val="24"/>
          <w:highlight w:val="none"/>
        </w:rPr>
      </w:pPr>
      <w:bookmarkStart w:id="121" w:name="_Toc25442"/>
      <w:bookmarkStart w:id="122" w:name="_Toc29092"/>
      <w:bookmarkStart w:id="123" w:name="_Toc23751"/>
      <w:r>
        <w:rPr>
          <w:rFonts w:hint="eastAsia" w:cs="宋体"/>
          <w:b/>
          <w:color w:val="auto"/>
          <w:sz w:val="24"/>
          <w:highlight w:val="none"/>
        </w:rPr>
        <w:t>五、评标</w:t>
      </w:r>
      <w:bookmarkEnd w:id="121"/>
      <w:bookmarkEnd w:id="122"/>
      <w:bookmarkEnd w:id="123"/>
    </w:p>
    <w:p w14:paraId="2F93BEB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见第四篇“评标”内容。</w:t>
      </w:r>
    </w:p>
    <w:p w14:paraId="5208FA87">
      <w:pPr>
        <w:pStyle w:val="5"/>
        <w:ind w:firstLine="482" w:firstLineChars="200"/>
        <w:rPr>
          <w:rFonts w:cs="宋体"/>
          <w:b/>
          <w:color w:val="auto"/>
          <w:sz w:val="24"/>
          <w:highlight w:val="none"/>
        </w:rPr>
      </w:pPr>
      <w:bookmarkStart w:id="124" w:name="_Toc15112"/>
      <w:bookmarkStart w:id="125" w:name="_Toc21824"/>
      <w:bookmarkStart w:id="126" w:name="_Toc26381"/>
      <w:r>
        <w:rPr>
          <w:rFonts w:hint="eastAsia" w:cs="宋体"/>
          <w:b/>
          <w:color w:val="auto"/>
          <w:sz w:val="24"/>
          <w:highlight w:val="none"/>
        </w:rPr>
        <w:t>六、定标</w:t>
      </w:r>
      <w:bookmarkEnd w:id="124"/>
      <w:bookmarkEnd w:id="125"/>
      <w:bookmarkEnd w:id="126"/>
    </w:p>
    <w:p w14:paraId="3D7FEAC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（一）定标原则</w:t>
      </w:r>
    </w:p>
    <w:p w14:paraId="6F5EB70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采购人或其授权的评标委员会应按照评标报告中推荐的中标候选人排名顺序确定中标人。</w:t>
      </w:r>
    </w:p>
    <w:p w14:paraId="1FA130A3">
      <w:pPr>
        <w:pStyle w:val="9"/>
        <w:ind w:firstLine="480" w:firstLineChars="200"/>
        <w:rPr>
          <w:rFonts w:hAnsi="宋体" w:cs="宋体"/>
          <w:color w:val="auto"/>
          <w:sz w:val="24"/>
          <w:highlight w:val="none"/>
        </w:rPr>
      </w:pPr>
      <w:r>
        <w:rPr>
          <w:rFonts w:hint="eastAsia" w:hAnsi="宋体" w:cs="宋体"/>
          <w:color w:val="auto"/>
          <w:sz w:val="24"/>
          <w:highlight w:val="none"/>
        </w:rPr>
        <w:t>（二）定标程序</w:t>
      </w:r>
    </w:p>
    <w:p w14:paraId="05D398A3">
      <w:pPr>
        <w:pStyle w:val="9"/>
        <w:ind w:firstLine="480" w:firstLineChars="200"/>
        <w:rPr>
          <w:rFonts w:hAnsi="宋体" w:cs="宋体"/>
          <w:color w:val="auto"/>
          <w:sz w:val="24"/>
          <w:highlight w:val="none"/>
        </w:rPr>
      </w:pPr>
      <w:r>
        <w:rPr>
          <w:rFonts w:hint="eastAsia" w:hAnsi="宋体" w:cs="宋体"/>
          <w:color w:val="auto"/>
          <w:sz w:val="24"/>
          <w:highlight w:val="none"/>
        </w:rPr>
        <w:t>1.</w:t>
      </w:r>
      <w:r>
        <w:rPr>
          <w:rFonts w:hint="eastAsia" w:hAnsi="宋体" w:cs="宋体"/>
          <w:color w:val="auto"/>
          <w:highlight w:val="none"/>
        </w:rPr>
        <w:t xml:space="preserve"> </w:t>
      </w:r>
      <w:r>
        <w:rPr>
          <w:rFonts w:hint="eastAsia" w:hAnsi="宋体" w:cs="宋体"/>
          <w:color w:val="auto"/>
          <w:sz w:val="24"/>
          <w:highlight w:val="none"/>
        </w:rPr>
        <w:t>采购代理机构应当在评标结束后2个工作日内将评标报告送采购人。</w:t>
      </w:r>
    </w:p>
    <w:p w14:paraId="21935A44">
      <w:pPr>
        <w:pStyle w:val="9"/>
        <w:ind w:firstLine="480" w:firstLineChars="200"/>
        <w:rPr>
          <w:rFonts w:hAnsi="宋体" w:cs="宋体"/>
          <w:color w:val="auto"/>
          <w:sz w:val="24"/>
          <w:highlight w:val="none"/>
        </w:rPr>
      </w:pPr>
      <w:r>
        <w:rPr>
          <w:rFonts w:hint="eastAsia" w:hAnsi="宋体" w:cs="宋体"/>
          <w:color w:val="auto"/>
          <w:sz w:val="24"/>
          <w:highlight w:val="none"/>
        </w:rPr>
        <w:t>2.采购人应当自收到评标报告之日起5个工作日内按评标报告推荐的中标候选人顺序确定中标人。</w:t>
      </w:r>
    </w:p>
    <w:p w14:paraId="2CFAAD42">
      <w:pPr>
        <w:pStyle w:val="9"/>
        <w:ind w:firstLine="480" w:firstLineChars="200"/>
        <w:rPr>
          <w:rFonts w:hAnsi="宋体" w:cs="宋体"/>
          <w:color w:val="auto"/>
          <w:sz w:val="24"/>
          <w:highlight w:val="none"/>
        </w:rPr>
      </w:pPr>
      <w:r>
        <w:rPr>
          <w:rFonts w:hint="eastAsia" w:hAnsi="宋体" w:cs="宋体"/>
          <w:color w:val="auto"/>
          <w:sz w:val="24"/>
          <w:highlight w:val="none"/>
        </w:rPr>
        <w:t>中标候选人并列的，由采购人或者采购人委托评标委员会按照</w:t>
      </w:r>
      <w:r>
        <w:rPr>
          <w:rFonts w:hint="eastAsia" w:hAnsi="宋体" w:cs="宋体"/>
          <w:color w:val="auto"/>
          <w:sz w:val="24"/>
          <w:szCs w:val="24"/>
          <w:highlight w:val="none"/>
        </w:rPr>
        <w:t>技术需求的优劣顺序排列；技术需求优劣顺序相同的，按商务条款的优劣顺序排列</w:t>
      </w:r>
      <w:r>
        <w:rPr>
          <w:rFonts w:hint="eastAsia" w:hAnsi="宋体" w:cs="宋体"/>
          <w:color w:val="auto"/>
          <w:sz w:val="24"/>
          <w:highlight w:val="none"/>
        </w:rPr>
        <w:t>确定中标人。</w:t>
      </w:r>
    </w:p>
    <w:p w14:paraId="27D58C8D">
      <w:pPr>
        <w:pStyle w:val="9"/>
        <w:ind w:firstLine="480" w:firstLineChars="200"/>
        <w:rPr>
          <w:rFonts w:hAnsi="宋体" w:cs="宋体"/>
          <w:color w:val="auto"/>
          <w:sz w:val="24"/>
          <w:highlight w:val="none"/>
        </w:rPr>
      </w:pPr>
      <w:r>
        <w:rPr>
          <w:rFonts w:hint="eastAsia" w:hAnsi="宋体" w:cs="宋体"/>
          <w:color w:val="auto"/>
          <w:sz w:val="24"/>
          <w:highlight w:val="none"/>
        </w:rPr>
        <w:t>3.采购人或者采购代理机构应当自中标人确定之日起2个工作日内，在</w:t>
      </w:r>
      <w:r>
        <w:rPr>
          <w:rFonts w:hint="eastAsia" w:hAnsi="宋体" w:cs="宋体"/>
          <w:color w:val="auto"/>
          <w:sz w:val="24"/>
          <w:szCs w:val="24"/>
          <w:highlight w:val="none"/>
        </w:rPr>
        <w:t>行采家网或重庆工商大学招投标信息网</w:t>
      </w:r>
      <w:r>
        <w:rPr>
          <w:rFonts w:hint="eastAsia" w:hAnsi="宋体" w:cs="宋体"/>
          <w:color w:val="auto"/>
          <w:sz w:val="24"/>
          <w:highlight w:val="none"/>
        </w:rPr>
        <w:t>上公告中标结果。中标公告期限为1个工作日。</w:t>
      </w:r>
    </w:p>
    <w:p w14:paraId="467DD351">
      <w:pPr>
        <w:pStyle w:val="9"/>
        <w:ind w:firstLine="482" w:firstLineChars="200"/>
        <w:rPr>
          <w:rFonts w:hAnsi="宋体" w:cs="宋体"/>
          <w:b/>
          <w:bCs/>
          <w:color w:val="auto"/>
          <w:sz w:val="24"/>
          <w:highlight w:val="none"/>
        </w:rPr>
      </w:pPr>
      <w:r>
        <w:rPr>
          <w:rFonts w:hint="eastAsia" w:hAnsi="宋体" w:cs="宋体"/>
          <w:b/>
          <w:bCs/>
          <w:color w:val="auto"/>
          <w:sz w:val="24"/>
          <w:highlight w:val="none"/>
        </w:rPr>
        <w:t>4.中标人变更</w:t>
      </w:r>
    </w:p>
    <w:p w14:paraId="642098F3">
      <w:pPr>
        <w:pStyle w:val="9"/>
        <w:ind w:firstLine="482" w:firstLineChars="200"/>
        <w:rPr>
          <w:rFonts w:hAnsi="宋体" w:cs="宋体"/>
          <w:b/>
          <w:bCs/>
          <w:color w:val="auto"/>
          <w:sz w:val="24"/>
          <w:highlight w:val="none"/>
        </w:rPr>
      </w:pPr>
      <w:r>
        <w:rPr>
          <w:rFonts w:hint="eastAsia" w:hAnsi="宋体" w:cs="宋体"/>
          <w:b/>
          <w:bCs/>
          <w:color w:val="auto"/>
          <w:sz w:val="24"/>
          <w:highlight w:val="none"/>
        </w:rPr>
        <w:t>（1）本项目中标候选人在正式签订合同后即成为“执行人”或“备选执行人”（采购人与“执行人”和“备选执行人”分别签订合同）。</w:t>
      </w:r>
    </w:p>
    <w:p w14:paraId="519889E7">
      <w:pPr>
        <w:pStyle w:val="9"/>
        <w:ind w:firstLine="482" w:firstLineChars="200"/>
        <w:rPr>
          <w:rFonts w:hAnsi="宋体" w:cs="宋体"/>
          <w:b/>
          <w:bCs/>
          <w:color w:val="auto"/>
          <w:sz w:val="24"/>
          <w:highlight w:val="none"/>
        </w:rPr>
      </w:pPr>
      <w:r>
        <w:rPr>
          <w:rFonts w:hint="eastAsia" w:hAnsi="宋体" w:cs="宋体"/>
          <w:b/>
          <w:bCs/>
          <w:color w:val="auto"/>
          <w:sz w:val="24"/>
          <w:highlight w:val="none"/>
        </w:rPr>
        <w:t>（2）根据本项目“一用一备”原则，第一中标候选人在签订合同后即为本项目的“执行人”，第二中标候选人在签订合同后即为本项目的“备选执行人”。</w:t>
      </w:r>
    </w:p>
    <w:p w14:paraId="63EF44C6">
      <w:pPr>
        <w:pStyle w:val="9"/>
        <w:ind w:firstLine="482" w:firstLineChars="200"/>
        <w:rPr>
          <w:rFonts w:hAnsi="宋体" w:cs="宋体"/>
          <w:b/>
          <w:bCs/>
          <w:color w:val="auto"/>
          <w:sz w:val="24"/>
          <w:highlight w:val="none"/>
        </w:rPr>
      </w:pPr>
      <w:r>
        <w:rPr>
          <w:rFonts w:hint="eastAsia" w:hAnsi="宋体" w:cs="宋体"/>
          <w:b/>
          <w:bCs/>
          <w:color w:val="auto"/>
          <w:sz w:val="24"/>
          <w:highlight w:val="none"/>
        </w:rPr>
        <w:t>（3）变更情形一：若第一中标候选人出现无法签订合同或招标文件载明的合同非正常终止等情况，由第二中标候选人递补作为“执行人”，第三中标候选人递补作为“备选执行人”；若第二中标候选人放弃递补为“执行人”的，可顺延至第三中标候选人递补为“执行人”，第四中标候选人递补作为“备选执行人”，以此类推。</w:t>
      </w:r>
    </w:p>
    <w:p w14:paraId="6D2E424F">
      <w:pPr>
        <w:pStyle w:val="9"/>
        <w:ind w:firstLine="482" w:firstLineChars="200"/>
        <w:rPr>
          <w:rFonts w:hAnsi="宋体" w:cs="宋体"/>
          <w:b/>
          <w:bCs/>
          <w:color w:val="auto"/>
          <w:sz w:val="24"/>
          <w:highlight w:val="none"/>
        </w:rPr>
      </w:pPr>
      <w:r>
        <w:rPr>
          <w:rFonts w:hint="eastAsia" w:hAnsi="宋体" w:cs="宋体"/>
          <w:b/>
          <w:bCs/>
          <w:color w:val="auto"/>
          <w:sz w:val="24"/>
          <w:highlight w:val="none"/>
        </w:rPr>
        <w:t>（4）变更情形二：若第一中标候选人成为“执行人”，但第二中标候选人出现无法签订合同或招标文件载明的合同非正常终止等情况放弃“备选执行人”的，可顺延至第三中标候选人递补为“备选执行人”，以此类推。</w:t>
      </w:r>
    </w:p>
    <w:p w14:paraId="22B2BD7F">
      <w:pPr>
        <w:pStyle w:val="9"/>
        <w:ind w:firstLine="482" w:firstLineChars="200"/>
        <w:rPr>
          <w:rFonts w:hAnsi="宋体" w:cs="宋体"/>
          <w:b/>
          <w:bCs/>
          <w:color w:val="auto"/>
          <w:sz w:val="24"/>
          <w:highlight w:val="none"/>
        </w:rPr>
      </w:pPr>
      <w:r>
        <w:rPr>
          <w:rFonts w:hint="eastAsia" w:hAnsi="宋体" w:cs="宋体"/>
          <w:b/>
          <w:bCs/>
          <w:color w:val="auto"/>
          <w:sz w:val="24"/>
          <w:highlight w:val="none"/>
        </w:rPr>
        <w:t>（5）若排序第三及其后的中标候选人总量不足以按上述规则进行递补，采购人也可以根据实际情况重新开展采购活动。</w:t>
      </w:r>
    </w:p>
    <w:p w14:paraId="3E1C8116">
      <w:pPr>
        <w:pStyle w:val="5"/>
        <w:ind w:firstLine="482" w:firstLineChars="200"/>
        <w:rPr>
          <w:rFonts w:cs="宋体"/>
          <w:b/>
          <w:color w:val="auto"/>
          <w:sz w:val="24"/>
          <w:highlight w:val="none"/>
        </w:rPr>
      </w:pPr>
      <w:bookmarkStart w:id="127" w:name="_Toc10150"/>
      <w:bookmarkStart w:id="128" w:name="_Toc20552"/>
      <w:bookmarkStart w:id="129" w:name="_Toc3658"/>
      <w:r>
        <w:rPr>
          <w:rFonts w:hint="eastAsia" w:cs="宋体"/>
          <w:b/>
          <w:color w:val="auto"/>
          <w:sz w:val="24"/>
          <w:highlight w:val="none"/>
        </w:rPr>
        <w:t>七、中标</w:t>
      </w:r>
      <w:bookmarkEnd w:id="127"/>
      <w:bookmarkEnd w:id="128"/>
      <w:bookmarkEnd w:id="129"/>
    </w:p>
    <w:p w14:paraId="6690FB9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（一）采购人依法确定中标人后，采购代理机构以书面形式发布中标公告。</w:t>
      </w:r>
    </w:p>
    <w:p w14:paraId="630FA39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（二）中标公告发布后，采购人改变中标结果，或者中标人放弃中标，应当承担相应的法律责任。</w:t>
      </w:r>
    </w:p>
    <w:p w14:paraId="6A03E7B7">
      <w:pPr>
        <w:pStyle w:val="5"/>
        <w:ind w:firstLine="482" w:firstLineChars="200"/>
        <w:rPr>
          <w:rFonts w:cs="宋体"/>
          <w:b/>
          <w:color w:val="auto"/>
          <w:sz w:val="24"/>
          <w:highlight w:val="none"/>
        </w:rPr>
      </w:pPr>
      <w:bookmarkStart w:id="130" w:name="_Toc6600"/>
      <w:bookmarkStart w:id="131" w:name="_Toc19532"/>
      <w:bookmarkStart w:id="132" w:name="_Toc32346"/>
      <w:r>
        <w:rPr>
          <w:rFonts w:hint="eastAsia" w:cs="宋体"/>
          <w:b/>
          <w:color w:val="auto"/>
          <w:sz w:val="24"/>
          <w:highlight w:val="none"/>
        </w:rPr>
        <w:t>八、询问、质疑和投诉</w:t>
      </w:r>
      <w:bookmarkEnd w:id="130"/>
      <w:bookmarkEnd w:id="131"/>
      <w:bookmarkEnd w:id="132"/>
    </w:p>
    <w:p w14:paraId="32DD4E18">
      <w:pPr>
        <w:spacing w:line="360" w:lineRule="auto"/>
        <w:ind w:right="12" w:firstLine="480"/>
        <w:rPr>
          <w:rFonts w:ascii="宋体" w:hAnsi="宋体" w:cs="宋体"/>
          <w:color w:val="auto"/>
          <w:sz w:val="24"/>
          <w:highlight w:val="none"/>
        </w:rPr>
      </w:pPr>
      <w:r>
        <w:rPr>
          <w:rFonts w:hint="eastAsia" w:ascii="宋体" w:hAnsi="宋体" w:cs="宋体"/>
          <w:color w:val="auto"/>
          <w:sz w:val="24"/>
          <w:highlight w:val="none"/>
        </w:rPr>
        <w:t>（一）询问</w:t>
      </w:r>
    </w:p>
    <w:p w14:paraId="6F09B6CC">
      <w:pPr>
        <w:spacing w:line="360" w:lineRule="auto"/>
        <w:ind w:right="12" w:firstLine="480"/>
        <w:rPr>
          <w:rFonts w:ascii="宋体" w:hAnsi="宋体" w:cs="宋体"/>
          <w:color w:val="auto"/>
          <w:sz w:val="24"/>
          <w:highlight w:val="none"/>
        </w:rPr>
      </w:pPr>
      <w:r>
        <w:rPr>
          <w:rFonts w:hint="eastAsia" w:ascii="宋体" w:hAnsi="宋体" w:cs="宋体"/>
          <w:color w:val="auto"/>
          <w:sz w:val="24"/>
          <w:highlight w:val="none"/>
        </w:rPr>
        <w:t>采购人或者采购代理机构应当在3个工作日内对投标人依法提出的询问作出答复。投标人询问可以是口头或书面形式。</w:t>
      </w:r>
    </w:p>
    <w:p w14:paraId="62B6A64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（二）质疑</w:t>
      </w:r>
    </w:p>
    <w:p w14:paraId="1415902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投标人认为采购文件、采购过程和中标结果使自己的权益受到伤害的，可向采购人或采购代理机构以书面形式提出质疑。</w:t>
      </w:r>
    </w:p>
    <w:p w14:paraId="1A477E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提出质疑的应当是参与所质疑项目采购活动的投标人。 </w:t>
      </w:r>
    </w:p>
    <w:p w14:paraId="43C19BE2">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1.质疑时限、内容</w:t>
      </w:r>
    </w:p>
    <w:p w14:paraId="758604C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1.1投标人对招标文件提出质疑的，应在依法获取招标文件之日或者招标文件公告期限届满之日起七个工作日内提出。</w:t>
      </w:r>
    </w:p>
    <w:p w14:paraId="3171C0F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 投标人对采购过程提出质疑的，应在各采购程序环节结束之日起七个工作日内提出。</w:t>
      </w:r>
    </w:p>
    <w:p w14:paraId="7404EE5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1.3投标人对中标结果提出质疑的，应当在中标结果公告期限届满之日起七个工作日内提出。</w:t>
      </w:r>
    </w:p>
    <w:p w14:paraId="7C38704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1.4投标人提出质疑应当提交质疑函和必要的证明材料，质疑函应当包括下列内容：</w:t>
      </w:r>
    </w:p>
    <w:p w14:paraId="1C38F4A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1.4.1供应商的姓名或者名称、地址、邮编、联系人及联系电话；</w:t>
      </w:r>
    </w:p>
    <w:p w14:paraId="500E1A1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1.4.2质疑项目的名称、项目编号以及采购执行编号；</w:t>
      </w:r>
    </w:p>
    <w:p w14:paraId="480C788A">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1.4.3具体、明确的质疑事项和与质疑事项相关的请求；</w:t>
      </w:r>
    </w:p>
    <w:p w14:paraId="2179343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1.4.4事实依据；</w:t>
      </w:r>
    </w:p>
    <w:p w14:paraId="41D482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1.4.5必要的法律依据；</w:t>
      </w:r>
    </w:p>
    <w:p w14:paraId="10942AD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1.4.6提出质疑的日期；</w:t>
      </w:r>
    </w:p>
    <w:p w14:paraId="1F3CFA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1.4.7营业执照（或事业单位法人证书，或个体工商户营业执照）复印件；</w:t>
      </w:r>
    </w:p>
    <w:p w14:paraId="0157BD9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1.4.8法定代表人授权委托书原件、法定代表人身份证复印件和其授权代表的身份证复印件；</w:t>
      </w:r>
    </w:p>
    <w:p w14:paraId="1E11FB4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1.5供应商为法人或者其他组织的，质疑函应当由法定代表人、主要负责人，或者其授权代表签字或者盖章，并加盖公章。</w:t>
      </w:r>
    </w:p>
    <w:p w14:paraId="32E1214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2.质疑答复</w:t>
      </w:r>
    </w:p>
    <w:p w14:paraId="01C6109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采购人、采购代理机构应当在收到投标人的书面质疑后七个工作日内作出答复，并以书面形式通知质疑投标人和其他有关投标人。</w:t>
      </w:r>
    </w:p>
    <w:p w14:paraId="2676919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3.其他</w:t>
      </w:r>
    </w:p>
    <w:p w14:paraId="2DBBEFD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3.1投标人应按照《政府采购质疑和投诉办法》（财政部令第94号）及相关法律法规要求，在法定质疑期内一次性提出针对同一采购程序环节的质疑。</w:t>
      </w:r>
    </w:p>
    <w:p w14:paraId="1DECD0C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3.2质疑函范本可在财政部门户网站和中国政府采购网下载。</w:t>
      </w:r>
    </w:p>
    <w:p w14:paraId="21113C7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4.质疑联系方式详见第一篇“联系方式”。</w:t>
      </w:r>
    </w:p>
    <w:p w14:paraId="2D487F5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（三）投诉</w:t>
      </w:r>
    </w:p>
    <w:p w14:paraId="514A55AE">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1.投标人对采购人、采购代理机构的答复不满意，或者采购人、采购代理机构未在规定时间内作出答复的，可以在答复期满后15个工作日内按照采购人相关内控制度规定向采购人党政办公室提起投诉。</w:t>
      </w:r>
    </w:p>
    <w:p w14:paraId="2BC5DC53">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2.投标人应按照《政府采购质疑和投诉办法》（财政部令第94号）及相关法律法规要求递交投诉书和必要的证明材料。投诉书范本可在财政部门户网站和中国政府采购网下载。</w:t>
      </w:r>
    </w:p>
    <w:p w14:paraId="60A231B8">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3.投诉书应当使用中文，相关当事人提供外文书证或者外国语视听资料的，应当附有中文译本，由翻译机构盖章或者翻译人员签名；相关当事人向党政办公室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95A4A51">
      <w:pPr>
        <w:snapToGrid w:val="0"/>
        <w:spacing w:line="360" w:lineRule="auto"/>
        <w:ind w:firstLine="480" w:firstLineChars="200"/>
        <w:rPr>
          <w:rFonts w:ascii="宋体" w:hAnsi="宋体" w:cs="宋体"/>
          <w:color w:val="auto"/>
          <w:sz w:val="24"/>
          <w:highlight w:val="none"/>
        </w:rPr>
      </w:pPr>
      <w:r>
        <w:rPr>
          <w:rFonts w:hint="eastAsia" w:ascii="宋体" w:hAnsi="宋体" w:cs="仿宋"/>
          <w:color w:val="auto"/>
          <w:sz w:val="24"/>
          <w:highlight w:val="none"/>
        </w:rPr>
        <w:t>4.在确定受理投诉后，党政办公室自受理投诉之日起30个工作日内（需要检验、检测、鉴定、专家评审以及需要投诉人补正材料的，所需时间不计算在投诉处理期限内）对投诉事项做出处理决定</w:t>
      </w:r>
      <w:r>
        <w:rPr>
          <w:rFonts w:hint="eastAsia" w:ascii="宋体" w:hAnsi="宋体" w:cs="宋体"/>
          <w:color w:val="auto"/>
          <w:sz w:val="24"/>
          <w:highlight w:val="none"/>
        </w:rPr>
        <w:t>。</w:t>
      </w:r>
    </w:p>
    <w:p w14:paraId="27E1E38A">
      <w:pPr>
        <w:pStyle w:val="5"/>
        <w:ind w:firstLine="482" w:firstLineChars="200"/>
        <w:rPr>
          <w:rFonts w:cs="宋体"/>
          <w:b/>
          <w:color w:val="auto"/>
          <w:sz w:val="24"/>
          <w:highlight w:val="none"/>
        </w:rPr>
      </w:pPr>
      <w:bookmarkStart w:id="133" w:name="_Toc342983494"/>
      <w:bookmarkStart w:id="134" w:name="_Toc63431480"/>
      <w:bookmarkStart w:id="135" w:name="_Toc3911"/>
      <w:bookmarkStart w:id="136" w:name="_Toc343881212"/>
      <w:bookmarkStart w:id="137" w:name="_Toc429584878"/>
      <w:bookmarkStart w:id="138" w:name="_Toc345318310"/>
      <w:bookmarkStart w:id="139" w:name="_Toc5377"/>
      <w:bookmarkStart w:id="140" w:name="_Toc18673"/>
      <w:r>
        <w:rPr>
          <w:rFonts w:hint="eastAsia" w:cs="宋体"/>
          <w:b/>
          <w:color w:val="auto"/>
          <w:sz w:val="24"/>
          <w:highlight w:val="none"/>
        </w:rPr>
        <w:t>九、</w:t>
      </w:r>
      <w:bookmarkEnd w:id="133"/>
      <w:bookmarkEnd w:id="134"/>
      <w:bookmarkEnd w:id="135"/>
      <w:bookmarkEnd w:id="136"/>
      <w:bookmarkEnd w:id="137"/>
      <w:bookmarkEnd w:id="138"/>
      <w:bookmarkStart w:id="141" w:name="_Toc8770"/>
      <w:r>
        <w:rPr>
          <w:rFonts w:hint="eastAsia" w:cs="宋体"/>
          <w:b/>
          <w:color w:val="auto"/>
          <w:sz w:val="24"/>
          <w:highlight w:val="none"/>
        </w:rPr>
        <w:t>签订合同</w:t>
      </w:r>
      <w:bookmarkEnd w:id="139"/>
      <w:bookmarkEnd w:id="140"/>
      <w:bookmarkEnd w:id="141"/>
    </w:p>
    <w:p w14:paraId="1FE2DE0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（一）采购人应当自中标通知书发出之日起三十日内，按照招标文件和中标人投标文件的约定，与中标人签订书面合同。所签订的合同不得对招标文件和中标人投标文件作实质性修改。</w:t>
      </w:r>
      <w:r>
        <w:rPr>
          <w:rFonts w:hint="eastAsia" w:ascii="宋体" w:hAnsi="宋体" w:cs="宋体"/>
          <w:color w:val="auto"/>
          <w:kern w:val="0"/>
          <w:sz w:val="24"/>
          <w:szCs w:val="24"/>
          <w:highlight w:val="none"/>
        </w:rPr>
        <w:t>其他未尽事宜由采购人和中标人在采购合同中详细约定。</w:t>
      </w:r>
    </w:p>
    <w:p w14:paraId="5D6BA10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（二）招标文件、中标人的投标文件及澄清文件等，均为签订采购合同的依据。</w:t>
      </w:r>
    </w:p>
    <w:p w14:paraId="050D937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（四）合同生效条款由供需双方约定，法律、行政法规规定应当办理批准、登记等手续后生效的合同，依照其规定。</w:t>
      </w:r>
    </w:p>
    <w:p w14:paraId="74DFE5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（五）要求适用合同通用格式版本的，应按其要求另行签订其他合同。</w:t>
      </w:r>
    </w:p>
    <w:p w14:paraId="4C6A7CA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（六）采购人要求中标人提供履约保证金的，应当在招标文件中予以约定。中标人履约完毕后，采购人应按招标文件及合同的约定无息退还其履约保证金。</w:t>
      </w:r>
    </w:p>
    <w:p w14:paraId="2C3BDEC4">
      <w:pPr>
        <w:rPr>
          <w:rFonts w:ascii="宋体" w:hAnsi="宋体" w:cs="宋体"/>
          <w:b/>
          <w:color w:val="auto"/>
          <w:sz w:val="44"/>
          <w:highlight w:val="none"/>
        </w:rPr>
      </w:pPr>
      <w:bookmarkStart w:id="142" w:name="_Toc6009"/>
      <w:r>
        <w:rPr>
          <w:rFonts w:hint="eastAsia" w:ascii="宋体" w:hAnsi="宋体" w:cs="宋体"/>
          <w:b/>
          <w:color w:val="auto"/>
          <w:sz w:val="44"/>
          <w:highlight w:val="none"/>
        </w:rPr>
        <w:br w:type="page"/>
      </w:r>
    </w:p>
    <w:p w14:paraId="0FDDDA7A">
      <w:pPr>
        <w:pStyle w:val="4"/>
        <w:spacing w:before="240" w:after="120"/>
        <w:ind w:firstLine="883" w:firstLineChars="200"/>
        <w:rPr>
          <w:rFonts w:ascii="宋体" w:hAnsi="宋体" w:eastAsia="宋体" w:cs="宋体"/>
          <w:b/>
          <w:color w:val="auto"/>
          <w:sz w:val="24"/>
          <w:highlight w:val="none"/>
        </w:rPr>
      </w:pPr>
      <w:bookmarkStart w:id="143" w:name="_Toc5112"/>
      <w:bookmarkStart w:id="144" w:name="_Toc9775"/>
      <w:r>
        <w:rPr>
          <w:rFonts w:hint="eastAsia" w:ascii="宋体" w:hAnsi="宋体" w:eastAsia="宋体" w:cs="宋体"/>
          <w:b/>
          <w:color w:val="auto"/>
          <w:highlight w:val="none"/>
        </w:rPr>
        <w:t>第六篇  合同主要条款和格式合同（样本）</w:t>
      </w:r>
      <w:bookmarkEnd w:id="142"/>
      <w:bookmarkEnd w:id="143"/>
      <w:bookmarkEnd w:id="144"/>
    </w:p>
    <w:p w14:paraId="4D13228E">
      <w:pPr>
        <w:pStyle w:val="5"/>
        <w:ind w:firstLine="482" w:firstLineChars="200"/>
        <w:rPr>
          <w:rFonts w:cs="宋体"/>
          <w:b/>
          <w:color w:val="auto"/>
          <w:sz w:val="24"/>
          <w:highlight w:val="none"/>
        </w:rPr>
      </w:pPr>
      <w:bookmarkStart w:id="145" w:name="_Toc1810"/>
      <w:bookmarkStart w:id="146" w:name="_Toc25914"/>
      <w:bookmarkStart w:id="147" w:name="_Toc285722713"/>
      <w:bookmarkStart w:id="148" w:name="_Toc277084871"/>
      <w:bookmarkStart w:id="149" w:name="_Toc10242"/>
      <w:r>
        <w:rPr>
          <w:rFonts w:hint="eastAsia" w:cs="宋体"/>
          <w:b/>
          <w:color w:val="auto"/>
          <w:sz w:val="24"/>
          <w:highlight w:val="none"/>
        </w:rPr>
        <w:t>一、采购合同（格式）</w:t>
      </w:r>
      <w:bookmarkEnd w:id="145"/>
      <w:bookmarkEnd w:id="146"/>
      <w:bookmarkEnd w:id="147"/>
      <w:bookmarkEnd w:id="148"/>
      <w:bookmarkEnd w:id="149"/>
    </w:p>
    <w:p w14:paraId="7221902D">
      <w:pPr>
        <w:spacing w:line="360" w:lineRule="auto"/>
        <w:jc w:val="center"/>
        <w:rPr>
          <w:rFonts w:ascii="宋体" w:hAnsi="宋体" w:cs="宋体"/>
          <w:b/>
          <w:color w:val="auto"/>
          <w:sz w:val="44"/>
          <w:highlight w:val="none"/>
        </w:rPr>
      </w:pPr>
      <w:r>
        <w:rPr>
          <w:rFonts w:hint="eastAsia" w:ascii="宋体" w:hAnsi="宋体" w:cs="宋体"/>
          <w:b/>
          <w:color w:val="auto"/>
          <w:sz w:val="44"/>
          <w:highlight w:val="none"/>
        </w:rPr>
        <w:t>重庆工商大学采购合同</w:t>
      </w:r>
    </w:p>
    <w:p w14:paraId="0CA51273">
      <w:pPr>
        <w:spacing w:line="360" w:lineRule="auto"/>
        <w:jc w:val="center"/>
        <w:rPr>
          <w:rFonts w:ascii="宋体" w:hAnsi="宋体" w:cs="宋体"/>
          <w:color w:val="auto"/>
          <w:highlight w:val="none"/>
        </w:rPr>
      </w:pPr>
      <w:r>
        <w:rPr>
          <w:rFonts w:hint="eastAsia" w:ascii="宋体" w:hAnsi="宋体" w:cs="宋体"/>
          <w:color w:val="auto"/>
          <w:highlight w:val="none"/>
        </w:rPr>
        <w:t>（项目名称：    ）</w:t>
      </w:r>
    </w:p>
    <w:p w14:paraId="33C1823F">
      <w:pPr>
        <w:spacing w:line="360" w:lineRule="auto"/>
        <w:jc w:val="center"/>
        <w:rPr>
          <w:rFonts w:ascii="宋体" w:hAnsi="宋体" w:cs="宋体"/>
          <w:color w:val="auto"/>
          <w:highlight w:val="none"/>
        </w:rPr>
      </w:pPr>
      <w:r>
        <w:rPr>
          <w:rFonts w:hint="eastAsia" w:ascii="宋体" w:hAnsi="宋体" w:cs="宋体"/>
          <w:color w:val="auto"/>
          <w:highlight w:val="none"/>
        </w:rPr>
        <w:t>（项目编号：     ）</w:t>
      </w:r>
    </w:p>
    <w:p w14:paraId="21AE74C5">
      <w:pPr>
        <w:spacing w:line="360" w:lineRule="auto"/>
        <w:rPr>
          <w:rFonts w:ascii="宋体" w:hAnsi="宋体" w:cs="宋体"/>
          <w:color w:val="auto"/>
          <w:sz w:val="24"/>
          <w:highlight w:val="none"/>
        </w:rPr>
      </w:pPr>
      <w:r>
        <w:rPr>
          <w:rFonts w:hint="eastAsia" w:ascii="宋体" w:hAnsi="宋体" w:cs="宋体"/>
          <w:color w:val="auto"/>
          <w:sz w:val="24"/>
          <w:highlight w:val="none"/>
        </w:rPr>
        <w:t>甲方（需方）：___________________________      计价单位：____________</w:t>
      </w:r>
    </w:p>
    <w:p w14:paraId="3CC260CA">
      <w:pPr>
        <w:spacing w:line="360" w:lineRule="auto"/>
        <w:rPr>
          <w:rFonts w:ascii="宋体" w:hAnsi="宋体" w:cs="宋体"/>
          <w:color w:val="auto"/>
          <w:sz w:val="24"/>
          <w:highlight w:val="none"/>
        </w:rPr>
      </w:pPr>
      <w:r>
        <w:rPr>
          <w:rFonts w:hint="eastAsia" w:ascii="宋体" w:hAnsi="宋体" w:cs="宋体"/>
          <w:color w:val="auto"/>
          <w:sz w:val="24"/>
          <w:highlight w:val="none"/>
        </w:rPr>
        <w:t>乙方（供方）：___________________________      计量单位：_____________</w:t>
      </w:r>
    </w:p>
    <w:p w14:paraId="0807FA35">
      <w:pPr>
        <w:spacing w:line="360" w:lineRule="auto"/>
        <w:rPr>
          <w:rFonts w:ascii="宋体" w:hAnsi="宋体" w:cs="宋体"/>
          <w:color w:val="auto"/>
          <w:sz w:val="24"/>
          <w:highlight w:val="none"/>
        </w:rPr>
      </w:pPr>
    </w:p>
    <w:p w14:paraId="3516680B">
      <w:pPr>
        <w:spacing w:line="360" w:lineRule="auto"/>
        <w:rPr>
          <w:rFonts w:ascii="宋体" w:hAnsi="宋体" w:cs="宋体"/>
          <w:color w:val="auto"/>
          <w:sz w:val="24"/>
          <w:highlight w:val="none"/>
        </w:rPr>
      </w:pPr>
      <w:r>
        <w:rPr>
          <w:rFonts w:hint="eastAsia" w:ascii="宋体" w:hAnsi="宋体" w:cs="宋体"/>
          <w:color w:val="auto"/>
          <w:sz w:val="24"/>
          <w:highlight w:val="none"/>
        </w:rPr>
        <w:t>经双方协商一致，达成以下购销合同：</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448"/>
        <w:gridCol w:w="1984"/>
        <w:gridCol w:w="1559"/>
        <w:gridCol w:w="1567"/>
        <w:gridCol w:w="15"/>
      </w:tblGrid>
      <w:tr w14:paraId="12C0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3071" w:type="dxa"/>
            <w:vAlign w:val="center"/>
          </w:tcPr>
          <w:p w14:paraId="37A24EF4">
            <w:pPr>
              <w:spacing w:line="24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984" w:type="dxa"/>
            <w:vAlign w:val="center"/>
          </w:tcPr>
          <w:p w14:paraId="68BBC220">
            <w:pPr>
              <w:spacing w:line="24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2432" w:type="dxa"/>
            <w:gridSpan w:val="2"/>
            <w:vAlign w:val="center"/>
          </w:tcPr>
          <w:p w14:paraId="06133D84">
            <w:pPr>
              <w:spacing w:line="24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总价</w:t>
            </w:r>
          </w:p>
        </w:tc>
        <w:tc>
          <w:tcPr>
            <w:tcW w:w="1559" w:type="dxa"/>
            <w:vAlign w:val="center"/>
          </w:tcPr>
          <w:p w14:paraId="2B2B960B">
            <w:pPr>
              <w:spacing w:line="24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服务时间</w:t>
            </w:r>
          </w:p>
        </w:tc>
        <w:tc>
          <w:tcPr>
            <w:tcW w:w="1567" w:type="dxa"/>
            <w:vAlign w:val="center"/>
          </w:tcPr>
          <w:p w14:paraId="4227FA77">
            <w:pPr>
              <w:spacing w:line="24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服务地点</w:t>
            </w:r>
          </w:p>
        </w:tc>
      </w:tr>
      <w:tr w14:paraId="2117F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7BEB3AD0">
            <w:pPr>
              <w:spacing w:line="240" w:lineRule="atLeast"/>
              <w:jc w:val="center"/>
              <w:rPr>
                <w:rFonts w:ascii="宋体" w:hAnsi="宋体" w:cs="宋体"/>
                <w:color w:val="auto"/>
                <w:sz w:val="24"/>
                <w:szCs w:val="24"/>
                <w:highlight w:val="none"/>
              </w:rPr>
            </w:pPr>
          </w:p>
        </w:tc>
        <w:tc>
          <w:tcPr>
            <w:tcW w:w="984" w:type="dxa"/>
            <w:vAlign w:val="center"/>
          </w:tcPr>
          <w:p w14:paraId="0A3C47A9">
            <w:pPr>
              <w:spacing w:line="240" w:lineRule="atLeast"/>
              <w:jc w:val="center"/>
              <w:rPr>
                <w:rFonts w:ascii="宋体" w:hAnsi="宋体" w:cs="宋体"/>
                <w:color w:val="auto"/>
                <w:sz w:val="24"/>
                <w:szCs w:val="24"/>
                <w:highlight w:val="none"/>
              </w:rPr>
            </w:pPr>
          </w:p>
        </w:tc>
        <w:tc>
          <w:tcPr>
            <w:tcW w:w="2432" w:type="dxa"/>
            <w:gridSpan w:val="2"/>
            <w:vAlign w:val="center"/>
          </w:tcPr>
          <w:p w14:paraId="4595C8E1">
            <w:pPr>
              <w:spacing w:line="240" w:lineRule="atLeast"/>
              <w:jc w:val="center"/>
              <w:rPr>
                <w:rFonts w:ascii="宋体" w:hAnsi="宋体" w:cs="宋体"/>
                <w:color w:val="auto"/>
                <w:sz w:val="24"/>
                <w:szCs w:val="24"/>
                <w:highlight w:val="none"/>
              </w:rPr>
            </w:pPr>
          </w:p>
        </w:tc>
        <w:tc>
          <w:tcPr>
            <w:tcW w:w="1559" w:type="dxa"/>
            <w:vAlign w:val="center"/>
          </w:tcPr>
          <w:p w14:paraId="1E483934">
            <w:pPr>
              <w:spacing w:line="240" w:lineRule="atLeast"/>
              <w:jc w:val="center"/>
              <w:rPr>
                <w:rFonts w:ascii="宋体" w:hAnsi="宋体" w:cs="宋体"/>
                <w:color w:val="auto"/>
                <w:sz w:val="24"/>
                <w:szCs w:val="24"/>
                <w:highlight w:val="none"/>
              </w:rPr>
            </w:pPr>
          </w:p>
        </w:tc>
        <w:tc>
          <w:tcPr>
            <w:tcW w:w="1567" w:type="dxa"/>
            <w:vAlign w:val="center"/>
          </w:tcPr>
          <w:p w14:paraId="53C75515">
            <w:pPr>
              <w:spacing w:line="240" w:lineRule="atLeast"/>
              <w:jc w:val="center"/>
              <w:rPr>
                <w:rFonts w:ascii="宋体" w:hAnsi="宋体" w:cs="宋体"/>
                <w:color w:val="auto"/>
                <w:sz w:val="24"/>
                <w:szCs w:val="24"/>
                <w:highlight w:val="none"/>
              </w:rPr>
            </w:pPr>
          </w:p>
        </w:tc>
      </w:tr>
      <w:tr w14:paraId="23D1A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6"/>
            <w:vAlign w:val="center"/>
          </w:tcPr>
          <w:p w14:paraId="2F106A7A">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合计人民币（小写）：</w:t>
            </w:r>
          </w:p>
        </w:tc>
      </w:tr>
      <w:tr w14:paraId="4225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6"/>
            <w:vAlign w:val="center"/>
          </w:tcPr>
          <w:p w14:paraId="3D1AA47D">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合计人民币（大写）：</w:t>
            </w:r>
          </w:p>
        </w:tc>
      </w:tr>
      <w:tr w14:paraId="60AF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6"/>
          </w:tcPr>
          <w:p w14:paraId="265331EF">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一、服务要求</w:t>
            </w:r>
          </w:p>
        </w:tc>
      </w:tr>
      <w:tr w14:paraId="0EC9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7"/>
          </w:tcPr>
          <w:p w14:paraId="42A35391">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二、考核方式：</w:t>
            </w:r>
          </w:p>
        </w:tc>
      </w:tr>
      <w:tr w14:paraId="07D1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7"/>
          </w:tcPr>
          <w:p w14:paraId="692C0B27">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三、付款方式：</w:t>
            </w:r>
          </w:p>
          <w:p w14:paraId="59B4CAB5">
            <w:pPr>
              <w:pStyle w:val="10"/>
              <w:spacing w:line="240" w:lineRule="atLeast"/>
              <w:rPr>
                <w:rFonts w:ascii="宋体" w:hAnsi="宋体" w:cs="宋体"/>
                <w:color w:val="auto"/>
                <w:sz w:val="24"/>
                <w:szCs w:val="24"/>
                <w:highlight w:val="none"/>
              </w:rPr>
            </w:pPr>
          </w:p>
        </w:tc>
      </w:tr>
      <w:tr w14:paraId="42D1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7"/>
          </w:tcPr>
          <w:p w14:paraId="0637E1F2">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四、履约保证金：</w:t>
            </w:r>
          </w:p>
          <w:p w14:paraId="28E3B631">
            <w:pPr>
              <w:spacing w:line="240" w:lineRule="atLeast"/>
              <w:ind w:firstLine="480" w:firstLineChars="200"/>
              <w:rPr>
                <w:rFonts w:ascii="宋体" w:hAnsi="宋体" w:cs="宋体"/>
                <w:color w:val="auto"/>
                <w:sz w:val="24"/>
                <w:szCs w:val="24"/>
                <w:highlight w:val="none"/>
              </w:rPr>
            </w:pPr>
          </w:p>
        </w:tc>
      </w:tr>
      <w:tr w14:paraId="60ED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9628" w:type="dxa"/>
            <w:gridSpan w:val="7"/>
          </w:tcPr>
          <w:p w14:paraId="6E00F0C3">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五、其他约定事项：</w:t>
            </w:r>
          </w:p>
          <w:p w14:paraId="3521666C">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1.招标文件及其澄清文件、投标文件和承诺是本合同不可分割的部分。</w:t>
            </w:r>
          </w:p>
          <w:p w14:paraId="5D630131">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2.本合同如发生争议由双方协商解决，协商不成向需方所在人民法院提请诉讼。</w:t>
            </w:r>
          </w:p>
          <w:p w14:paraId="3A31AB57">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3.本合同一式陆份，需方肆份，供方贰份，具同等法律效力。</w:t>
            </w:r>
          </w:p>
          <w:p w14:paraId="1E86E9B8">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4.需方在中华人民共和国境内使用供方提供的货物及服务时免受第三方提出的侵犯其专利权或其它知识产权的起诉。如果第三方提出侵权指控，供方应承担由此而引起的一切法律责任和费用。</w:t>
            </w:r>
          </w:p>
          <w:p w14:paraId="38C10BC4">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5.其他：</w:t>
            </w:r>
          </w:p>
        </w:tc>
      </w:tr>
      <w:tr w14:paraId="0DF0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0" w:hRule="atLeast"/>
        </w:trPr>
        <w:tc>
          <w:tcPr>
            <w:tcW w:w="4503" w:type="dxa"/>
            <w:gridSpan w:val="3"/>
          </w:tcPr>
          <w:p w14:paraId="044FF4EB">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需方：重庆工商大学</w:t>
            </w:r>
          </w:p>
          <w:p w14:paraId="0A738C01">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地址：重庆市南岸区学府大道19号</w:t>
            </w:r>
          </w:p>
          <w:p w14:paraId="0DCEB16C">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联系电话：023-62769774</w:t>
            </w:r>
          </w:p>
          <w:p w14:paraId="4D793268">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开户银行：工行重庆南岸学府支行</w:t>
            </w:r>
          </w:p>
          <w:p w14:paraId="3D8FA622">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账号：3100027609024907533</w:t>
            </w:r>
          </w:p>
          <w:p w14:paraId="4AE544D6">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纳税人识别号；125000007428748822</w:t>
            </w:r>
          </w:p>
          <w:p w14:paraId="588EA174">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法定代表人：</w:t>
            </w:r>
          </w:p>
          <w:p w14:paraId="72D4C591">
            <w:pPr>
              <w:spacing w:line="240" w:lineRule="atLeast"/>
              <w:rPr>
                <w:rFonts w:ascii="宋体" w:hAnsi="宋体" w:cs="宋体"/>
                <w:color w:val="auto"/>
                <w:sz w:val="24"/>
                <w:szCs w:val="24"/>
                <w:highlight w:val="none"/>
              </w:rPr>
            </w:pPr>
            <w:r>
              <w:rPr>
                <w:rFonts w:hint="eastAsia" w:cs="方正仿宋_GBK" w:asciiTheme="minorEastAsia" w:hAnsiTheme="minorEastAsia" w:eastAsiaTheme="minorEastAsia"/>
                <w:color w:val="auto"/>
                <w:sz w:val="24"/>
                <w:szCs w:val="24"/>
                <w:highlight w:val="none"/>
              </w:rPr>
              <w:t>授权代表：</w:t>
            </w:r>
          </w:p>
        </w:tc>
        <w:tc>
          <w:tcPr>
            <w:tcW w:w="5125" w:type="dxa"/>
            <w:gridSpan w:val="4"/>
          </w:tcPr>
          <w:p w14:paraId="67AC3120">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供方：</w:t>
            </w:r>
          </w:p>
          <w:p w14:paraId="53E596BA">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地址：</w:t>
            </w:r>
          </w:p>
          <w:p w14:paraId="29D4524F">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联系电话：</w:t>
            </w:r>
          </w:p>
          <w:p w14:paraId="51667A63">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开户银行：</w:t>
            </w:r>
          </w:p>
          <w:p w14:paraId="63721210">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账号：</w:t>
            </w:r>
          </w:p>
          <w:p w14:paraId="2A2BD172">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纳税人识别号：</w:t>
            </w:r>
          </w:p>
          <w:p w14:paraId="6E0ECFE3">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法定代表人：</w:t>
            </w:r>
          </w:p>
          <w:p w14:paraId="494A30A0">
            <w:pPr>
              <w:spacing w:line="276" w:lineRule="auto"/>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授权代表：</w:t>
            </w:r>
          </w:p>
          <w:p w14:paraId="3E383906">
            <w:pPr>
              <w:widowControl/>
              <w:spacing w:line="240" w:lineRule="atLeast"/>
              <w:jc w:val="left"/>
              <w:rPr>
                <w:rFonts w:ascii="宋体" w:hAnsi="宋体" w:cs="宋体"/>
                <w:color w:val="auto"/>
                <w:sz w:val="24"/>
                <w:szCs w:val="24"/>
                <w:highlight w:val="none"/>
              </w:rPr>
            </w:pPr>
          </w:p>
        </w:tc>
      </w:tr>
      <w:tr w14:paraId="67EC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7"/>
          </w:tcPr>
          <w:p w14:paraId="5E4FE0C5">
            <w:pPr>
              <w:spacing w:line="240" w:lineRule="atLeast"/>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396EC9D2">
            <w:pPr>
              <w:spacing w:line="240" w:lineRule="atLeast"/>
              <w:rPr>
                <w:rFonts w:ascii="宋体" w:hAnsi="宋体" w:cs="宋体"/>
                <w:color w:val="auto"/>
                <w:sz w:val="24"/>
                <w:szCs w:val="24"/>
                <w:highlight w:val="none"/>
              </w:rPr>
            </w:pPr>
          </w:p>
          <w:p w14:paraId="6A415879">
            <w:pPr>
              <w:spacing w:line="240" w:lineRule="atLeast"/>
              <w:rPr>
                <w:rFonts w:ascii="宋体" w:hAnsi="宋体" w:cs="宋体"/>
                <w:color w:val="auto"/>
                <w:sz w:val="24"/>
                <w:szCs w:val="24"/>
                <w:highlight w:val="none"/>
              </w:rPr>
            </w:pPr>
          </w:p>
        </w:tc>
      </w:tr>
    </w:tbl>
    <w:p w14:paraId="680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签约时间：           年   月   日      签约地点：</w:t>
      </w:r>
    </w:p>
    <w:p w14:paraId="0D165AE6">
      <w:pPr>
        <w:rPr>
          <w:color w:val="auto"/>
          <w:highlight w:val="none"/>
        </w:rPr>
      </w:pPr>
      <w:r>
        <w:rPr>
          <w:color w:val="auto"/>
          <w:highlight w:val="none"/>
        </w:rPr>
        <w:br w:type="page"/>
      </w:r>
    </w:p>
    <w:p w14:paraId="2DA9DC48">
      <w:pPr>
        <w:pStyle w:val="5"/>
        <w:ind w:firstLine="482" w:firstLineChars="200"/>
        <w:rPr>
          <w:rFonts w:cs="宋体"/>
          <w:b/>
          <w:color w:val="auto"/>
          <w:sz w:val="24"/>
          <w:highlight w:val="none"/>
        </w:rPr>
      </w:pPr>
      <w:bookmarkStart w:id="150" w:name="_Toc27651"/>
      <w:bookmarkStart w:id="151" w:name="_Toc7929"/>
      <w:r>
        <w:rPr>
          <w:rFonts w:hint="eastAsia" w:cs="宋体"/>
          <w:b/>
          <w:color w:val="auto"/>
          <w:sz w:val="24"/>
          <w:highlight w:val="none"/>
        </w:rPr>
        <w:t>二、采购廉洁协议格式</w:t>
      </w:r>
      <w:bookmarkEnd w:id="150"/>
      <w:bookmarkEnd w:id="151"/>
    </w:p>
    <w:p w14:paraId="68748EDF">
      <w:pPr>
        <w:snapToGrid w:val="0"/>
        <w:spacing w:line="276" w:lineRule="auto"/>
        <w:ind w:firstLine="643" w:firstLineChars="200"/>
        <w:jc w:val="center"/>
        <w:rPr>
          <w:rFonts w:cs="方正仿宋_GBK" w:asciiTheme="minorEastAsia" w:hAnsiTheme="minorEastAsia" w:eastAsiaTheme="minorEastAsia"/>
          <w:b/>
          <w:bCs/>
          <w:color w:val="auto"/>
          <w:kern w:val="0"/>
          <w:sz w:val="32"/>
          <w:szCs w:val="32"/>
          <w:highlight w:val="none"/>
        </w:rPr>
      </w:pPr>
      <w:bookmarkStart w:id="152" w:name="_Toc23432"/>
      <w:bookmarkStart w:id="153" w:name="_Toc32017"/>
      <w:r>
        <w:rPr>
          <w:rFonts w:hint="eastAsia" w:cs="方正仿宋_GBK" w:asciiTheme="minorEastAsia" w:hAnsiTheme="minorEastAsia" w:eastAsiaTheme="minorEastAsia"/>
          <w:b/>
          <w:bCs/>
          <w:color w:val="auto"/>
          <w:kern w:val="0"/>
          <w:sz w:val="32"/>
          <w:szCs w:val="32"/>
          <w:highlight w:val="none"/>
        </w:rPr>
        <w:t>重庆工商大学货物服务类采购廉洁协议</w:t>
      </w:r>
    </w:p>
    <w:p w14:paraId="5A99DD3F">
      <w:pPr>
        <w:spacing w:line="276" w:lineRule="auto"/>
        <w:ind w:firstLine="480" w:firstLineChars="200"/>
        <w:jc w:val="center"/>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（项目名称：）</w:t>
      </w:r>
    </w:p>
    <w:p w14:paraId="5BC9AABA">
      <w:pPr>
        <w:spacing w:line="276" w:lineRule="auto"/>
        <w:ind w:firstLine="480" w:firstLineChars="200"/>
        <w:jc w:val="center"/>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（采购项目编号：）</w:t>
      </w:r>
    </w:p>
    <w:p w14:paraId="62A7908A">
      <w:pPr>
        <w:spacing w:line="276" w:lineRule="auto"/>
        <w:rPr>
          <w:rFonts w:cs="方正仿宋_GBK" w:asciiTheme="minorEastAsia" w:hAnsiTheme="minorEastAsia" w:eastAsiaTheme="minorEastAsia"/>
          <w:color w:val="auto"/>
          <w:sz w:val="24"/>
          <w:szCs w:val="24"/>
          <w:highlight w:val="none"/>
        </w:rPr>
      </w:pPr>
    </w:p>
    <w:p w14:paraId="5160D859">
      <w:pPr>
        <w:spacing w:line="276" w:lineRule="auto"/>
        <w:rPr>
          <w:rFonts w:cs="方正仿宋_GBK" w:asciiTheme="minorEastAsia" w:hAnsiTheme="minorEastAsia" w:eastAsiaTheme="minorEastAsia"/>
          <w:bCs/>
          <w:color w:val="auto"/>
          <w:sz w:val="21"/>
          <w:szCs w:val="21"/>
          <w:highlight w:val="none"/>
          <w:u w:val="single"/>
        </w:rPr>
      </w:pPr>
      <w:r>
        <w:rPr>
          <w:rFonts w:hint="eastAsia" w:cs="方正仿宋_GBK" w:asciiTheme="minorEastAsia" w:hAnsiTheme="minorEastAsia" w:eastAsiaTheme="minorEastAsia"/>
          <w:color w:val="auto"/>
          <w:sz w:val="24"/>
          <w:szCs w:val="24"/>
          <w:highlight w:val="none"/>
        </w:rPr>
        <w:t>需方：</w:t>
      </w:r>
      <w:r>
        <w:rPr>
          <w:rFonts w:hint="eastAsia" w:cs="方正仿宋_GBK" w:asciiTheme="minorEastAsia" w:hAnsiTheme="minorEastAsia" w:eastAsiaTheme="minorEastAsia"/>
          <w:color w:val="auto"/>
          <w:sz w:val="24"/>
          <w:szCs w:val="24"/>
          <w:highlight w:val="none"/>
          <w:u w:val="single"/>
        </w:rPr>
        <w:t>重庆工商大学</w:t>
      </w:r>
      <w:r>
        <w:rPr>
          <w:rFonts w:hint="eastAsia" w:cs="方正仿宋_GBK" w:asciiTheme="minorEastAsia" w:hAnsiTheme="minorEastAsia" w:eastAsiaTheme="minorEastAsia"/>
          <w:color w:val="auto"/>
          <w:sz w:val="24"/>
          <w:szCs w:val="24"/>
          <w:highlight w:val="none"/>
        </w:rPr>
        <w:t xml:space="preserve">                            供方：</w:t>
      </w:r>
      <w:r>
        <w:rPr>
          <w:rFonts w:hint="eastAsia" w:cs="方正仿宋_GBK" w:asciiTheme="minorEastAsia" w:hAnsiTheme="minorEastAsia" w:eastAsiaTheme="minorEastAsia"/>
          <w:color w:val="auto"/>
          <w:sz w:val="24"/>
          <w:szCs w:val="24"/>
          <w:highlight w:val="none"/>
          <w:u w:val="single"/>
        </w:rPr>
        <w:t xml:space="preserve">               </w:t>
      </w:r>
    </w:p>
    <w:p w14:paraId="0B589C7C">
      <w:pPr>
        <w:spacing w:line="276" w:lineRule="auto"/>
        <w:ind w:firstLine="480" w:firstLineChars="200"/>
        <w:rPr>
          <w:rFonts w:cs="方正仿宋_GBK" w:asciiTheme="minorEastAsia" w:hAnsiTheme="minorEastAsia" w:eastAsiaTheme="minorEastAsia"/>
          <w:color w:val="auto"/>
          <w:sz w:val="24"/>
          <w:szCs w:val="24"/>
          <w:highlight w:val="none"/>
        </w:rPr>
      </w:pPr>
    </w:p>
    <w:p w14:paraId="617805D4">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54848C7A">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（一）供、需双方应当自觉遵守国家有关廉政建设的法律法规，杜绝商业贿赂和不正当竞争。</w:t>
      </w:r>
    </w:p>
    <w:p w14:paraId="7C0E04D3">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40DC110F">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55873068">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（四）需方需求部门应加强采购项目的后续履约管理，做好到货验收，积极为供方进场履约提供相应保障，积极配合供方进行安装调试。</w:t>
      </w:r>
      <w:r>
        <w:rPr>
          <w:rFonts w:hint="eastAsia" w:cs="方正仿宋_GBK" w:asciiTheme="minorEastAsia" w:hAnsiTheme="minorEastAsia" w:eastAsiaTheme="minorEastAsia"/>
          <w:color w:val="auto"/>
          <w:sz w:val="24"/>
          <w:szCs w:val="24"/>
          <w:highlight w:val="none"/>
          <w:lang w:val="zh-TW"/>
        </w:rPr>
        <w:t>若到货产品品牌、型号、质量、样式及规格参数等与合同、采购文件的规定不符的，供方不得进行设备安装。</w:t>
      </w:r>
      <w:r>
        <w:rPr>
          <w:rFonts w:hint="eastAsia" w:cs="方正仿宋_GBK" w:asciiTheme="minorEastAsia" w:hAnsiTheme="minorEastAsia" w:eastAsiaTheme="minorEastAsia"/>
          <w:color w:val="auto"/>
          <w:sz w:val="24"/>
          <w:szCs w:val="24"/>
          <w:highlight w:val="none"/>
        </w:rPr>
        <w:t>需方资产管理部门或考核牵头部门应严格按照合同与招标（采购）文件内容进行验收或考核，双方不得出现未达到验收或考核条件弄虚作假以致验收考核虚假通过等情形。</w:t>
      </w:r>
    </w:p>
    <w:p w14:paraId="3E58FC51">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76D496E6">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（六）供方不得邀请需方相关人员及其近亲属参加宴请、健身和娱乐活动，不得赠送回扣、礼金、有价证券、贵重物品和好处费、感谢费等，不得代为报销应由需方或个人支付的费用。</w:t>
      </w:r>
    </w:p>
    <w:p w14:paraId="54ADEFD6">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2FD6CF5E">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（八）供、需双方均应分别加强对相关人员廉洁教育，强化人员法纪意识，杜绝行贿、受贿、索贿（变相索贿）等违法乱纪行为发生，坚守纪律红线、法律准线、道德底线、责任钢线。</w:t>
      </w:r>
    </w:p>
    <w:p w14:paraId="5EDE0ED5">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（九）需方相关人员包含但不限于需方需求部门、归口部门、考核牵头部门、采购部门、资产管理部门等相关人员。</w:t>
      </w:r>
    </w:p>
    <w:p w14:paraId="07EBD860">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（十）本协议作为采购合同的组成部分，具有同等法律效力。此协议一式叁份，需方贰份，供方壹份，自双方签字、盖章后生效。</w:t>
      </w:r>
    </w:p>
    <w:p w14:paraId="7DD889ED">
      <w:pPr>
        <w:tabs>
          <w:tab w:val="left" w:pos="5387"/>
        </w:tabs>
        <w:spacing w:line="276" w:lineRule="auto"/>
        <w:rPr>
          <w:rFonts w:cs="方正仿宋_GBK" w:asciiTheme="minorEastAsia" w:hAnsiTheme="minorEastAsia" w:eastAsiaTheme="minorEastAsia"/>
          <w:color w:val="auto"/>
          <w:sz w:val="24"/>
          <w:szCs w:val="24"/>
          <w:highlight w:val="none"/>
        </w:rPr>
      </w:pPr>
    </w:p>
    <w:tbl>
      <w:tblPr>
        <w:tblStyle w:val="19"/>
        <w:tblW w:w="9843" w:type="dxa"/>
        <w:jc w:val="center"/>
        <w:tblLayout w:type="autofit"/>
        <w:tblCellMar>
          <w:top w:w="0" w:type="dxa"/>
          <w:left w:w="108" w:type="dxa"/>
          <w:bottom w:w="0" w:type="dxa"/>
          <w:right w:w="108" w:type="dxa"/>
        </w:tblCellMar>
      </w:tblPr>
      <w:tblGrid>
        <w:gridCol w:w="5353"/>
        <w:gridCol w:w="4490"/>
      </w:tblGrid>
      <w:tr w14:paraId="4EDE632A">
        <w:tblPrEx>
          <w:tblCellMar>
            <w:top w:w="0" w:type="dxa"/>
            <w:left w:w="108" w:type="dxa"/>
            <w:bottom w:w="0" w:type="dxa"/>
            <w:right w:w="108" w:type="dxa"/>
          </w:tblCellMar>
        </w:tblPrEx>
        <w:trPr>
          <w:trHeight w:val="975" w:hRule="atLeast"/>
          <w:jc w:val="center"/>
        </w:trPr>
        <w:tc>
          <w:tcPr>
            <w:tcW w:w="5353" w:type="dxa"/>
          </w:tcPr>
          <w:p w14:paraId="77304BFF">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需方：重庆工商大学（盖章）</w:t>
            </w:r>
          </w:p>
          <w:p w14:paraId="12E05C11">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4438B757">
            <w:pPr>
              <w:tabs>
                <w:tab w:val="left" w:pos="5387"/>
              </w:tabs>
              <w:spacing w:line="276" w:lineRule="auto"/>
              <w:ind w:left="413" w:hanging="412" w:hangingChars="172"/>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color w:val="auto"/>
                <w:sz w:val="24"/>
                <w:szCs w:val="24"/>
                <w:highlight w:val="none"/>
              </w:rPr>
              <w:t>供方：（盖章）</w:t>
            </w:r>
          </w:p>
        </w:tc>
      </w:tr>
      <w:tr w14:paraId="54B44804">
        <w:tblPrEx>
          <w:tblCellMar>
            <w:top w:w="0" w:type="dxa"/>
            <w:left w:w="108" w:type="dxa"/>
            <w:bottom w:w="0" w:type="dxa"/>
            <w:right w:w="108" w:type="dxa"/>
          </w:tblCellMar>
        </w:tblPrEx>
        <w:trPr>
          <w:trHeight w:val="960" w:hRule="atLeast"/>
          <w:jc w:val="center"/>
        </w:trPr>
        <w:tc>
          <w:tcPr>
            <w:tcW w:w="5353" w:type="dxa"/>
          </w:tcPr>
          <w:p w14:paraId="448F24F0">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采购与招投标管理中心（签字）：</w:t>
            </w:r>
          </w:p>
          <w:p w14:paraId="4288ED7E">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1A0BE09B">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法定代表人（签字）：</w:t>
            </w:r>
          </w:p>
        </w:tc>
      </w:tr>
      <w:tr w14:paraId="4A12E762">
        <w:tblPrEx>
          <w:tblCellMar>
            <w:top w:w="0" w:type="dxa"/>
            <w:left w:w="108" w:type="dxa"/>
            <w:bottom w:w="0" w:type="dxa"/>
            <w:right w:w="108" w:type="dxa"/>
          </w:tblCellMar>
        </w:tblPrEx>
        <w:trPr>
          <w:trHeight w:val="960" w:hRule="atLeast"/>
          <w:jc w:val="center"/>
        </w:trPr>
        <w:tc>
          <w:tcPr>
            <w:tcW w:w="5353" w:type="dxa"/>
          </w:tcPr>
          <w:p w14:paraId="233B93A7">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需求部门（签字）：</w:t>
            </w:r>
          </w:p>
          <w:p w14:paraId="3F9C2B1C">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652EA8E9">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r>
      <w:tr w14:paraId="63012967">
        <w:tblPrEx>
          <w:tblCellMar>
            <w:top w:w="0" w:type="dxa"/>
            <w:left w:w="108" w:type="dxa"/>
            <w:bottom w:w="0" w:type="dxa"/>
            <w:right w:w="108" w:type="dxa"/>
          </w:tblCellMar>
        </w:tblPrEx>
        <w:trPr>
          <w:trHeight w:val="960" w:hRule="atLeast"/>
          <w:jc w:val="center"/>
        </w:trPr>
        <w:tc>
          <w:tcPr>
            <w:tcW w:w="5353" w:type="dxa"/>
          </w:tcPr>
          <w:p w14:paraId="5243744A">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考核牵头部门（签字）：</w:t>
            </w:r>
          </w:p>
          <w:p w14:paraId="00D124FC">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728492D0">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r>
    </w:tbl>
    <w:p w14:paraId="3E9E32C1">
      <w:pPr>
        <w:spacing w:line="500" w:lineRule="exact"/>
        <w:ind w:firstLine="480" w:firstLineChars="200"/>
        <w:rPr>
          <w:rFonts w:cs="方正仿宋_GBK" w:asciiTheme="minorEastAsia" w:hAnsiTheme="minorEastAsia" w:eastAsiaTheme="minorEastAsia"/>
          <w:color w:val="auto"/>
          <w:sz w:val="24"/>
          <w:highlight w:val="none"/>
        </w:rPr>
      </w:pPr>
    </w:p>
    <w:p w14:paraId="560DE3E3">
      <w:pPr>
        <w:pStyle w:val="4"/>
        <w:spacing w:before="0" w:beforeLines="0" w:after="0" w:afterLines="0" w:line="360" w:lineRule="auto"/>
        <w:rPr>
          <w:rFonts w:ascii="宋体" w:hAnsi="宋体" w:eastAsia="宋体" w:cs="宋体"/>
          <w:bCs/>
          <w:color w:val="auto"/>
          <w:highlight w:val="none"/>
        </w:rPr>
      </w:pPr>
      <w:r>
        <w:rPr>
          <w:rFonts w:hint="eastAsia" w:cs="方正仿宋_GBK" w:asciiTheme="minorEastAsia" w:hAnsiTheme="minorEastAsia" w:eastAsiaTheme="minorEastAsia"/>
          <w:color w:val="auto"/>
          <w:sz w:val="24"/>
          <w:highlight w:val="none"/>
        </w:rPr>
        <w:br w:type="page"/>
      </w:r>
      <w:bookmarkStart w:id="154" w:name="_Toc18130"/>
      <w:r>
        <w:rPr>
          <w:rFonts w:hint="eastAsia" w:ascii="宋体" w:hAnsi="宋体" w:eastAsia="宋体" w:cs="宋体"/>
          <w:bCs/>
          <w:color w:val="auto"/>
          <w:highlight w:val="none"/>
        </w:rPr>
        <w:t>第七篇  投标文件格式</w:t>
      </w:r>
      <w:bookmarkEnd w:id="152"/>
      <w:bookmarkEnd w:id="153"/>
      <w:bookmarkEnd w:id="154"/>
    </w:p>
    <w:p w14:paraId="6DEC6A22">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一、经济文件</w:t>
      </w:r>
    </w:p>
    <w:p w14:paraId="21B07F0F">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（一）开标一览表</w:t>
      </w:r>
    </w:p>
    <w:p w14:paraId="0B071AB9">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（二）分项报价明细表</w:t>
      </w:r>
    </w:p>
    <w:p w14:paraId="2A98EE7F">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二、服务部分</w:t>
      </w:r>
    </w:p>
    <w:p w14:paraId="480235F5">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（一）服务方案（格式自定）</w:t>
      </w:r>
    </w:p>
    <w:p w14:paraId="17DCDE35">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（二）服务响应偏离表</w:t>
      </w:r>
    </w:p>
    <w:p w14:paraId="0F4567CE">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三、商务部分</w:t>
      </w:r>
    </w:p>
    <w:p w14:paraId="74AC076D">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（一）投标函（格式）</w:t>
      </w:r>
    </w:p>
    <w:p w14:paraId="06A5C64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（二）商务响应偏离表</w:t>
      </w:r>
    </w:p>
    <w:p w14:paraId="20B45801">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（三）其它优惠承诺（格式自定）</w:t>
      </w:r>
    </w:p>
    <w:p w14:paraId="41A0D968">
      <w:pPr>
        <w:tabs>
          <w:tab w:val="left" w:pos="1764"/>
        </w:tabs>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四、其他</w:t>
      </w:r>
    </w:p>
    <w:p w14:paraId="52C149B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其他与项目有关的资料（自附）</w:t>
      </w:r>
    </w:p>
    <w:p w14:paraId="5C35D0A3">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五、资格文件</w:t>
      </w:r>
    </w:p>
    <w:p w14:paraId="1791F148">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（一）企业法人营业执照（副本）复印件</w:t>
      </w:r>
    </w:p>
    <w:p w14:paraId="54E2187E">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（二）法定代表人身份证明书（格式）</w:t>
      </w:r>
    </w:p>
    <w:p w14:paraId="00D2829A">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（三）法定代表人授权委托书（格式）</w:t>
      </w:r>
    </w:p>
    <w:p w14:paraId="26E905D8">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（四）基本资格条件承诺函（格式）</w:t>
      </w:r>
    </w:p>
    <w:p w14:paraId="5491F647">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（五）特定资格条件证书或证明文件</w:t>
      </w:r>
    </w:p>
    <w:p w14:paraId="7EA1D9B8">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说明：投标人按“多证合一”登记制度办理营业执照的，税务登记证（副本）和社会保险登记证以投标人所提供的法人营业执照（副本）复印件为准。</w:t>
      </w:r>
    </w:p>
    <w:p w14:paraId="222A5AC9">
      <w:pPr>
        <w:pStyle w:val="5"/>
        <w:pageBreakBefore/>
        <w:ind w:firstLine="562" w:firstLineChars="200"/>
        <w:rPr>
          <w:rFonts w:cs="宋体"/>
          <w:b/>
          <w:color w:val="auto"/>
          <w:szCs w:val="28"/>
          <w:highlight w:val="none"/>
        </w:rPr>
      </w:pPr>
      <w:bookmarkStart w:id="155" w:name="_Toc15650"/>
      <w:bookmarkStart w:id="156" w:name="_Toc20972"/>
      <w:bookmarkStart w:id="157" w:name="_Toc429584884"/>
      <w:bookmarkStart w:id="158" w:name="_Toc3174"/>
      <w:r>
        <w:rPr>
          <w:rFonts w:hint="eastAsia" w:cs="宋体"/>
          <w:b/>
          <w:color w:val="auto"/>
          <w:szCs w:val="28"/>
          <w:highlight w:val="none"/>
        </w:rPr>
        <w:t>一、经济文件</w:t>
      </w:r>
      <w:bookmarkEnd w:id="155"/>
      <w:bookmarkEnd w:id="156"/>
      <w:bookmarkEnd w:id="157"/>
      <w:bookmarkEnd w:id="158"/>
    </w:p>
    <w:p w14:paraId="4DE99D12">
      <w:pPr>
        <w:snapToGrid w:val="0"/>
        <w:spacing w:line="360" w:lineRule="auto"/>
        <w:jc w:val="center"/>
        <w:rPr>
          <w:rFonts w:ascii="宋体" w:hAnsi="宋体" w:cs="宋体"/>
          <w:color w:val="auto"/>
          <w:szCs w:val="36"/>
          <w:highlight w:val="none"/>
        </w:rPr>
      </w:pPr>
      <w:r>
        <w:rPr>
          <w:rFonts w:hint="eastAsia" w:ascii="宋体" w:hAnsi="宋体" w:cs="宋体"/>
          <w:color w:val="auto"/>
          <w:szCs w:val="36"/>
          <w:highlight w:val="none"/>
        </w:rPr>
        <w:t>（一）开标一览表</w:t>
      </w:r>
    </w:p>
    <w:p w14:paraId="163BA364">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14:paraId="08F803BB">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3080"/>
        <w:gridCol w:w="4760"/>
      </w:tblGrid>
      <w:tr w14:paraId="0C30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2DB3CC97">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投标人名称</w:t>
            </w:r>
          </w:p>
        </w:tc>
        <w:tc>
          <w:tcPr>
            <w:tcW w:w="7840" w:type="dxa"/>
            <w:gridSpan w:val="2"/>
            <w:vAlign w:val="center"/>
          </w:tcPr>
          <w:p w14:paraId="65BC8469">
            <w:pPr>
              <w:spacing w:line="360" w:lineRule="auto"/>
              <w:jc w:val="center"/>
              <w:rPr>
                <w:rFonts w:ascii="宋体" w:hAnsi="宋体" w:cs="宋体"/>
                <w:color w:val="auto"/>
                <w:sz w:val="21"/>
                <w:szCs w:val="28"/>
                <w:highlight w:val="none"/>
              </w:rPr>
            </w:pPr>
          </w:p>
        </w:tc>
      </w:tr>
      <w:tr w14:paraId="2922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88" w:type="dxa"/>
            <w:vAlign w:val="center"/>
          </w:tcPr>
          <w:p w14:paraId="3FD95B4F">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包号</w:t>
            </w:r>
          </w:p>
        </w:tc>
        <w:tc>
          <w:tcPr>
            <w:tcW w:w="3080" w:type="dxa"/>
            <w:vAlign w:val="center"/>
          </w:tcPr>
          <w:p w14:paraId="1090CB9B">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分包名称</w:t>
            </w:r>
          </w:p>
        </w:tc>
        <w:tc>
          <w:tcPr>
            <w:tcW w:w="4760" w:type="dxa"/>
            <w:vAlign w:val="center"/>
          </w:tcPr>
          <w:p w14:paraId="1DDFADFC">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投标折扣率（%）</w:t>
            </w:r>
          </w:p>
        </w:tc>
      </w:tr>
      <w:tr w14:paraId="4854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1788" w:type="dxa"/>
            <w:tcBorders>
              <w:bottom w:val="single" w:color="auto" w:sz="4" w:space="0"/>
            </w:tcBorders>
            <w:vAlign w:val="center"/>
          </w:tcPr>
          <w:p w14:paraId="286139F1">
            <w:pPr>
              <w:spacing w:line="360" w:lineRule="auto"/>
              <w:rPr>
                <w:rFonts w:ascii="宋体" w:hAnsi="宋体" w:cs="宋体"/>
                <w:color w:val="auto"/>
                <w:sz w:val="21"/>
                <w:szCs w:val="28"/>
                <w:highlight w:val="none"/>
              </w:rPr>
            </w:pPr>
          </w:p>
        </w:tc>
        <w:tc>
          <w:tcPr>
            <w:tcW w:w="3080" w:type="dxa"/>
            <w:tcBorders>
              <w:bottom w:val="single" w:color="auto" w:sz="4" w:space="0"/>
            </w:tcBorders>
          </w:tcPr>
          <w:p w14:paraId="34F8A6C5">
            <w:pPr>
              <w:spacing w:line="360" w:lineRule="auto"/>
              <w:rPr>
                <w:rFonts w:ascii="宋体" w:hAnsi="宋体" w:cs="宋体"/>
                <w:color w:val="auto"/>
                <w:sz w:val="21"/>
                <w:szCs w:val="28"/>
                <w:highlight w:val="none"/>
              </w:rPr>
            </w:pPr>
          </w:p>
        </w:tc>
        <w:tc>
          <w:tcPr>
            <w:tcW w:w="4760" w:type="dxa"/>
            <w:tcBorders>
              <w:bottom w:val="single" w:color="auto" w:sz="4" w:space="0"/>
            </w:tcBorders>
          </w:tcPr>
          <w:p w14:paraId="4222B3B3">
            <w:pPr>
              <w:spacing w:line="360" w:lineRule="auto"/>
              <w:rPr>
                <w:rFonts w:ascii="宋体" w:hAnsi="宋体" w:cs="宋体"/>
                <w:color w:val="auto"/>
                <w:sz w:val="21"/>
                <w:szCs w:val="28"/>
                <w:highlight w:val="none"/>
              </w:rPr>
            </w:pPr>
          </w:p>
        </w:tc>
      </w:tr>
      <w:tr w14:paraId="1A16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3"/>
            <w:tcBorders>
              <w:bottom w:val="single" w:color="auto" w:sz="4" w:space="0"/>
            </w:tcBorders>
            <w:vAlign w:val="center"/>
          </w:tcPr>
          <w:p w14:paraId="74C73A58">
            <w:pPr>
              <w:spacing w:line="360" w:lineRule="auto"/>
              <w:rPr>
                <w:rFonts w:ascii="宋体" w:hAnsi="宋体" w:cs="宋体"/>
                <w:color w:val="auto"/>
                <w:sz w:val="21"/>
                <w:szCs w:val="28"/>
                <w:highlight w:val="none"/>
              </w:rPr>
            </w:pPr>
            <w:r>
              <w:rPr>
                <w:rFonts w:hint="eastAsia" w:ascii="宋体" w:hAnsi="宋体"/>
                <w:color w:val="auto"/>
                <w:sz w:val="21"/>
                <w:szCs w:val="28"/>
                <w:highlight w:val="none"/>
              </w:rPr>
              <w:t>投标折扣率（大写）</w:t>
            </w:r>
            <w:r>
              <w:rPr>
                <w:rFonts w:hint="eastAsia" w:ascii="宋体" w:hAnsi="宋体" w:cs="宋体"/>
                <w:color w:val="auto"/>
                <w:sz w:val="21"/>
                <w:szCs w:val="28"/>
                <w:highlight w:val="none"/>
              </w:rPr>
              <w:t xml:space="preserve">：                           </w:t>
            </w:r>
          </w:p>
        </w:tc>
      </w:tr>
      <w:tr w14:paraId="150C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3"/>
            <w:vAlign w:val="center"/>
          </w:tcPr>
          <w:p w14:paraId="602F6399">
            <w:pPr>
              <w:pStyle w:val="10"/>
              <w:spacing w:line="360" w:lineRule="auto"/>
              <w:rPr>
                <w:rFonts w:ascii="宋体" w:hAnsi="宋体" w:cs="宋体"/>
                <w:color w:val="auto"/>
                <w:sz w:val="21"/>
                <w:szCs w:val="28"/>
                <w:highlight w:val="none"/>
              </w:rPr>
            </w:pPr>
            <w:r>
              <w:rPr>
                <w:rFonts w:hint="eastAsia" w:ascii="宋体" w:hAnsi="宋体" w:cs="宋体"/>
                <w:color w:val="auto"/>
                <w:sz w:val="21"/>
                <w:szCs w:val="28"/>
                <w:highlight w:val="none"/>
              </w:rPr>
              <w:t>备注：</w:t>
            </w:r>
          </w:p>
        </w:tc>
      </w:tr>
    </w:tbl>
    <w:p w14:paraId="27F18461">
      <w:pPr>
        <w:spacing w:line="360" w:lineRule="auto"/>
        <w:rPr>
          <w:rFonts w:ascii="宋体" w:hAnsi="宋体" w:cs="宋体"/>
          <w:color w:val="auto"/>
          <w:sz w:val="24"/>
          <w:szCs w:val="28"/>
          <w:highlight w:val="none"/>
        </w:rPr>
      </w:pPr>
    </w:p>
    <w:p w14:paraId="77703C7A">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14:paraId="27CCF9DA">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14:paraId="7D99D877">
      <w:pPr>
        <w:spacing w:line="360" w:lineRule="auto"/>
        <w:rPr>
          <w:rFonts w:ascii="宋体" w:hAnsi="宋体" w:cs="宋体"/>
          <w:color w:val="auto"/>
          <w:sz w:val="24"/>
          <w:szCs w:val="28"/>
          <w:highlight w:val="none"/>
        </w:rPr>
      </w:pPr>
    </w:p>
    <w:p w14:paraId="121236E2">
      <w:pPr>
        <w:spacing w:line="360" w:lineRule="auto"/>
        <w:rPr>
          <w:rFonts w:ascii="宋体" w:hAnsi="宋体" w:cs="宋体"/>
          <w:color w:val="auto"/>
          <w:sz w:val="24"/>
          <w:szCs w:val="28"/>
          <w:highlight w:val="none"/>
        </w:rPr>
      </w:pPr>
    </w:p>
    <w:p w14:paraId="5FD03412">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14:paraId="516A8AAD">
      <w:pPr>
        <w:snapToGrid w:val="0"/>
        <w:spacing w:line="360" w:lineRule="auto"/>
        <w:ind w:firstLine="480" w:firstLineChars="200"/>
        <w:rPr>
          <w:rFonts w:ascii="宋体" w:hAnsi="宋体" w:cs="宋体"/>
          <w:color w:val="auto"/>
          <w:sz w:val="24"/>
          <w:szCs w:val="28"/>
          <w:highlight w:val="none"/>
        </w:rPr>
      </w:pPr>
    </w:p>
    <w:p w14:paraId="7F56FD83">
      <w:pPr>
        <w:snapToGrid w:val="0"/>
        <w:spacing w:line="360" w:lineRule="auto"/>
        <w:ind w:firstLine="480" w:firstLineChars="200"/>
        <w:rPr>
          <w:rFonts w:ascii="宋体" w:hAnsi="宋体" w:cs="宋体"/>
          <w:color w:val="auto"/>
          <w:sz w:val="24"/>
          <w:szCs w:val="28"/>
          <w:highlight w:val="none"/>
        </w:rPr>
      </w:pPr>
    </w:p>
    <w:p w14:paraId="474895A8">
      <w:pPr>
        <w:snapToGrid w:val="0"/>
        <w:spacing w:line="360" w:lineRule="auto"/>
        <w:ind w:firstLine="480" w:firstLineChars="200"/>
        <w:rPr>
          <w:rFonts w:ascii="宋体" w:hAnsi="宋体" w:cs="宋体"/>
          <w:color w:val="auto"/>
          <w:sz w:val="24"/>
          <w:szCs w:val="28"/>
          <w:highlight w:val="none"/>
        </w:rPr>
      </w:pPr>
    </w:p>
    <w:p w14:paraId="46A22CAA">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说明：</w:t>
      </w:r>
    </w:p>
    <w:p w14:paraId="56985F68">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1.开标一览表按格式填列；</w:t>
      </w:r>
    </w:p>
    <w:p w14:paraId="2E90F6F8">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2.开标一览表在开标大会上当众宣读，务必填写清楚，准确无误；</w:t>
      </w:r>
    </w:p>
    <w:p w14:paraId="0A5F47F0">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28"/>
          <w:highlight w:val="none"/>
        </w:rPr>
        <w:br w:type="page"/>
      </w:r>
      <w:r>
        <w:rPr>
          <w:rFonts w:hint="eastAsia" w:ascii="宋体" w:hAnsi="宋体" w:cs="宋体"/>
          <w:color w:val="auto"/>
          <w:sz w:val="24"/>
          <w:szCs w:val="28"/>
          <w:highlight w:val="none"/>
        </w:rPr>
        <w:t>（二）分项报价明细表</w:t>
      </w:r>
    </w:p>
    <w:p w14:paraId="04576C60">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14:paraId="28E55C78">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                                           单位：元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7"/>
        <w:gridCol w:w="2596"/>
        <w:gridCol w:w="8"/>
        <w:gridCol w:w="1924"/>
        <w:gridCol w:w="1924"/>
        <w:gridCol w:w="1926"/>
        <w:gridCol w:w="12"/>
      </w:tblGrid>
      <w:tr w14:paraId="2445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240" w:type="dxa"/>
            <w:gridSpan w:val="2"/>
            <w:vAlign w:val="center"/>
          </w:tcPr>
          <w:p w14:paraId="021926EA">
            <w:pPr>
              <w:jc w:val="center"/>
              <w:rPr>
                <w:rFonts w:ascii="方正仿宋_GBK" w:hAnsi="仿宋" w:eastAsia="方正仿宋_GBK"/>
                <w:b/>
                <w:color w:val="auto"/>
                <w:sz w:val="21"/>
                <w:szCs w:val="21"/>
                <w:highlight w:val="none"/>
              </w:rPr>
            </w:pPr>
            <w:r>
              <w:rPr>
                <w:rFonts w:hint="eastAsia" w:ascii="方正仿宋_GBK" w:hAnsi="仿宋" w:eastAsia="方正仿宋_GBK"/>
                <w:b/>
                <w:color w:val="auto"/>
                <w:sz w:val="21"/>
                <w:szCs w:val="21"/>
                <w:highlight w:val="none"/>
              </w:rPr>
              <w:t>序号</w:t>
            </w:r>
          </w:p>
        </w:tc>
        <w:tc>
          <w:tcPr>
            <w:tcW w:w="2606" w:type="dxa"/>
            <w:gridSpan w:val="2"/>
            <w:vAlign w:val="center"/>
          </w:tcPr>
          <w:p w14:paraId="19F67EC8">
            <w:pPr>
              <w:jc w:val="center"/>
              <w:rPr>
                <w:rFonts w:ascii="方正仿宋_GBK" w:hAnsi="仿宋" w:eastAsia="方正仿宋_GBK"/>
                <w:b/>
                <w:color w:val="auto"/>
                <w:sz w:val="21"/>
                <w:szCs w:val="21"/>
                <w:highlight w:val="none"/>
              </w:rPr>
            </w:pPr>
            <w:r>
              <w:rPr>
                <w:rFonts w:hint="eastAsia" w:ascii="方正仿宋_GBK" w:hAnsi="仿宋" w:eastAsia="方正仿宋_GBK"/>
                <w:b/>
                <w:color w:val="auto"/>
                <w:sz w:val="21"/>
                <w:szCs w:val="21"/>
                <w:highlight w:val="none"/>
              </w:rPr>
              <w:t>名称</w:t>
            </w:r>
          </w:p>
        </w:tc>
        <w:tc>
          <w:tcPr>
            <w:tcW w:w="1925" w:type="dxa"/>
            <w:vAlign w:val="center"/>
          </w:tcPr>
          <w:p w14:paraId="206A72BC">
            <w:pPr>
              <w:jc w:val="center"/>
              <w:rPr>
                <w:rFonts w:ascii="方正仿宋_GBK" w:hAnsi="仿宋" w:eastAsia="方正仿宋_GBK"/>
                <w:b/>
                <w:color w:val="auto"/>
                <w:sz w:val="21"/>
                <w:szCs w:val="21"/>
                <w:highlight w:val="none"/>
              </w:rPr>
            </w:pPr>
            <w:r>
              <w:rPr>
                <w:rFonts w:hint="eastAsia" w:ascii="方正仿宋_GBK" w:hAnsi="仿宋" w:eastAsia="方正仿宋_GBK"/>
                <w:b/>
                <w:color w:val="auto"/>
                <w:sz w:val="21"/>
                <w:szCs w:val="21"/>
                <w:highlight w:val="none"/>
              </w:rPr>
              <w:t>数量</w:t>
            </w:r>
          </w:p>
        </w:tc>
        <w:tc>
          <w:tcPr>
            <w:tcW w:w="1925" w:type="dxa"/>
            <w:vAlign w:val="center"/>
          </w:tcPr>
          <w:p w14:paraId="2EC069FE">
            <w:pPr>
              <w:jc w:val="center"/>
              <w:rPr>
                <w:rFonts w:ascii="方正仿宋_GBK" w:hAnsi="仿宋" w:eastAsia="方正仿宋_GBK"/>
                <w:b/>
                <w:color w:val="auto"/>
                <w:sz w:val="21"/>
                <w:szCs w:val="21"/>
                <w:highlight w:val="none"/>
              </w:rPr>
            </w:pPr>
            <w:r>
              <w:rPr>
                <w:rFonts w:hint="eastAsia" w:ascii="方正仿宋_GBK" w:hAnsi="仿宋" w:eastAsia="方正仿宋_GBK"/>
                <w:b/>
                <w:color w:val="auto"/>
                <w:sz w:val="21"/>
                <w:szCs w:val="21"/>
                <w:highlight w:val="none"/>
              </w:rPr>
              <w:t>单价</w:t>
            </w:r>
          </w:p>
        </w:tc>
        <w:tc>
          <w:tcPr>
            <w:tcW w:w="1932" w:type="dxa"/>
            <w:gridSpan w:val="2"/>
            <w:vAlign w:val="center"/>
          </w:tcPr>
          <w:p w14:paraId="26AF0AFE">
            <w:pPr>
              <w:jc w:val="center"/>
              <w:rPr>
                <w:rFonts w:ascii="方正仿宋_GBK" w:hAnsi="仿宋" w:eastAsia="方正仿宋_GBK"/>
                <w:b/>
                <w:color w:val="auto"/>
                <w:sz w:val="21"/>
                <w:szCs w:val="21"/>
                <w:highlight w:val="none"/>
              </w:rPr>
            </w:pPr>
            <w:r>
              <w:rPr>
                <w:rFonts w:hint="eastAsia" w:ascii="方正仿宋_GBK" w:hAnsi="仿宋" w:eastAsia="方正仿宋_GBK"/>
                <w:b/>
                <w:color w:val="auto"/>
                <w:sz w:val="21"/>
                <w:szCs w:val="21"/>
                <w:highlight w:val="none"/>
              </w:rPr>
              <w:t>合计</w:t>
            </w:r>
          </w:p>
        </w:tc>
      </w:tr>
      <w:tr w14:paraId="1F183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19F213A9">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1</w:t>
            </w:r>
          </w:p>
        </w:tc>
        <w:tc>
          <w:tcPr>
            <w:tcW w:w="2606" w:type="dxa"/>
            <w:gridSpan w:val="2"/>
            <w:vAlign w:val="center"/>
          </w:tcPr>
          <w:p w14:paraId="76E8F403">
            <w:pPr>
              <w:jc w:val="center"/>
              <w:rPr>
                <w:rFonts w:ascii="方正仿宋_GBK" w:hAnsi="仿宋" w:eastAsia="方正仿宋_GBK"/>
                <w:color w:val="auto"/>
                <w:sz w:val="21"/>
                <w:szCs w:val="21"/>
                <w:highlight w:val="none"/>
              </w:rPr>
            </w:pPr>
          </w:p>
        </w:tc>
        <w:tc>
          <w:tcPr>
            <w:tcW w:w="1925" w:type="dxa"/>
            <w:vAlign w:val="center"/>
          </w:tcPr>
          <w:p w14:paraId="61E60B14">
            <w:pPr>
              <w:jc w:val="center"/>
              <w:rPr>
                <w:rFonts w:ascii="方正仿宋_GBK" w:hAnsi="仿宋" w:eastAsia="方正仿宋_GBK"/>
                <w:color w:val="auto"/>
                <w:sz w:val="21"/>
                <w:szCs w:val="21"/>
                <w:highlight w:val="none"/>
              </w:rPr>
            </w:pPr>
          </w:p>
        </w:tc>
        <w:tc>
          <w:tcPr>
            <w:tcW w:w="1925" w:type="dxa"/>
          </w:tcPr>
          <w:p w14:paraId="5143DEFF">
            <w:pPr>
              <w:jc w:val="center"/>
              <w:rPr>
                <w:rFonts w:ascii="方正仿宋_GBK" w:hAnsi="仿宋" w:eastAsia="方正仿宋_GBK"/>
                <w:color w:val="auto"/>
                <w:sz w:val="21"/>
                <w:szCs w:val="21"/>
                <w:highlight w:val="none"/>
              </w:rPr>
            </w:pPr>
          </w:p>
        </w:tc>
        <w:tc>
          <w:tcPr>
            <w:tcW w:w="1932" w:type="dxa"/>
            <w:gridSpan w:val="2"/>
          </w:tcPr>
          <w:p w14:paraId="33CEC995">
            <w:pPr>
              <w:jc w:val="center"/>
              <w:rPr>
                <w:rFonts w:ascii="方正仿宋_GBK" w:hAnsi="仿宋" w:eastAsia="方正仿宋_GBK"/>
                <w:color w:val="auto"/>
                <w:sz w:val="21"/>
                <w:szCs w:val="21"/>
                <w:highlight w:val="none"/>
              </w:rPr>
            </w:pPr>
          </w:p>
        </w:tc>
      </w:tr>
      <w:tr w14:paraId="731E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7F035EC7">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2</w:t>
            </w:r>
          </w:p>
        </w:tc>
        <w:tc>
          <w:tcPr>
            <w:tcW w:w="2606" w:type="dxa"/>
            <w:gridSpan w:val="2"/>
            <w:vAlign w:val="center"/>
          </w:tcPr>
          <w:p w14:paraId="3F57FFB0">
            <w:pPr>
              <w:jc w:val="center"/>
              <w:rPr>
                <w:rFonts w:ascii="方正仿宋_GBK" w:hAnsi="仿宋" w:eastAsia="方正仿宋_GBK"/>
                <w:color w:val="auto"/>
                <w:sz w:val="21"/>
                <w:szCs w:val="21"/>
                <w:highlight w:val="none"/>
              </w:rPr>
            </w:pPr>
          </w:p>
        </w:tc>
        <w:tc>
          <w:tcPr>
            <w:tcW w:w="1925" w:type="dxa"/>
            <w:vAlign w:val="center"/>
          </w:tcPr>
          <w:p w14:paraId="2DF8E578">
            <w:pPr>
              <w:jc w:val="center"/>
              <w:rPr>
                <w:rFonts w:ascii="方正仿宋_GBK" w:hAnsi="仿宋" w:eastAsia="方正仿宋_GBK"/>
                <w:color w:val="auto"/>
                <w:sz w:val="21"/>
                <w:szCs w:val="21"/>
                <w:highlight w:val="none"/>
              </w:rPr>
            </w:pPr>
          </w:p>
        </w:tc>
        <w:tc>
          <w:tcPr>
            <w:tcW w:w="1925" w:type="dxa"/>
          </w:tcPr>
          <w:p w14:paraId="408800F7">
            <w:pPr>
              <w:jc w:val="center"/>
              <w:rPr>
                <w:rFonts w:ascii="方正仿宋_GBK" w:hAnsi="仿宋" w:eastAsia="方正仿宋_GBK"/>
                <w:color w:val="auto"/>
                <w:sz w:val="21"/>
                <w:szCs w:val="21"/>
                <w:highlight w:val="none"/>
              </w:rPr>
            </w:pPr>
          </w:p>
        </w:tc>
        <w:tc>
          <w:tcPr>
            <w:tcW w:w="1932" w:type="dxa"/>
            <w:gridSpan w:val="2"/>
          </w:tcPr>
          <w:p w14:paraId="3C99CB70">
            <w:pPr>
              <w:jc w:val="center"/>
              <w:rPr>
                <w:rFonts w:ascii="方正仿宋_GBK" w:hAnsi="仿宋" w:eastAsia="方正仿宋_GBK"/>
                <w:color w:val="auto"/>
                <w:sz w:val="21"/>
                <w:szCs w:val="21"/>
                <w:highlight w:val="none"/>
              </w:rPr>
            </w:pPr>
          </w:p>
        </w:tc>
      </w:tr>
      <w:tr w14:paraId="0E0B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6E9634F7">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3</w:t>
            </w:r>
          </w:p>
        </w:tc>
        <w:tc>
          <w:tcPr>
            <w:tcW w:w="2606" w:type="dxa"/>
            <w:gridSpan w:val="2"/>
            <w:vAlign w:val="center"/>
          </w:tcPr>
          <w:p w14:paraId="137ACE76">
            <w:pPr>
              <w:jc w:val="center"/>
              <w:rPr>
                <w:rFonts w:ascii="方正仿宋_GBK" w:hAnsi="仿宋" w:eastAsia="方正仿宋_GBK"/>
                <w:color w:val="auto"/>
                <w:sz w:val="21"/>
                <w:szCs w:val="21"/>
                <w:highlight w:val="none"/>
              </w:rPr>
            </w:pPr>
          </w:p>
        </w:tc>
        <w:tc>
          <w:tcPr>
            <w:tcW w:w="1925" w:type="dxa"/>
            <w:vAlign w:val="center"/>
          </w:tcPr>
          <w:p w14:paraId="694F398A">
            <w:pPr>
              <w:jc w:val="center"/>
              <w:rPr>
                <w:rFonts w:ascii="方正仿宋_GBK" w:hAnsi="仿宋" w:eastAsia="方正仿宋_GBK"/>
                <w:color w:val="auto"/>
                <w:sz w:val="21"/>
                <w:szCs w:val="21"/>
                <w:highlight w:val="none"/>
              </w:rPr>
            </w:pPr>
          </w:p>
        </w:tc>
        <w:tc>
          <w:tcPr>
            <w:tcW w:w="1925" w:type="dxa"/>
          </w:tcPr>
          <w:p w14:paraId="1F5F5793">
            <w:pPr>
              <w:jc w:val="center"/>
              <w:rPr>
                <w:rFonts w:ascii="方正仿宋_GBK" w:hAnsi="仿宋" w:eastAsia="方正仿宋_GBK"/>
                <w:color w:val="auto"/>
                <w:sz w:val="21"/>
                <w:szCs w:val="21"/>
                <w:highlight w:val="none"/>
              </w:rPr>
            </w:pPr>
          </w:p>
        </w:tc>
        <w:tc>
          <w:tcPr>
            <w:tcW w:w="1932" w:type="dxa"/>
            <w:gridSpan w:val="2"/>
          </w:tcPr>
          <w:p w14:paraId="27AF6038">
            <w:pPr>
              <w:jc w:val="center"/>
              <w:rPr>
                <w:rFonts w:ascii="方正仿宋_GBK" w:hAnsi="仿宋" w:eastAsia="方正仿宋_GBK"/>
                <w:color w:val="auto"/>
                <w:sz w:val="21"/>
                <w:szCs w:val="21"/>
                <w:highlight w:val="none"/>
              </w:rPr>
            </w:pPr>
          </w:p>
        </w:tc>
      </w:tr>
      <w:tr w14:paraId="26C5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5ABA2C72">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4</w:t>
            </w:r>
          </w:p>
        </w:tc>
        <w:tc>
          <w:tcPr>
            <w:tcW w:w="2606" w:type="dxa"/>
            <w:gridSpan w:val="2"/>
            <w:vAlign w:val="center"/>
          </w:tcPr>
          <w:p w14:paraId="3347ECFA">
            <w:pPr>
              <w:jc w:val="center"/>
              <w:rPr>
                <w:rFonts w:ascii="方正仿宋_GBK" w:hAnsi="仿宋" w:eastAsia="方正仿宋_GBK"/>
                <w:color w:val="auto"/>
                <w:sz w:val="21"/>
                <w:szCs w:val="21"/>
                <w:highlight w:val="none"/>
              </w:rPr>
            </w:pPr>
          </w:p>
        </w:tc>
        <w:tc>
          <w:tcPr>
            <w:tcW w:w="1925" w:type="dxa"/>
            <w:vAlign w:val="center"/>
          </w:tcPr>
          <w:p w14:paraId="695B0B4F">
            <w:pPr>
              <w:jc w:val="center"/>
              <w:rPr>
                <w:rFonts w:ascii="方正仿宋_GBK" w:hAnsi="仿宋" w:eastAsia="方正仿宋_GBK"/>
                <w:color w:val="auto"/>
                <w:sz w:val="21"/>
                <w:szCs w:val="21"/>
                <w:highlight w:val="none"/>
              </w:rPr>
            </w:pPr>
          </w:p>
        </w:tc>
        <w:tc>
          <w:tcPr>
            <w:tcW w:w="1925" w:type="dxa"/>
          </w:tcPr>
          <w:p w14:paraId="64CDC364">
            <w:pPr>
              <w:jc w:val="center"/>
              <w:rPr>
                <w:rFonts w:ascii="方正仿宋_GBK" w:hAnsi="仿宋" w:eastAsia="方正仿宋_GBK"/>
                <w:color w:val="auto"/>
                <w:sz w:val="21"/>
                <w:szCs w:val="21"/>
                <w:highlight w:val="none"/>
              </w:rPr>
            </w:pPr>
          </w:p>
        </w:tc>
        <w:tc>
          <w:tcPr>
            <w:tcW w:w="1932" w:type="dxa"/>
            <w:gridSpan w:val="2"/>
          </w:tcPr>
          <w:p w14:paraId="44CDD089">
            <w:pPr>
              <w:jc w:val="center"/>
              <w:rPr>
                <w:rFonts w:ascii="方正仿宋_GBK" w:hAnsi="仿宋" w:eastAsia="方正仿宋_GBK"/>
                <w:color w:val="auto"/>
                <w:sz w:val="21"/>
                <w:szCs w:val="21"/>
                <w:highlight w:val="none"/>
              </w:rPr>
            </w:pPr>
          </w:p>
        </w:tc>
      </w:tr>
      <w:tr w14:paraId="54A6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10127F08">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5</w:t>
            </w:r>
          </w:p>
        </w:tc>
        <w:tc>
          <w:tcPr>
            <w:tcW w:w="2606" w:type="dxa"/>
            <w:gridSpan w:val="2"/>
            <w:vAlign w:val="center"/>
          </w:tcPr>
          <w:p w14:paraId="30A01526">
            <w:pPr>
              <w:jc w:val="center"/>
              <w:rPr>
                <w:rFonts w:ascii="方正仿宋_GBK" w:hAnsi="仿宋" w:eastAsia="方正仿宋_GBK"/>
                <w:color w:val="auto"/>
                <w:sz w:val="21"/>
                <w:szCs w:val="21"/>
                <w:highlight w:val="none"/>
              </w:rPr>
            </w:pPr>
          </w:p>
        </w:tc>
        <w:tc>
          <w:tcPr>
            <w:tcW w:w="1925" w:type="dxa"/>
            <w:vAlign w:val="center"/>
          </w:tcPr>
          <w:p w14:paraId="085811F9">
            <w:pPr>
              <w:jc w:val="center"/>
              <w:rPr>
                <w:rFonts w:ascii="方正仿宋_GBK" w:hAnsi="仿宋" w:eastAsia="方正仿宋_GBK"/>
                <w:color w:val="auto"/>
                <w:sz w:val="21"/>
                <w:szCs w:val="21"/>
                <w:highlight w:val="none"/>
              </w:rPr>
            </w:pPr>
          </w:p>
        </w:tc>
        <w:tc>
          <w:tcPr>
            <w:tcW w:w="1925" w:type="dxa"/>
          </w:tcPr>
          <w:p w14:paraId="35B635A7">
            <w:pPr>
              <w:jc w:val="center"/>
              <w:rPr>
                <w:rFonts w:ascii="方正仿宋_GBK" w:hAnsi="仿宋" w:eastAsia="方正仿宋_GBK"/>
                <w:color w:val="auto"/>
                <w:sz w:val="21"/>
                <w:szCs w:val="21"/>
                <w:highlight w:val="none"/>
              </w:rPr>
            </w:pPr>
          </w:p>
        </w:tc>
        <w:tc>
          <w:tcPr>
            <w:tcW w:w="1932" w:type="dxa"/>
            <w:gridSpan w:val="2"/>
          </w:tcPr>
          <w:p w14:paraId="2A352A5A">
            <w:pPr>
              <w:jc w:val="center"/>
              <w:rPr>
                <w:rFonts w:ascii="方正仿宋_GBK" w:hAnsi="仿宋" w:eastAsia="方正仿宋_GBK"/>
                <w:color w:val="auto"/>
                <w:sz w:val="21"/>
                <w:szCs w:val="21"/>
                <w:highlight w:val="none"/>
              </w:rPr>
            </w:pPr>
          </w:p>
        </w:tc>
      </w:tr>
      <w:tr w14:paraId="61DC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11BBA50C">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6</w:t>
            </w:r>
          </w:p>
        </w:tc>
        <w:tc>
          <w:tcPr>
            <w:tcW w:w="2606" w:type="dxa"/>
            <w:gridSpan w:val="2"/>
            <w:vAlign w:val="center"/>
          </w:tcPr>
          <w:p w14:paraId="66B76B10">
            <w:pPr>
              <w:jc w:val="center"/>
              <w:rPr>
                <w:rFonts w:ascii="方正仿宋_GBK" w:hAnsi="仿宋" w:eastAsia="方正仿宋_GBK"/>
                <w:color w:val="auto"/>
                <w:sz w:val="21"/>
                <w:szCs w:val="21"/>
                <w:highlight w:val="none"/>
              </w:rPr>
            </w:pPr>
          </w:p>
        </w:tc>
        <w:tc>
          <w:tcPr>
            <w:tcW w:w="1925" w:type="dxa"/>
            <w:vAlign w:val="center"/>
          </w:tcPr>
          <w:p w14:paraId="25933D60">
            <w:pPr>
              <w:jc w:val="center"/>
              <w:rPr>
                <w:rFonts w:ascii="方正仿宋_GBK" w:hAnsi="仿宋" w:eastAsia="方正仿宋_GBK"/>
                <w:color w:val="auto"/>
                <w:sz w:val="21"/>
                <w:szCs w:val="21"/>
                <w:highlight w:val="none"/>
              </w:rPr>
            </w:pPr>
          </w:p>
        </w:tc>
        <w:tc>
          <w:tcPr>
            <w:tcW w:w="1925" w:type="dxa"/>
          </w:tcPr>
          <w:p w14:paraId="1CA64952">
            <w:pPr>
              <w:jc w:val="center"/>
              <w:rPr>
                <w:rFonts w:ascii="方正仿宋_GBK" w:hAnsi="仿宋" w:eastAsia="方正仿宋_GBK"/>
                <w:color w:val="auto"/>
                <w:sz w:val="21"/>
                <w:szCs w:val="21"/>
                <w:highlight w:val="none"/>
              </w:rPr>
            </w:pPr>
          </w:p>
        </w:tc>
        <w:tc>
          <w:tcPr>
            <w:tcW w:w="1932" w:type="dxa"/>
            <w:gridSpan w:val="2"/>
          </w:tcPr>
          <w:p w14:paraId="3257802B">
            <w:pPr>
              <w:jc w:val="center"/>
              <w:rPr>
                <w:rFonts w:ascii="方正仿宋_GBK" w:hAnsi="仿宋" w:eastAsia="方正仿宋_GBK"/>
                <w:color w:val="auto"/>
                <w:sz w:val="21"/>
                <w:szCs w:val="21"/>
                <w:highlight w:val="none"/>
              </w:rPr>
            </w:pPr>
          </w:p>
        </w:tc>
      </w:tr>
      <w:tr w14:paraId="4C99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6CBE7353">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7</w:t>
            </w:r>
          </w:p>
        </w:tc>
        <w:tc>
          <w:tcPr>
            <w:tcW w:w="2606" w:type="dxa"/>
            <w:gridSpan w:val="2"/>
            <w:vAlign w:val="center"/>
          </w:tcPr>
          <w:p w14:paraId="615B2140">
            <w:pPr>
              <w:jc w:val="center"/>
              <w:rPr>
                <w:rFonts w:ascii="方正仿宋_GBK" w:hAnsi="仿宋" w:eastAsia="方正仿宋_GBK"/>
                <w:color w:val="auto"/>
                <w:sz w:val="21"/>
                <w:szCs w:val="21"/>
                <w:highlight w:val="none"/>
              </w:rPr>
            </w:pPr>
          </w:p>
        </w:tc>
        <w:tc>
          <w:tcPr>
            <w:tcW w:w="1925" w:type="dxa"/>
            <w:vAlign w:val="center"/>
          </w:tcPr>
          <w:p w14:paraId="001775E3">
            <w:pPr>
              <w:jc w:val="center"/>
              <w:rPr>
                <w:rFonts w:ascii="方正仿宋_GBK" w:hAnsi="仿宋" w:eastAsia="方正仿宋_GBK"/>
                <w:color w:val="auto"/>
                <w:sz w:val="21"/>
                <w:szCs w:val="21"/>
                <w:highlight w:val="none"/>
              </w:rPr>
            </w:pPr>
          </w:p>
        </w:tc>
        <w:tc>
          <w:tcPr>
            <w:tcW w:w="1925" w:type="dxa"/>
          </w:tcPr>
          <w:p w14:paraId="1F122C94">
            <w:pPr>
              <w:jc w:val="center"/>
              <w:rPr>
                <w:rFonts w:ascii="方正仿宋_GBK" w:hAnsi="仿宋" w:eastAsia="方正仿宋_GBK"/>
                <w:color w:val="auto"/>
                <w:sz w:val="21"/>
                <w:szCs w:val="21"/>
                <w:highlight w:val="none"/>
              </w:rPr>
            </w:pPr>
          </w:p>
        </w:tc>
        <w:tc>
          <w:tcPr>
            <w:tcW w:w="1932" w:type="dxa"/>
            <w:gridSpan w:val="2"/>
          </w:tcPr>
          <w:p w14:paraId="1744FC91">
            <w:pPr>
              <w:jc w:val="center"/>
              <w:rPr>
                <w:rFonts w:ascii="方正仿宋_GBK" w:hAnsi="仿宋" w:eastAsia="方正仿宋_GBK"/>
                <w:color w:val="auto"/>
                <w:sz w:val="21"/>
                <w:szCs w:val="21"/>
                <w:highlight w:val="none"/>
              </w:rPr>
            </w:pPr>
          </w:p>
        </w:tc>
      </w:tr>
      <w:tr w14:paraId="2035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4A831750">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8</w:t>
            </w:r>
          </w:p>
        </w:tc>
        <w:tc>
          <w:tcPr>
            <w:tcW w:w="2606" w:type="dxa"/>
            <w:gridSpan w:val="2"/>
            <w:vAlign w:val="center"/>
          </w:tcPr>
          <w:p w14:paraId="22223AAC">
            <w:pPr>
              <w:jc w:val="center"/>
              <w:rPr>
                <w:rFonts w:ascii="方正仿宋_GBK" w:hAnsi="仿宋" w:eastAsia="方正仿宋_GBK"/>
                <w:color w:val="auto"/>
                <w:sz w:val="21"/>
                <w:szCs w:val="21"/>
                <w:highlight w:val="none"/>
              </w:rPr>
            </w:pPr>
          </w:p>
        </w:tc>
        <w:tc>
          <w:tcPr>
            <w:tcW w:w="1925" w:type="dxa"/>
            <w:vAlign w:val="center"/>
          </w:tcPr>
          <w:p w14:paraId="16318D76">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w:t>
            </w:r>
          </w:p>
        </w:tc>
        <w:tc>
          <w:tcPr>
            <w:tcW w:w="1925" w:type="dxa"/>
          </w:tcPr>
          <w:p w14:paraId="060CAB75">
            <w:pPr>
              <w:jc w:val="center"/>
              <w:rPr>
                <w:rFonts w:ascii="方正仿宋_GBK" w:hAnsi="仿宋" w:eastAsia="方正仿宋_GBK"/>
                <w:color w:val="auto"/>
                <w:sz w:val="21"/>
                <w:szCs w:val="21"/>
                <w:highlight w:val="none"/>
              </w:rPr>
            </w:pPr>
          </w:p>
        </w:tc>
        <w:tc>
          <w:tcPr>
            <w:tcW w:w="1932" w:type="dxa"/>
            <w:gridSpan w:val="2"/>
          </w:tcPr>
          <w:p w14:paraId="2F1A54D6">
            <w:pPr>
              <w:jc w:val="center"/>
              <w:rPr>
                <w:rFonts w:ascii="方正仿宋_GBK" w:hAnsi="仿宋" w:eastAsia="方正仿宋_GBK"/>
                <w:color w:val="auto"/>
                <w:sz w:val="21"/>
                <w:szCs w:val="21"/>
                <w:highlight w:val="none"/>
              </w:rPr>
            </w:pPr>
          </w:p>
        </w:tc>
      </w:tr>
      <w:tr w14:paraId="7EA7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3C685FEA">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9</w:t>
            </w:r>
          </w:p>
        </w:tc>
        <w:tc>
          <w:tcPr>
            <w:tcW w:w="2606" w:type="dxa"/>
            <w:gridSpan w:val="2"/>
            <w:vAlign w:val="center"/>
          </w:tcPr>
          <w:p w14:paraId="0B3469E1">
            <w:pPr>
              <w:jc w:val="center"/>
              <w:rPr>
                <w:rFonts w:ascii="方正仿宋_GBK" w:hAnsi="仿宋" w:eastAsia="方正仿宋_GBK"/>
                <w:color w:val="auto"/>
                <w:sz w:val="21"/>
                <w:szCs w:val="21"/>
                <w:highlight w:val="none"/>
              </w:rPr>
            </w:pPr>
          </w:p>
        </w:tc>
        <w:tc>
          <w:tcPr>
            <w:tcW w:w="1925" w:type="dxa"/>
            <w:vAlign w:val="center"/>
          </w:tcPr>
          <w:p w14:paraId="74CE965B">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w:t>
            </w:r>
          </w:p>
        </w:tc>
        <w:tc>
          <w:tcPr>
            <w:tcW w:w="1925" w:type="dxa"/>
          </w:tcPr>
          <w:p w14:paraId="346B150C">
            <w:pPr>
              <w:jc w:val="center"/>
              <w:rPr>
                <w:rFonts w:ascii="方正仿宋_GBK" w:hAnsi="仿宋" w:eastAsia="方正仿宋_GBK"/>
                <w:color w:val="auto"/>
                <w:sz w:val="21"/>
                <w:szCs w:val="21"/>
                <w:highlight w:val="none"/>
              </w:rPr>
            </w:pPr>
          </w:p>
        </w:tc>
        <w:tc>
          <w:tcPr>
            <w:tcW w:w="1932" w:type="dxa"/>
            <w:gridSpan w:val="2"/>
          </w:tcPr>
          <w:p w14:paraId="0B134E18">
            <w:pPr>
              <w:jc w:val="center"/>
              <w:rPr>
                <w:rFonts w:ascii="方正仿宋_GBK" w:hAnsi="仿宋" w:eastAsia="方正仿宋_GBK"/>
                <w:color w:val="auto"/>
                <w:sz w:val="21"/>
                <w:szCs w:val="21"/>
                <w:highlight w:val="none"/>
              </w:rPr>
            </w:pPr>
          </w:p>
        </w:tc>
      </w:tr>
      <w:tr w14:paraId="38B1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02E328DD">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10</w:t>
            </w:r>
          </w:p>
        </w:tc>
        <w:tc>
          <w:tcPr>
            <w:tcW w:w="2606" w:type="dxa"/>
            <w:gridSpan w:val="2"/>
            <w:vAlign w:val="center"/>
          </w:tcPr>
          <w:p w14:paraId="5FA34A53">
            <w:pPr>
              <w:jc w:val="center"/>
              <w:rPr>
                <w:rFonts w:ascii="方正仿宋_GBK" w:hAnsi="仿宋" w:eastAsia="方正仿宋_GBK"/>
                <w:color w:val="auto"/>
                <w:sz w:val="21"/>
                <w:szCs w:val="21"/>
                <w:highlight w:val="none"/>
              </w:rPr>
            </w:pPr>
          </w:p>
        </w:tc>
        <w:tc>
          <w:tcPr>
            <w:tcW w:w="1925" w:type="dxa"/>
            <w:vAlign w:val="center"/>
          </w:tcPr>
          <w:p w14:paraId="16673A28">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w:t>
            </w:r>
          </w:p>
        </w:tc>
        <w:tc>
          <w:tcPr>
            <w:tcW w:w="1925" w:type="dxa"/>
          </w:tcPr>
          <w:p w14:paraId="112EDF82">
            <w:pPr>
              <w:jc w:val="center"/>
              <w:rPr>
                <w:rFonts w:ascii="方正仿宋_GBK" w:hAnsi="仿宋" w:eastAsia="方正仿宋_GBK"/>
                <w:color w:val="auto"/>
                <w:sz w:val="21"/>
                <w:szCs w:val="21"/>
                <w:highlight w:val="none"/>
              </w:rPr>
            </w:pPr>
          </w:p>
        </w:tc>
        <w:tc>
          <w:tcPr>
            <w:tcW w:w="1932" w:type="dxa"/>
            <w:gridSpan w:val="2"/>
          </w:tcPr>
          <w:p w14:paraId="4E4142EF">
            <w:pPr>
              <w:jc w:val="center"/>
              <w:rPr>
                <w:rFonts w:ascii="方正仿宋_GBK" w:hAnsi="仿宋" w:eastAsia="方正仿宋_GBK"/>
                <w:color w:val="auto"/>
                <w:sz w:val="21"/>
                <w:szCs w:val="21"/>
                <w:highlight w:val="none"/>
              </w:rPr>
            </w:pPr>
          </w:p>
        </w:tc>
      </w:tr>
      <w:tr w14:paraId="01B5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40" w:type="dxa"/>
            <w:gridSpan w:val="2"/>
            <w:vAlign w:val="center"/>
          </w:tcPr>
          <w:p w14:paraId="15459A0F">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11</w:t>
            </w:r>
          </w:p>
        </w:tc>
        <w:tc>
          <w:tcPr>
            <w:tcW w:w="2606" w:type="dxa"/>
            <w:gridSpan w:val="2"/>
            <w:vAlign w:val="center"/>
          </w:tcPr>
          <w:p w14:paraId="2A33E2C1">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w:t>
            </w:r>
          </w:p>
        </w:tc>
        <w:tc>
          <w:tcPr>
            <w:tcW w:w="1925" w:type="dxa"/>
            <w:vAlign w:val="center"/>
          </w:tcPr>
          <w:p w14:paraId="238ECD86">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w:t>
            </w:r>
          </w:p>
        </w:tc>
        <w:tc>
          <w:tcPr>
            <w:tcW w:w="1925" w:type="dxa"/>
          </w:tcPr>
          <w:p w14:paraId="386F4521">
            <w:pPr>
              <w:jc w:val="center"/>
              <w:rPr>
                <w:rFonts w:ascii="方正仿宋_GBK" w:hAnsi="仿宋" w:eastAsia="方正仿宋_GBK"/>
                <w:color w:val="auto"/>
                <w:sz w:val="21"/>
                <w:szCs w:val="21"/>
                <w:highlight w:val="none"/>
              </w:rPr>
            </w:pPr>
          </w:p>
        </w:tc>
        <w:tc>
          <w:tcPr>
            <w:tcW w:w="1932" w:type="dxa"/>
            <w:gridSpan w:val="2"/>
          </w:tcPr>
          <w:p w14:paraId="1FBBC65A">
            <w:pPr>
              <w:jc w:val="center"/>
              <w:rPr>
                <w:rFonts w:ascii="方正仿宋_GBK" w:hAnsi="仿宋" w:eastAsia="方正仿宋_GBK"/>
                <w:color w:val="auto"/>
                <w:sz w:val="21"/>
                <w:szCs w:val="21"/>
                <w:highlight w:val="none"/>
              </w:rPr>
            </w:pPr>
          </w:p>
        </w:tc>
      </w:tr>
      <w:tr w14:paraId="4C27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7" w:hRule="exact"/>
          <w:jc w:val="center"/>
        </w:trPr>
        <w:tc>
          <w:tcPr>
            <w:tcW w:w="1233" w:type="dxa"/>
            <w:vAlign w:val="center"/>
          </w:tcPr>
          <w:p w14:paraId="1E055C21">
            <w:pPr>
              <w:pStyle w:val="8"/>
              <w:spacing w:line="240" w:lineRule="atLeast"/>
              <w:ind w:left="0"/>
              <w:jc w:val="center"/>
              <w:outlineLvl w:val="0"/>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12</w:t>
            </w:r>
          </w:p>
        </w:tc>
        <w:tc>
          <w:tcPr>
            <w:tcW w:w="2605" w:type="dxa"/>
            <w:gridSpan w:val="2"/>
            <w:vAlign w:val="center"/>
          </w:tcPr>
          <w:p w14:paraId="4EAC2EEA">
            <w:pPr>
              <w:jc w:val="center"/>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总计</w:t>
            </w:r>
          </w:p>
        </w:tc>
        <w:tc>
          <w:tcPr>
            <w:tcW w:w="5778" w:type="dxa"/>
            <w:gridSpan w:val="4"/>
          </w:tcPr>
          <w:p w14:paraId="3E909815">
            <w:pPr>
              <w:rPr>
                <w:rFonts w:ascii="方正仿宋_GBK" w:hAnsi="仿宋" w:eastAsia="方正仿宋_GBK"/>
                <w:color w:val="auto"/>
                <w:sz w:val="21"/>
                <w:szCs w:val="21"/>
                <w:highlight w:val="none"/>
              </w:rPr>
            </w:pPr>
          </w:p>
        </w:tc>
      </w:tr>
    </w:tbl>
    <w:p w14:paraId="14DBA70C">
      <w:pPr>
        <w:spacing w:line="360" w:lineRule="auto"/>
        <w:ind w:firstLine="480" w:firstLineChars="200"/>
        <w:rPr>
          <w:rFonts w:ascii="宋体" w:hAnsi="宋体" w:cs="宋体"/>
          <w:color w:val="auto"/>
          <w:sz w:val="24"/>
          <w:szCs w:val="28"/>
          <w:highlight w:val="none"/>
        </w:rPr>
      </w:pPr>
    </w:p>
    <w:p w14:paraId="49A4401D">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14:paraId="3D3C80B0">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14:paraId="5521A5D8">
      <w:pPr>
        <w:spacing w:line="360" w:lineRule="auto"/>
        <w:rPr>
          <w:rFonts w:ascii="宋体" w:hAnsi="宋体" w:cs="宋体"/>
          <w:color w:val="auto"/>
          <w:sz w:val="24"/>
          <w:szCs w:val="28"/>
          <w:highlight w:val="none"/>
        </w:rPr>
      </w:pPr>
    </w:p>
    <w:p w14:paraId="06E43B5F">
      <w:pPr>
        <w:spacing w:line="360" w:lineRule="auto"/>
        <w:rPr>
          <w:rFonts w:ascii="宋体" w:hAnsi="宋体" w:cs="宋体"/>
          <w:color w:val="auto"/>
          <w:sz w:val="24"/>
          <w:szCs w:val="28"/>
          <w:highlight w:val="none"/>
        </w:rPr>
      </w:pPr>
    </w:p>
    <w:p w14:paraId="7CC64E33">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14:paraId="5EB2FE8D">
      <w:pPr>
        <w:snapToGrid w:val="0"/>
        <w:spacing w:line="360" w:lineRule="auto"/>
        <w:ind w:firstLine="480" w:firstLineChars="200"/>
        <w:rPr>
          <w:rFonts w:ascii="宋体" w:hAnsi="宋体" w:cs="宋体"/>
          <w:color w:val="auto"/>
          <w:sz w:val="24"/>
          <w:szCs w:val="28"/>
          <w:highlight w:val="none"/>
        </w:rPr>
      </w:pPr>
    </w:p>
    <w:p w14:paraId="13DC432A">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注：</w:t>
      </w:r>
    </w:p>
    <w:p w14:paraId="040950DE">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1.请投标人完整填写本表；</w:t>
      </w:r>
    </w:p>
    <w:p w14:paraId="7470075F">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2.该表可扩展，并逐页签字或盖章。</w:t>
      </w:r>
    </w:p>
    <w:p w14:paraId="08D7C698">
      <w:pPr>
        <w:pStyle w:val="5"/>
        <w:pageBreakBefore/>
        <w:ind w:firstLine="562" w:firstLineChars="200"/>
        <w:rPr>
          <w:rFonts w:cs="宋体"/>
          <w:b/>
          <w:color w:val="auto"/>
          <w:szCs w:val="28"/>
          <w:highlight w:val="none"/>
        </w:rPr>
      </w:pPr>
      <w:bookmarkStart w:id="159" w:name="_Toc493178790"/>
      <w:bookmarkStart w:id="160" w:name="_Toc21831"/>
      <w:bookmarkStart w:id="161" w:name="_Toc5230"/>
      <w:bookmarkStart w:id="162" w:name="_Toc6744"/>
      <w:r>
        <w:rPr>
          <w:rFonts w:hint="eastAsia" w:cs="宋体"/>
          <w:b/>
          <w:color w:val="auto"/>
          <w:szCs w:val="28"/>
          <w:highlight w:val="none"/>
        </w:rPr>
        <w:t>二、</w:t>
      </w:r>
      <w:bookmarkEnd w:id="159"/>
      <w:r>
        <w:rPr>
          <w:rFonts w:hint="eastAsia" w:cs="宋体"/>
          <w:b/>
          <w:color w:val="auto"/>
          <w:szCs w:val="28"/>
          <w:highlight w:val="none"/>
        </w:rPr>
        <w:t>服务部分</w:t>
      </w:r>
      <w:bookmarkEnd w:id="160"/>
      <w:bookmarkEnd w:id="161"/>
      <w:bookmarkEnd w:id="162"/>
    </w:p>
    <w:p w14:paraId="58EA6B17">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（一）服务方案（格式自定）</w:t>
      </w:r>
    </w:p>
    <w:p w14:paraId="341B4233">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8"/>
          <w:highlight w:val="none"/>
        </w:rPr>
        <w:t>（二）服务响应偏离表</w:t>
      </w:r>
    </w:p>
    <w:p w14:paraId="14C76723">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14:paraId="40CC5D91">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7DD8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14:paraId="7B2E51D3">
            <w:pPr>
              <w:tabs>
                <w:tab w:val="left" w:pos="6300"/>
              </w:tabs>
              <w:snapToGrid w:val="0"/>
              <w:spacing w:line="500" w:lineRule="exact"/>
              <w:jc w:val="center"/>
              <w:outlineLvl w:val="0"/>
              <w:rPr>
                <w:rFonts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序号</w:t>
            </w:r>
          </w:p>
        </w:tc>
        <w:tc>
          <w:tcPr>
            <w:tcW w:w="1541" w:type="pct"/>
            <w:vAlign w:val="center"/>
          </w:tcPr>
          <w:p w14:paraId="3B05F6CD">
            <w:pPr>
              <w:tabs>
                <w:tab w:val="left" w:pos="6300"/>
              </w:tabs>
              <w:snapToGrid w:val="0"/>
              <w:spacing w:line="500" w:lineRule="exact"/>
              <w:jc w:val="center"/>
              <w:outlineLvl w:val="0"/>
              <w:rPr>
                <w:rFonts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采购需求</w:t>
            </w:r>
          </w:p>
        </w:tc>
        <w:tc>
          <w:tcPr>
            <w:tcW w:w="1600" w:type="pct"/>
            <w:vAlign w:val="center"/>
          </w:tcPr>
          <w:p w14:paraId="6ED9E6B8">
            <w:pPr>
              <w:tabs>
                <w:tab w:val="left" w:pos="6300"/>
              </w:tabs>
              <w:snapToGrid w:val="0"/>
              <w:spacing w:line="500" w:lineRule="exact"/>
              <w:jc w:val="center"/>
              <w:outlineLvl w:val="0"/>
              <w:rPr>
                <w:rFonts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响应情况</w:t>
            </w:r>
          </w:p>
        </w:tc>
        <w:tc>
          <w:tcPr>
            <w:tcW w:w="1199" w:type="pct"/>
            <w:vAlign w:val="center"/>
          </w:tcPr>
          <w:p w14:paraId="38750F4A">
            <w:pPr>
              <w:tabs>
                <w:tab w:val="left" w:pos="6300"/>
              </w:tabs>
              <w:snapToGrid w:val="0"/>
              <w:spacing w:line="500" w:lineRule="exact"/>
              <w:jc w:val="center"/>
              <w:outlineLvl w:val="0"/>
              <w:rPr>
                <w:rFonts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差异说明</w:t>
            </w:r>
          </w:p>
        </w:tc>
      </w:tr>
      <w:tr w14:paraId="28CE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6FFB12F3">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0E12D4B7">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03771B45">
            <w:pPr>
              <w:tabs>
                <w:tab w:val="left" w:pos="6300"/>
              </w:tabs>
              <w:snapToGrid w:val="0"/>
              <w:spacing w:line="500" w:lineRule="exact"/>
              <w:outlineLvl w:val="0"/>
              <w:rPr>
                <w:rFonts w:ascii="方正仿宋_GBK" w:hAnsi="宋体" w:eastAsia="方正仿宋_GBK"/>
                <w:color w:val="auto"/>
                <w:sz w:val="21"/>
                <w:szCs w:val="21"/>
                <w:highlight w:val="none"/>
              </w:rPr>
            </w:pPr>
            <w:r>
              <w:rPr>
                <w:rFonts w:ascii="方正仿宋_GBK" w:hAnsi="仿宋" w:eastAsia="方正仿宋_GBK"/>
                <w:color w:val="auto"/>
                <w:sz w:val="21"/>
                <w:szCs w:val="21"/>
                <w:highlight w:val="none"/>
              </w:rPr>
              <w:t>提醒</w:t>
            </w:r>
            <w:r>
              <w:rPr>
                <w:rFonts w:hint="eastAsia" w:ascii="方正仿宋_GBK" w:hAnsi="仿宋" w:eastAsia="方正仿宋_GBK"/>
                <w:color w:val="auto"/>
                <w:sz w:val="21"/>
                <w:szCs w:val="21"/>
                <w:highlight w:val="none"/>
              </w:rPr>
              <w:t>：</w:t>
            </w:r>
            <w:r>
              <w:rPr>
                <w:rFonts w:ascii="方正仿宋_GBK" w:hAnsi="仿宋" w:eastAsia="方正仿宋_GBK"/>
                <w:color w:val="auto"/>
                <w:sz w:val="21"/>
                <w:szCs w:val="21"/>
                <w:highlight w:val="none"/>
              </w:rPr>
              <w:t>请注明</w:t>
            </w:r>
            <w:r>
              <w:rPr>
                <w:rFonts w:hint="eastAsia" w:ascii="方正仿宋_GBK" w:hAnsi="仿宋" w:eastAsia="方正仿宋_GBK"/>
                <w:color w:val="auto"/>
                <w:sz w:val="21"/>
                <w:szCs w:val="21"/>
                <w:highlight w:val="none"/>
              </w:rPr>
              <w:t>技术参数</w:t>
            </w:r>
            <w:r>
              <w:rPr>
                <w:rFonts w:ascii="方正仿宋_GBK" w:hAnsi="仿宋" w:eastAsia="方正仿宋_GBK"/>
                <w:color w:val="auto"/>
                <w:sz w:val="21"/>
                <w:szCs w:val="21"/>
                <w:highlight w:val="none"/>
              </w:rPr>
              <w:t>或具体内容以及</w:t>
            </w:r>
            <w:r>
              <w:rPr>
                <w:rFonts w:hint="eastAsia" w:ascii="方正仿宋_GBK" w:hAnsi="仿宋" w:eastAsia="方正仿宋_GBK"/>
                <w:color w:val="auto"/>
                <w:sz w:val="21"/>
                <w:szCs w:val="21"/>
                <w:highlight w:val="none"/>
              </w:rPr>
              <w:t>投标文件</w:t>
            </w:r>
            <w:r>
              <w:rPr>
                <w:rFonts w:ascii="方正仿宋_GBK" w:hAnsi="仿宋" w:eastAsia="方正仿宋_GBK"/>
                <w:color w:val="auto"/>
                <w:sz w:val="21"/>
                <w:szCs w:val="21"/>
                <w:highlight w:val="none"/>
              </w:rPr>
              <w:t>中</w:t>
            </w:r>
            <w:r>
              <w:rPr>
                <w:rFonts w:hint="eastAsia" w:ascii="方正仿宋_GBK" w:hAnsi="仿宋" w:eastAsia="方正仿宋_GBK"/>
                <w:color w:val="auto"/>
                <w:sz w:val="21"/>
                <w:szCs w:val="21"/>
                <w:highlight w:val="none"/>
              </w:rPr>
              <w:t>技术参数</w:t>
            </w:r>
            <w:r>
              <w:rPr>
                <w:rFonts w:ascii="方正仿宋_GBK" w:hAnsi="仿宋" w:eastAsia="方正仿宋_GBK"/>
                <w:color w:val="auto"/>
                <w:sz w:val="21"/>
                <w:szCs w:val="21"/>
                <w:highlight w:val="none"/>
              </w:rPr>
              <w:t>或</w:t>
            </w:r>
            <w:r>
              <w:rPr>
                <w:rFonts w:hint="eastAsia" w:ascii="方正仿宋_GBK" w:hAnsi="仿宋" w:eastAsia="方正仿宋_GBK"/>
                <w:color w:val="auto"/>
                <w:sz w:val="21"/>
                <w:szCs w:val="21"/>
                <w:highlight w:val="none"/>
              </w:rPr>
              <w:t>具体</w:t>
            </w:r>
            <w:r>
              <w:rPr>
                <w:rFonts w:ascii="方正仿宋_GBK" w:hAnsi="仿宋" w:eastAsia="方正仿宋_GBK"/>
                <w:color w:val="auto"/>
                <w:sz w:val="21"/>
                <w:szCs w:val="21"/>
                <w:highlight w:val="none"/>
              </w:rPr>
              <w:t>内容</w:t>
            </w:r>
            <w:r>
              <w:rPr>
                <w:rFonts w:hint="eastAsia" w:ascii="方正仿宋_GBK" w:hAnsi="仿宋" w:eastAsia="方正仿宋_GBK"/>
                <w:color w:val="auto"/>
                <w:sz w:val="21"/>
                <w:szCs w:val="21"/>
                <w:highlight w:val="none"/>
              </w:rPr>
              <w:t>的</w:t>
            </w:r>
            <w:r>
              <w:rPr>
                <w:rFonts w:ascii="方正仿宋_GBK" w:hAnsi="仿宋" w:eastAsia="方正仿宋_GBK"/>
                <w:color w:val="auto"/>
                <w:sz w:val="21"/>
                <w:szCs w:val="21"/>
                <w:highlight w:val="none"/>
              </w:rPr>
              <w:t>位置（</w:t>
            </w:r>
            <w:r>
              <w:rPr>
                <w:rFonts w:hint="eastAsia" w:ascii="方正仿宋_GBK" w:hAnsi="仿宋" w:eastAsia="方正仿宋_GBK"/>
                <w:color w:val="auto"/>
                <w:sz w:val="21"/>
                <w:szCs w:val="21"/>
                <w:highlight w:val="none"/>
              </w:rPr>
              <w:t>页码</w:t>
            </w:r>
            <w:r>
              <w:rPr>
                <w:rFonts w:ascii="方正仿宋_GBK" w:hAnsi="仿宋" w:eastAsia="方正仿宋_GBK"/>
                <w:color w:val="auto"/>
                <w:sz w:val="21"/>
                <w:szCs w:val="21"/>
                <w:highlight w:val="none"/>
              </w:rPr>
              <w:t>）</w:t>
            </w:r>
          </w:p>
        </w:tc>
        <w:tc>
          <w:tcPr>
            <w:tcW w:w="1199" w:type="pct"/>
            <w:vAlign w:val="center"/>
          </w:tcPr>
          <w:p w14:paraId="0B5DCEAE">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1B34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1BF2FFDE">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544EA5EA">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683FD9AC">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748E8940">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48C1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4363F8F5">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6D52B428">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18D6449D">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6F130C08">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2275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40E481A7">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194EAC0D">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7A2B3407">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6677F16B">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3C1A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10B84EDC">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09B5F929">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252445F4">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7B9C73FC">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067CA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5F1EF288">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414B2878">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7B5C4DFF">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1F2917A4">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7F85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770E3CFF">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7846F14D">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54A4221D">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37BD9837">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075E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355FFEF9">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3EC57996">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38D6553F">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11911EFE">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0A61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551BE280">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29CD23C4">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3DE1D2D2">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1B619A1C">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r w14:paraId="152A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14:paraId="65EE54BC">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541" w:type="pct"/>
            <w:vAlign w:val="center"/>
          </w:tcPr>
          <w:p w14:paraId="03359AC6">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600" w:type="pct"/>
            <w:vAlign w:val="center"/>
          </w:tcPr>
          <w:p w14:paraId="3A7F55AD">
            <w:pPr>
              <w:tabs>
                <w:tab w:val="left" w:pos="6300"/>
              </w:tabs>
              <w:snapToGrid w:val="0"/>
              <w:spacing w:line="500" w:lineRule="exact"/>
              <w:jc w:val="center"/>
              <w:outlineLvl w:val="0"/>
              <w:rPr>
                <w:rFonts w:ascii="方正仿宋_GBK" w:hAnsi="宋体" w:eastAsia="方正仿宋_GBK"/>
                <w:color w:val="auto"/>
                <w:sz w:val="21"/>
                <w:szCs w:val="21"/>
                <w:highlight w:val="none"/>
              </w:rPr>
            </w:pPr>
          </w:p>
        </w:tc>
        <w:tc>
          <w:tcPr>
            <w:tcW w:w="1199" w:type="pct"/>
            <w:vAlign w:val="center"/>
          </w:tcPr>
          <w:p w14:paraId="4206AD16">
            <w:pPr>
              <w:tabs>
                <w:tab w:val="left" w:pos="6300"/>
              </w:tabs>
              <w:snapToGrid w:val="0"/>
              <w:spacing w:line="500" w:lineRule="exact"/>
              <w:jc w:val="center"/>
              <w:outlineLvl w:val="0"/>
              <w:rPr>
                <w:rFonts w:ascii="方正仿宋_GBK" w:hAnsi="宋体" w:eastAsia="方正仿宋_GBK"/>
                <w:color w:val="auto"/>
                <w:sz w:val="21"/>
                <w:szCs w:val="21"/>
                <w:highlight w:val="none"/>
              </w:rPr>
            </w:pPr>
          </w:p>
        </w:tc>
      </w:tr>
    </w:tbl>
    <w:p w14:paraId="2A6B667D">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14:paraId="75478D11">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w:t>
      </w:r>
    </w:p>
    <w:p w14:paraId="54FBC634">
      <w:pPr>
        <w:spacing w:line="360" w:lineRule="auto"/>
        <w:ind w:firstLine="720" w:firstLineChars="300"/>
        <w:rPr>
          <w:rFonts w:ascii="宋体" w:hAnsi="宋体" w:cs="宋体"/>
          <w:color w:val="auto"/>
          <w:sz w:val="24"/>
          <w:szCs w:val="28"/>
          <w:highlight w:val="none"/>
        </w:rPr>
      </w:pPr>
      <w:r>
        <w:rPr>
          <w:rFonts w:hint="eastAsia" w:ascii="宋体" w:hAnsi="宋体" w:cs="宋体"/>
          <w:color w:val="auto"/>
          <w:sz w:val="24"/>
          <w:szCs w:val="28"/>
          <w:highlight w:val="none"/>
        </w:rPr>
        <w:t>（投标人公章）                               （签字或盖章）</w:t>
      </w:r>
    </w:p>
    <w:p w14:paraId="59EF8AA3">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szCs w:val="28"/>
          <w:highlight w:val="none"/>
        </w:rPr>
        <w:t xml:space="preserve">                                            年     月     日</w:t>
      </w:r>
    </w:p>
    <w:p w14:paraId="55A66F92">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注：</w:t>
      </w:r>
    </w:p>
    <w:p w14:paraId="6D132481">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1.本表即为对本项目“第二篇  项目服务需求”中所列条款进行比较和响应；</w:t>
      </w:r>
    </w:p>
    <w:p w14:paraId="126C5B5B">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2.本表可扩展。</w:t>
      </w:r>
    </w:p>
    <w:p w14:paraId="61F97A83">
      <w:pPr>
        <w:snapToGrid w:val="0"/>
        <w:spacing w:line="360" w:lineRule="auto"/>
        <w:ind w:firstLine="480" w:firstLineChars="200"/>
        <w:rPr>
          <w:rFonts w:ascii="宋体" w:hAnsi="宋体" w:cs="宋体"/>
          <w:color w:val="auto"/>
          <w:sz w:val="24"/>
          <w:szCs w:val="28"/>
          <w:highlight w:val="none"/>
        </w:rPr>
      </w:pPr>
    </w:p>
    <w:p w14:paraId="3ADDE63B">
      <w:pPr>
        <w:pStyle w:val="5"/>
        <w:pageBreakBefore/>
        <w:ind w:firstLine="562" w:firstLineChars="200"/>
        <w:rPr>
          <w:rFonts w:cs="宋体"/>
          <w:b/>
          <w:color w:val="auto"/>
          <w:szCs w:val="28"/>
          <w:highlight w:val="none"/>
        </w:rPr>
      </w:pPr>
      <w:bookmarkStart w:id="163" w:name="_Toc5233"/>
      <w:bookmarkStart w:id="164" w:name="_Toc492721039"/>
      <w:bookmarkStart w:id="165" w:name="_Toc4644"/>
      <w:bookmarkStart w:id="166" w:name="_Toc493178791"/>
      <w:bookmarkStart w:id="167" w:name="_Toc29284"/>
      <w:r>
        <w:rPr>
          <w:rFonts w:hint="eastAsia" w:cs="宋体"/>
          <w:b/>
          <w:color w:val="auto"/>
          <w:szCs w:val="28"/>
          <w:highlight w:val="none"/>
        </w:rPr>
        <w:t>三、商务文件</w:t>
      </w:r>
      <w:bookmarkEnd w:id="163"/>
      <w:bookmarkEnd w:id="164"/>
      <w:bookmarkEnd w:id="165"/>
      <w:bookmarkEnd w:id="166"/>
      <w:bookmarkEnd w:id="167"/>
    </w:p>
    <w:p w14:paraId="6DD63BD3">
      <w:pPr>
        <w:snapToGrid w:val="0"/>
        <w:spacing w:before="120" w:beforeLines="50" w:line="360" w:lineRule="auto"/>
        <w:jc w:val="center"/>
        <w:rPr>
          <w:rFonts w:ascii="宋体" w:hAnsi="宋体" w:cs="宋体"/>
          <w:color w:val="auto"/>
          <w:szCs w:val="28"/>
          <w:highlight w:val="none"/>
        </w:rPr>
      </w:pPr>
      <w:r>
        <w:rPr>
          <w:rFonts w:hint="eastAsia" w:ascii="宋体" w:hAnsi="宋体" w:cs="宋体"/>
          <w:color w:val="auto"/>
          <w:szCs w:val="28"/>
          <w:highlight w:val="none"/>
        </w:rPr>
        <w:t>（一）投标函（格式）</w:t>
      </w:r>
    </w:p>
    <w:p w14:paraId="4EC1F80D">
      <w:pPr>
        <w:spacing w:line="360" w:lineRule="auto"/>
        <w:rPr>
          <w:rFonts w:ascii="宋体" w:hAnsi="宋体" w:cs="宋体"/>
          <w:color w:val="auto"/>
          <w:sz w:val="24"/>
          <w:szCs w:val="28"/>
          <w:highlight w:val="none"/>
        </w:rPr>
      </w:pPr>
    </w:p>
    <w:p w14:paraId="0255E1DE">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招标项目名称：                                             </w:t>
      </w:r>
    </w:p>
    <w:p w14:paraId="33C6BEA4">
      <w:pPr>
        <w:spacing w:line="360" w:lineRule="auto"/>
        <w:rPr>
          <w:rFonts w:ascii="宋体" w:hAnsi="宋体" w:cs="宋体"/>
          <w:color w:val="auto"/>
          <w:sz w:val="24"/>
          <w:szCs w:val="28"/>
          <w:highlight w:val="none"/>
        </w:rPr>
      </w:pPr>
    </w:p>
    <w:p w14:paraId="6A8C6DDF">
      <w:p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致：重庆工商大学：</w:t>
      </w:r>
    </w:p>
    <w:p w14:paraId="2860021E">
      <w:pPr>
        <w:snapToGrid w:val="0"/>
        <w:spacing w:before="120" w:beforeLines="50"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（投标人名称）系中华人民共和国合法企业，注册地址：                               。我方就参加本次投标有关事项郑重声明如下：</w:t>
      </w:r>
    </w:p>
    <w:p w14:paraId="063E0747">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一、我方完全理解并接受该项目招标文件所有要求。</w:t>
      </w:r>
    </w:p>
    <w:p w14:paraId="14A9E21F">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二、我方提交的所有投标文件、资料都是准确和真实的，如有虚假或隐瞒，我方愿意承担一切法律责任。</w:t>
      </w:r>
    </w:p>
    <w:p w14:paraId="545482FF">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三、我方承诺按照招标文件要求，提供招标项目的技术服务。</w:t>
      </w:r>
    </w:p>
    <w:p w14:paraId="49325245">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四、我方按招标文件要求提交的投标文件为：投标文件正本1份，副本  份，电子文档  份。</w:t>
      </w:r>
    </w:p>
    <w:p w14:paraId="2A8AEE8B">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五、我方承诺：本次投标的投标有效期为</w:t>
      </w:r>
      <w:r>
        <w:rPr>
          <w:rFonts w:hint="eastAsia" w:ascii="宋体" w:hAnsi="宋体" w:cs="宋体"/>
          <w:color w:val="auto"/>
          <w:sz w:val="24"/>
          <w:highlight w:val="none"/>
        </w:rPr>
        <w:t>投标截止时间</w:t>
      </w:r>
      <w:r>
        <w:rPr>
          <w:rFonts w:hint="eastAsia" w:ascii="宋体" w:hAnsi="宋体" w:cs="宋体"/>
          <w:color w:val="auto"/>
          <w:sz w:val="24"/>
          <w:szCs w:val="28"/>
          <w:highlight w:val="none"/>
        </w:rPr>
        <w:t>起90天。</w:t>
      </w:r>
    </w:p>
    <w:p w14:paraId="2EEE1D4B">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六、我方投标报价为闭口价。即在投标有效期和合同有效期内，该报价固定不变。</w:t>
      </w:r>
    </w:p>
    <w:p w14:paraId="7FE69511">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七、如果我方中标，我方将履行招标文件中规定的各项要求以及我方投标文件的各项承诺，按《中华人民共和国政府采购法》、《中华人民共和国民法典》及合同约定条款承担我方责任。</w:t>
      </w:r>
    </w:p>
    <w:p w14:paraId="4BF1B0AD">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八、我方未</w:t>
      </w:r>
      <w:r>
        <w:rPr>
          <w:rFonts w:hint="eastAsia" w:ascii="宋体" w:hAnsi="宋体" w:cs="宋体"/>
          <w:color w:val="auto"/>
          <w:sz w:val="24"/>
          <w:szCs w:val="24"/>
          <w:highlight w:val="none"/>
        </w:rPr>
        <w:t>为采购项目提供整体设计、规范编制或者项目管理、监理、检测等服务。</w:t>
      </w:r>
    </w:p>
    <w:p w14:paraId="1213AE4C">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九、我方理解，最低报价不是中标的唯一条件。</w:t>
      </w:r>
    </w:p>
    <w:p w14:paraId="18125E19">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十、我方同意按有关规定及招标文件要求，交纳足额投标保证金。</w:t>
      </w:r>
    </w:p>
    <w:p w14:paraId="13B0994F">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十一、若我方中标，愿意按有关规定及招标文件要求缴纳招标代理服务费和交易服务费。</w:t>
      </w:r>
    </w:p>
    <w:p w14:paraId="78F63653">
      <w:pPr>
        <w:tabs>
          <w:tab w:val="left" w:pos="6300"/>
        </w:tabs>
        <w:snapToGrid w:val="0"/>
        <w:spacing w:line="360" w:lineRule="auto"/>
        <w:ind w:firstLine="5460" w:firstLineChars="2275"/>
        <w:rPr>
          <w:rFonts w:ascii="宋体" w:hAnsi="宋体" w:cs="宋体"/>
          <w:color w:val="auto"/>
          <w:sz w:val="24"/>
          <w:szCs w:val="28"/>
          <w:highlight w:val="none"/>
        </w:rPr>
      </w:pPr>
      <w:r>
        <w:rPr>
          <w:rFonts w:hint="eastAsia" w:ascii="宋体" w:hAnsi="宋体" w:cs="宋体"/>
          <w:color w:val="auto"/>
          <w:sz w:val="24"/>
          <w:szCs w:val="28"/>
          <w:highlight w:val="none"/>
        </w:rPr>
        <w:t>（投标人公章）</w:t>
      </w:r>
    </w:p>
    <w:p w14:paraId="188F0B0F">
      <w:pPr>
        <w:tabs>
          <w:tab w:val="left" w:pos="6300"/>
        </w:tabs>
        <w:snapToGrid w:val="0"/>
        <w:spacing w:line="360" w:lineRule="auto"/>
        <w:ind w:firstLine="570"/>
        <w:rPr>
          <w:rFonts w:ascii="宋体" w:hAnsi="宋体" w:cs="宋体"/>
          <w:color w:val="auto"/>
          <w:sz w:val="24"/>
          <w:szCs w:val="28"/>
          <w:highlight w:val="none"/>
        </w:rPr>
      </w:pPr>
    </w:p>
    <w:p w14:paraId="42A8107F">
      <w:pPr>
        <w:tabs>
          <w:tab w:val="left" w:pos="6300"/>
        </w:tabs>
        <w:snapToGrid w:val="0"/>
        <w:spacing w:line="360" w:lineRule="auto"/>
        <w:ind w:firstLine="5760" w:firstLineChars="2400"/>
        <w:rPr>
          <w:rFonts w:ascii="宋体" w:hAnsi="宋体" w:cs="宋体"/>
          <w:color w:val="auto"/>
          <w:szCs w:val="28"/>
          <w:highlight w:val="none"/>
        </w:rPr>
      </w:pPr>
      <w:r>
        <w:rPr>
          <w:rFonts w:hint="eastAsia" w:ascii="宋体" w:hAnsi="宋体" w:cs="宋体"/>
          <w:color w:val="auto"/>
          <w:sz w:val="24"/>
          <w:szCs w:val="28"/>
          <w:highlight w:val="none"/>
        </w:rPr>
        <w:t>年    月   日</w:t>
      </w:r>
    </w:p>
    <w:p w14:paraId="448DAE01">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44"/>
          <w:highlight w:val="none"/>
        </w:rPr>
        <w:br w:type="page"/>
      </w:r>
      <w:r>
        <w:rPr>
          <w:rFonts w:hint="eastAsia" w:ascii="宋体" w:hAnsi="宋体" w:cs="宋体"/>
          <w:color w:val="auto"/>
          <w:sz w:val="24"/>
          <w:szCs w:val="28"/>
          <w:highlight w:val="none"/>
        </w:rPr>
        <w:t>（二）商务响应偏离表</w:t>
      </w:r>
    </w:p>
    <w:p w14:paraId="0A593C5A">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14:paraId="1C6CEFF6">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14:paraId="303D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14:paraId="1A3E6ABD">
            <w:pPr>
              <w:snapToGrid w:val="0"/>
              <w:spacing w:line="360" w:lineRule="auto"/>
              <w:ind w:firstLine="465"/>
              <w:rPr>
                <w:rFonts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序号</w:t>
            </w:r>
          </w:p>
        </w:tc>
        <w:tc>
          <w:tcPr>
            <w:tcW w:w="3179" w:type="dxa"/>
            <w:vAlign w:val="center"/>
          </w:tcPr>
          <w:p w14:paraId="67919B3E">
            <w:pPr>
              <w:tabs>
                <w:tab w:val="left" w:pos="6300"/>
              </w:tabs>
              <w:snapToGrid w:val="0"/>
              <w:spacing w:line="360" w:lineRule="auto"/>
              <w:jc w:val="center"/>
              <w:outlineLvl w:val="0"/>
              <w:rPr>
                <w:rFonts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磋商项目商务需求</w:t>
            </w:r>
          </w:p>
        </w:tc>
        <w:tc>
          <w:tcPr>
            <w:tcW w:w="2434" w:type="dxa"/>
            <w:vAlign w:val="center"/>
          </w:tcPr>
          <w:p w14:paraId="57FD7768">
            <w:pPr>
              <w:tabs>
                <w:tab w:val="left" w:pos="6300"/>
              </w:tabs>
              <w:snapToGrid w:val="0"/>
              <w:spacing w:line="360" w:lineRule="auto"/>
              <w:jc w:val="center"/>
              <w:outlineLvl w:val="0"/>
              <w:rPr>
                <w:rFonts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响应情况</w:t>
            </w:r>
          </w:p>
        </w:tc>
        <w:tc>
          <w:tcPr>
            <w:tcW w:w="2355" w:type="dxa"/>
            <w:vAlign w:val="center"/>
          </w:tcPr>
          <w:p w14:paraId="31DAC179">
            <w:pPr>
              <w:tabs>
                <w:tab w:val="left" w:pos="6300"/>
              </w:tabs>
              <w:snapToGrid w:val="0"/>
              <w:spacing w:line="360" w:lineRule="auto"/>
              <w:jc w:val="center"/>
              <w:outlineLvl w:val="0"/>
              <w:rPr>
                <w:rFonts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偏离说明</w:t>
            </w:r>
          </w:p>
        </w:tc>
      </w:tr>
      <w:tr w14:paraId="3122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34010F5E">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27B7568D">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3F802B0D">
            <w:pPr>
              <w:tabs>
                <w:tab w:val="left" w:pos="6300"/>
              </w:tabs>
              <w:snapToGrid w:val="0"/>
              <w:spacing w:line="360" w:lineRule="auto"/>
              <w:outlineLvl w:val="0"/>
              <w:rPr>
                <w:rFonts w:ascii="方正仿宋_GBK" w:hAnsi="宋体" w:eastAsia="方正仿宋_GBK"/>
                <w:color w:val="auto"/>
                <w:sz w:val="21"/>
                <w:szCs w:val="24"/>
                <w:highlight w:val="none"/>
              </w:rPr>
            </w:pPr>
            <w:r>
              <w:rPr>
                <w:rFonts w:ascii="方正仿宋_GBK" w:hAnsi="仿宋" w:eastAsia="方正仿宋_GBK"/>
                <w:color w:val="auto"/>
                <w:sz w:val="21"/>
                <w:szCs w:val="21"/>
                <w:highlight w:val="none"/>
              </w:rPr>
              <w:t>提醒</w:t>
            </w:r>
            <w:r>
              <w:rPr>
                <w:rFonts w:hint="eastAsia" w:ascii="方正仿宋_GBK" w:hAnsi="仿宋" w:eastAsia="方正仿宋_GBK"/>
                <w:color w:val="auto"/>
                <w:sz w:val="21"/>
                <w:szCs w:val="21"/>
                <w:highlight w:val="none"/>
              </w:rPr>
              <w:t>：</w:t>
            </w:r>
            <w:r>
              <w:rPr>
                <w:rFonts w:ascii="方正仿宋_GBK" w:hAnsi="仿宋" w:eastAsia="方正仿宋_GBK"/>
                <w:color w:val="auto"/>
                <w:sz w:val="21"/>
                <w:szCs w:val="21"/>
                <w:highlight w:val="none"/>
              </w:rPr>
              <w:t>请注明具体内容以及</w:t>
            </w:r>
            <w:r>
              <w:rPr>
                <w:rFonts w:hint="eastAsia" w:ascii="方正仿宋_GBK" w:hAnsi="仿宋" w:eastAsia="方正仿宋_GBK"/>
                <w:color w:val="auto"/>
                <w:sz w:val="21"/>
                <w:szCs w:val="21"/>
                <w:highlight w:val="none"/>
              </w:rPr>
              <w:t>投标文件</w:t>
            </w:r>
            <w:r>
              <w:rPr>
                <w:rFonts w:ascii="方正仿宋_GBK" w:hAnsi="仿宋" w:eastAsia="方正仿宋_GBK"/>
                <w:color w:val="auto"/>
                <w:sz w:val="21"/>
                <w:szCs w:val="21"/>
                <w:highlight w:val="none"/>
              </w:rPr>
              <w:t>中</w:t>
            </w:r>
            <w:r>
              <w:rPr>
                <w:rFonts w:hint="eastAsia" w:ascii="方正仿宋_GBK" w:hAnsi="仿宋" w:eastAsia="方正仿宋_GBK"/>
                <w:color w:val="auto"/>
                <w:sz w:val="21"/>
                <w:szCs w:val="21"/>
                <w:highlight w:val="none"/>
              </w:rPr>
              <w:t>具体</w:t>
            </w:r>
            <w:r>
              <w:rPr>
                <w:rFonts w:ascii="方正仿宋_GBK" w:hAnsi="仿宋" w:eastAsia="方正仿宋_GBK"/>
                <w:color w:val="auto"/>
                <w:sz w:val="21"/>
                <w:szCs w:val="21"/>
                <w:highlight w:val="none"/>
              </w:rPr>
              <w:t>内容</w:t>
            </w:r>
            <w:r>
              <w:rPr>
                <w:rFonts w:hint="eastAsia" w:ascii="方正仿宋_GBK" w:hAnsi="仿宋" w:eastAsia="方正仿宋_GBK"/>
                <w:color w:val="auto"/>
                <w:sz w:val="21"/>
                <w:szCs w:val="21"/>
                <w:highlight w:val="none"/>
              </w:rPr>
              <w:t>的</w:t>
            </w:r>
            <w:r>
              <w:rPr>
                <w:rFonts w:ascii="方正仿宋_GBK" w:hAnsi="仿宋" w:eastAsia="方正仿宋_GBK"/>
                <w:color w:val="auto"/>
                <w:sz w:val="21"/>
                <w:szCs w:val="21"/>
                <w:highlight w:val="none"/>
              </w:rPr>
              <w:t>位置（</w:t>
            </w:r>
            <w:r>
              <w:rPr>
                <w:rFonts w:hint="eastAsia" w:ascii="方正仿宋_GBK" w:hAnsi="仿宋" w:eastAsia="方正仿宋_GBK"/>
                <w:color w:val="auto"/>
                <w:sz w:val="21"/>
                <w:szCs w:val="21"/>
                <w:highlight w:val="none"/>
              </w:rPr>
              <w:t>页码</w:t>
            </w:r>
            <w:r>
              <w:rPr>
                <w:rFonts w:ascii="方正仿宋_GBK" w:hAnsi="仿宋" w:eastAsia="方正仿宋_GBK"/>
                <w:color w:val="auto"/>
                <w:sz w:val="21"/>
                <w:szCs w:val="21"/>
                <w:highlight w:val="none"/>
              </w:rPr>
              <w:t>）</w:t>
            </w:r>
          </w:p>
        </w:tc>
        <w:tc>
          <w:tcPr>
            <w:tcW w:w="2355" w:type="dxa"/>
            <w:vAlign w:val="center"/>
          </w:tcPr>
          <w:p w14:paraId="330064AB">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r w14:paraId="649D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1FB442FF">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617B02C2">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4725A950">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355" w:type="dxa"/>
            <w:vAlign w:val="center"/>
          </w:tcPr>
          <w:p w14:paraId="0ADD3DEE">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r w14:paraId="2A52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08884B4C">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6FBD5495">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4D62DE40">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355" w:type="dxa"/>
            <w:vAlign w:val="center"/>
          </w:tcPr>
          <w:p w14:paraId="64F51C7B">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r w14:paraId="1B4E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3D467110">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526C35A6">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1C52FC0C">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355" w:type="dxa"/>
            <w:vAlign w:val="center"/>
          </w:tcPr>
          <w:p w14:paraId="369C0A90">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r w14:paraId="4C7B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1B13CDC2">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61C95355">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038EC524">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355" w:type="dxa"/>
            <w:vAlign w:val="center"/>
          </w:tcPr>
          <w:p w14:paraId="172DA0B7">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r w14:paraId="0C416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14:paraId="3159B445">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3179" w:type="dxa"/>
            <w:vAlign w:val="center"/>
          </w:tcPr>
          <w:p w14:paraId="59658372">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434" w:type="dxa"/>
            <w:vAlign w:val="center"/>
          </w:tcPr>
          <w:p w14:paraId="26709817">
            <w:pPr>
              <w:tabs>
                <w:tab w:val="left" w:pos="6300"/>
              </w:tabs>
              <w:snapToGrid w:val="0"/>
              <w:spacing w:line="360" w:lineRule="auto"/>
              <w:jc w:val="center"/>
              <w:outlineLvl w:val="0"/>
              <w:rPr>
                <w:rFonts w:ascii="方正仿宋_GBK" w:hAnsi="宋体" w:eastAsia="方正仿宋_GBK"/>
                <w:color w:val="auto"/>
                <w:sz w:val="21"/>
                <w:szCs w:val="24"/>
                <w:highlight w:val="none"/>
              </w:rPr>
            </w:pPr>
          </w:p>
        </w:tc>
        <w:tc>
          <w:tcPr>
            <w:tcW w:w="2355" w:type="dxa"/>
            <w:vAlign w:val="center"/>
          </w:tcPr>
          <w:p w14:paraId="48875E81">
            <w:pPr>
              <w:tabs>
                <w:tab w:val="left" w:pos="6300"/>
              </w:tabs>
              <w:snapToGrid w:val="0"/>
              <w:spacing w:line="360" w:lineRule="auto"/>
              <w:jc w:val="center"/>
              <w:outlineLvl w:val="0"/>
              <w:rPr>
                <w:rFonts w:ascii="方正仿宋_GBK" w:hAnsi="宋体" w:eastAsia="方正仿宋_GBK"/>
                <w:color w:val="auto"/>
                <w:sz w:val="21"/>
                <w:szCs w:val="24"/>
                <w:highlight w:val="none"/>
              </w:rPr>
            </w:pPr>
          </w:p>
        </w:tc>
      </w:tr>
    </w:tbl>
    <w:p w14:paraId="43C83321">
      <w:pPr>
        <w:spacing w:line="360" w:lineRule="auto"/>
        <w:ind w:firstLine="600" w:firstLineChars="250"/>
        <w:rPr>
          <w:rFonts w:ascii="宋体" w:hAnsi="宋体" w:cs="宋体"/>
          <w:color w:val="auto"/>
          <w:sz w:val="24"/>
          <w:szCs w:val="28"/>
          <w:highlight w:val="none"/>
        </w:rPr>
      </w:pPr>
    </w:p>
    <w:p w14:paraId="725E4A95">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14:paraId="26602EEA">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14:paraId="52F4995A">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szCs w:val="28"/>
          <w:highlight w:val="none"/>
        </w:rPr>
        <w:t xml:space="preserve">                                            年     月     日</w:t>
      </w:r>
    </w:p>
    <w:p w14:paraId="0CAC0371">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注：</w:t>
      </w:r>
    </w:p>
    <w:p w14:paraId="3E0CAF30">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1.本表即为对本项目“第三篇  项目商务需求”中所列条款进行比较和响应；</w:t>
      </w:r>
    </w:p>
    <w:p w14:paraId="07A99391">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2.本表可扩展。</w:t>
      </w:r>
    </w:p>
    <w:p w14:paraId="0F8ECDF6">
      <w:pPr>
        <w:snapToGrid w:val="0"/>
        <w:spacing w:line="360" w:lineRule="auto"/>
        <w:ind w:firstLine="560" w:firstLineChars="200"/>
        <w:rPr>
          <w:rFonts w:ascii="宋体" w:hAnsi="宋体" w:cs="宋体"/>
          <w:color w:val="auto"/>
          <w:szCs w:val="28"/>
          <w:highlight w:val="none"/>
        </w:rPr>
      </w:pPr>
      <w:r>
        <w:rPr>
          <w:rFonts w:hint="eastAsia" w:ascii="宋体" w:hAnsi="宋体" w:cs="宋体"/>
          <w:color w:val="auto"/>
          <w:szCs w:val="28"/>
          <w:highlight w:val="none"/>
        </w:rPr>
        <w:br w:type="page"/>
      </w:r>
      <w:r>
        <w:rPr>
          <w:rFonts w:hint="eastAsia" w:ascii="宋体" w:hAnsi="宋体" w:cs="宋体"/>
          <w:color w:val="auto"/>
          <w:sz w:val="24"/>
          <w:szCs w:val="28"/>
          <w:highlight w:val="none"/>
        </w:rPr>
        <w:t>（三）其它优惠承诺（格式自定）</w:t>
      </w:r>
    </w:p>
    <w:p w14:paraId="74801741">
      <w:pPr>
        <w:pStyle w:val="5"/>
        <w:pageBreakBefore/>
        <w:ind w:firstLine="562" w:firstLineChars="200"/>
        <w:rPr>
          <w:rFonts w:cs="宋体"/>
          <w:b/>
          <w:color w:val="auto"/>
          <w:szCs w:val="28"/>
          <w:highlight w:val="none"/>
        </w:rPr>
      </w:pPr>
      <w:bookmarkStart w:id="168" w:name="_Toc21544"/>
      <w:bookmarkStart w:id="169" w:name="_Toc492721041"/>
      <w:bookmarkStart w:id="170" w:name="_Toc493178792"/>
      <w:bookmarkStart w:id="171" w:name="_Toc24756"/>
      <w:bookmarkStart w:id="172" w:name="_Toc19141"/>
      <w:r>
        <w:rPr>
          <w:rFonts w:hint="eastAsia" w:cs="宋体"/>
          <w:b/>
          <w:color w:val="auto"/>
          <w:szCs w:val="28"/>
          <w:highlight w:val="none"/>
        </w:rPr>
        <w:t>四、其他</w:t>
      </w:r>
      <w:bookmarkEnd w:id="168"/>
      <w:bookmarkEnd w:id="169"/>
      <w:bookmarkEnd w:id="170"/>
      <w:bookmarkEnd w:id="171"/>
      <w:bookmarkEnd w:id="172"/>
    </w:p>
    <w:p w14:paraId="7108FDFD">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（一）其他与项目有关的资料（自附）</w:t>
      </w:r>
    </w:p>
    <w:p w14:paraId="0104C9FA">
      <w:pPr>
        <w:pStyle w:val="5"/>
        <w:pageBreakBefore/>
        <w:ind w:firstLine="562" w:firstLineChars="200"/>
        <w:rPr>
          <w:rFonts w:cs="宋体"/>
          <w:b/>
          <w:color w:val="auto"/>
          <w:szCs w:val="28"/>
          <w:highlight w:val="none"/>
        </w:rPr>
      </w:pPr>
      <w:bookmarkStart w:id="173" w:name="_Toc6077"/>
      <w:bookmarkStart w:id="174" w:name="_Toc492721038"/>
      <w:bookmarkStart w:id="175" w:name="_Toc11651"/>
      <w:bookmarkStart w:id="176" w:name="_Toc8565"/>
      <w:bookmarkStart w:id="177" w:name="_Toc493178793"/>
      <w:r>
        <w:rPr>
          <w:rFonts w:hint="eastAsia" w:cs="宋体"/>
          <w:b/>
          <w:color w:val="auto"/>
          <w:szCs w:val="28"/>
          <w:highlight w:val="none"/>
        </w:rPr>
        <w:t>五、资格文件</w:t>
      </w:r>
      <w:bookmarkEnd w:id="173"/>
      <w:bookmarkEnd w:id="174"/>
      <w:bookmarkEnd w:id="175"/>
      <w:bookmarkEnd w:id="176"/>
      <w:bookmarkEnd w:id="177"/>
    </w:p>
    <w:p w14:paraId="2FC52110">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（一）企业法人营业执照（副本）</w:t>
      </w:r>
    </w:p>
    <w:p w14:paraId="389220DB">
      <w:pPr>
        <w:tabs>
          <w:tab w:val="left" w:pos="6300"/>
        </w:tabs>
        <w:snapToGrid w:val="0"/>
        <w:spacing w:line="360" w:lineRule="auto"/>
        <w:ind w:firstLine="570"/>
        <w:rPr>
          <w:rFonts w:ascii="宋体" w:hAnsi="宋体" w:cs="宋体"/>
          <w:color w:val="auto"/>
          <w:highlight w:val="none"/>
        </w:rPr>
      </w:pPr>
    </w:p>
    <w:p w14:paraId="59033FD2">
      <w:pPr>
        <w:tabs>
          <w:tab w:val="left" w:pos="6300"/>
        </w:tabs>
        <w:snapToGrid w:val="0"/>
        <w:spacing w:line="360" w:lineRule="auto"/>
        <w:ind w:firstLine="570"/>
        <w:rPr>
          <w:rFonts w:ascii="宋体" w:hAnsi="宋体" w:cs="宋体"/>
          <w:color w:val="auto"/>
          <w:highlight w:val="none"/>
        </w:rPr>
      </w:pPr>
    </w:p>
    <w:p w14:paraId="6CB43DBE">
      <w:pPr>
        <w:tabs>
          <w:tab w:val="left" w:pos="6300"/>
        </w:tabs>
        <w:snapToGrid w:val="0"/>
        <w:spacing w:line="360" w:lineRule="auto"/>
        <w:ind w:firstLine="570"/>
        <w:rPr>
          <w:rFonts w:ascii="宋体" w:hAnsi="宋体" w:cs="宋体"/>
          <w:color w:val="auto"/>
          <w:highlight w:val="none"/>
        </w:rPr>
      </w:pPr>
    </w:p>
    <w:p w14:paraId="59B195C9">
      <w:pPr>
        <w:tabs>
          <w:tab w:val="left" w:pos="6300"/>
        </w:tabs>
        <w:snapToGrid w:val="0"/>
        <w:spacing w:line="360" w:lineRule="auto"/>
        <w:ind w:firstLine="570"/>
        <w:rPr>
          <w:rFonts w:ascii="宋体" w:hAnsi="宋体" w:cs="宋体"/>
          <w:color w:val="auto"/>
          <w:highlight w:val="none"/>
        </w:rPr>
      </w:pPr>
    </w:p>
    <w:p w14:paraId="0CCC324A">
      <w:pPr>
        <w:tabs>
          <w:tab w:val="left" w:pos="6300"/>
        </w:tabs>
        <w:snapToGrid w:val="0"/>
        <w:spacing w:line="360" w:lineRule="auto"/>
        <w:ind w:firstLine="570"/>
        <w:rPr>
          <w:rFonts w:ascii="宋体" w:hAnsi="宋体" w:cs="宋体"/>
          <w:color w:val="auto"/>
          <w:highlight w:val="none"/>
        </w:rPr>
      </w:pPr>
    </w:p>
    <w:p w14:paraId="10B1F470">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page"/>
      </w:r>
      <w:r>
        <w:rPr>
          <w:rFonts w:hint="eastAsia" w:ascii="宋体" w:hAnsi="宋体" w:cs="宋体"/>
          <w:color w:val="auto"/>
          <w:sz w:val="24"/>
          <w:szCs w:val="28"/>
          <w:highlight w:val="none"/>
        </w:rPr>
        <w:t>（二）法定代表人身份证明书（格式）</w:t>
      </w:r>
    </w:p>
    <w:p w14:paraId="15FB1EF8">
      <w:pPr>
        <w:tabs>
          <w:tab w:val="left" w:pos="6300"/>
        </w:tabs>
        <w:snapToGrid w:val="0"/>
        <w:spacing w:line="360" w:lineRule="auto"/>
        <w:ind w:firstLine="570"/>
        <w:rPr>
          <w:rFonts w:ascii="宋体" w:hAnsi="宋体" w:cs="宋体"/>
          <w:color w:val="auto"/>
          <w:sz w:val="24"/>
          <w:highlight w:val="none"/>
        </w:rPr>
      </w:pPr>
    </w:p>
    <w:p w14:paraId="5DDFBEFF">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招标项目名称：                                                </w:t>
      </w:r>
    </w:p>
    <w:p w14:paraId="6BAF3199">
      <w:pPr>
        <w:tabs>
          <w:tab w:val="left" w:pos="6300"/>
        </w:tabs>
        <w:snapToGrid w:val="0"/>
        <w:spacing w:line="360" w:lineRule="auto"/>
        <w:ind w:firstLine="570"/>
        <w:rPr>
          <w:rFonts w:ascii="宋体" w:hAnsi="宋体" w:cs="宋体"/>
          <w:color w:val="auto"/>
          <w:sz w:val="24"/>
          <w:highlight w:val="none"/>
        </w:rPr>
      </w:pPr>
    </w:p>
    <w:p w14:paraId="3B0EA92D">
      <w:pPr>
        <w:tabs>
          <w:tab w:val="left" w:pos="630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致：                     （采购代理机构名称）：</w:t>
      </w:r>
    </w:p>
    <w:p w14:paraId="3C7D0115">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（法定代表人姓名）在                       （投标人名称）任    （职务名称）职务，是（投标人名称）              的法定代表人。</w:t>
      </w:r>
    </w:p>
    <w:p w14:paraId="229F6563">
      <w:pPr>
        <w:tabs>
          <w:tab w:val="left" w:pos="6300"/>
        </w:tabs>
        <w:snapToGrid w:val="0"/>
        <w:spacing w:line="360" w:lineRule="auto"/>
        <w:ind w:firstLine="570"/>
        <w:rPr>
          <w:rFonts w:ascii="宋体" w:hAnsi="宋体" w:cs="宋体"/>
          <w:color w:val="auto"/>
          <w:sz w:val="24"/>
          <w:highlight w:val="none"/>
        </w:rPr>
      </w:pPr>
    </w:p>
    <w:p w14:paraId="580149E0">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特此证明。</w:t>
      </w:r>
    </w:p>
    <w:p w14:paraId="447BF815">
      <w:pPr>
        <w:tabs>
          <w:tab w:val="left" w:pos="6300"/>
        </w:tabs>
        <w:snapToGrid w:val="0"/>
        <w:spacing w:line="360" w:lineRule="auto"/>
        <w:ind w:firstLine="570"/>
        <w:rPr>
          <w:rFonts w:ascii="宋体" w:hAnsi="宋体" w:cs="宋体"/>
          <w:color w:val="auto"/>
          <w:sz w:val="24"/>
          <w:highlight w:val="none"/>
        </w:rPr>
      </w:pPr>
    </w:p>
    <w:p w14:paraId="62E91212">
      <w:pPr>
        <w:tabs>
          <w:tab w:val="left" w:pos="6300"/>
        </w:tabs>
        <w:snapToGrid w:val="0"/>
        <w:spacing w:line="360" w:lineRule="auto"/>
        <w:ind w:firstLine="570"/>
        <w:rPr>
          <w:rFonts w:ascii="宋体" w:hAnsi="宋体" w:cs="宋体"/>
          <w:color w:val="auto"/>
          <w:sz w:val="24"/>
          <w:highlight w:val="none"/>
        </w:rPr>
      </w:pPr>
    </w:p>
    <w:p w14:paraId="22673194">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投标人：</w:t>
      </w:r>
    </w:p>
    <w:p w14:paraId="6BE5C9F6">
      <w:pPr>
        <w:tabs>
          <w:tab w:val="left" w:pos="6300"/>
        </w:tabs>
        <w:snapToGrid w:val="0"/>
        <w:spacing w:line="360" w:lineRule="auto"/>
        <w:ind w:firstLine="5848" w:firstLineChars="2437"/>
        <w:rPr>
          <w:rFonts w:ascii="宋体" w:hAnsi="宋体" w:cs="宋体"/>
          <w:color w:val="auto"/>
          <w:sz w:val="24"/>
          <w:highlight w:val="none"/>
        </w:rPr>
      </w:pPr>
      <w:r>
        <w:rPr>
          <w:rFonts w:hint="eastAsia" w:ascii="宋体" w:hAnsi="宋体" w:cs="宋体"/>
          <w:color w:val="auto"/>
          <w:sz w:val="24"/>
          <w:highlight w:val="none"/>
        </w:rPr>
        <w:t>（投标人公章）</w:t>
      </w:r>
    </w:p>
    <w:p w14:paraId="6981E258">
      <w:pPr>
        <w:tabs>
          <w:tab w:val="left" w:pos="6300"/>
        </w:tabs>
        <w:snapToGrid w:val="0"/>
        <w:spacing w:line="360" w:lineRule="auto"/>
        <w:ind w:firstLine="570"/>
        <w:rPr>
          <w:rFonts w:ascii="宋体" w:hAnsi="宋体" w:cs="宋体"/>
          <w:color w:val="auto"/>
          <w:sz w:val="24"/>
          <w:highlight w:val="none"/>
        </w:rPr>
      </w:pPr>
    </w:p>
    <w:p w14:paraId="36D52D1A">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年   月   日</w:t>
      </w:r>
    </w:p>
    <w:p w14:paraId="2B2FFDD6">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法定代表人电话：              电子邮箱：    （若授权他人办理并签署投标文件的可不填写）</w:t>
      </w:r>
    </w:p>
    <w:p w14:paraId="6B29C7D7">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（附：法定代表人身份证正反面复印件）</w:t>
      </w:r>
    </w:p>
    <w:p w14:paraId="3CE47FC9">
      <w:pPr>
        <w:tabs>
          <w:tab w:val="left" w:pos="6300"/>
        </w:tabs>
        <w:snapToGrid w:val="0"/>
        <w:spacing w:line="360" w:lineRule="auto"/>
        <w:ind w:firstLine="570"/>
        <w:rPr>
          <w:rFonts w:ascii="宋体" w:hAnsi="宋体" w:cs="宋体"/>
          <w:color w:val="auto"/>
          <w:sz w:val="24"/>
          <w:highlight w:val="none"/>
        </w:rPr>
      </w:pPr>
    </w:p>
    <w:p w14:paraId="25072574">
      <w:pPr>
        <w:tabs>
          <w:tab w:val="left" w:pos="6300"/>
        </w:tabs>
        <w:snapToGrid w:val="0"/>
        <w:spacing w:line="360" w:lineRule="auto"/>
        <w:ind w:firstLine="570"/>
        <w:rPr>
          <w:rFonts w:ascii="宋体" w:hAnsi="宋体" w:cs="宋体"/>
          <w:color w:val="auto"/>
          <w:sz w:val="24"/>
          <w:highlight w:val="none"/>
        </w:rPr>
      </w:pPr>
    </w:p>
    <w:p w14:paraId="1E34880B">
      <w:pPr>
        <w:tabs>
          <w:tab w:val="left" w:pos="6300"/>
        </w:tabs>
        <w:snapToGrid w:val="0"/>
        <w:spacing w:line="360" w:lineRule="auto"/>
        <w:ind w:firstLine="570"/>
        <w:rPr>
          <w:rFonts w:ascii="宋体" w:hAnsi="宋体" w:cs="宋体"/>
          <w:color w:val="auto"/>
          <w:sz w:val="24"/>
          <w:highlight w:val="none"/>
        </w:rPr>
      </w:pPr>
    </w:p>
    <w:p w14:paraId="6053CA9D">
      <w:pPr>
        <w:tabs>
          <w:tab w:val="left" w:pos="6300"/>
        </w:tabs>
        <w:snapToGrid w:val="0"/>
        <w:spacing w:line="360" w:lineRule="auto"/>
        <w:ind w:firstLine="570"/>
        <w:rPr>
          <w:rFonts w:ascii="宋体" w:hAnsi="宋体" w:cs="宋体"/>
          <w:color w:val="auto"/>
          <w:sz w:val="24"/>
          <w:highlight w:val="none"/>
        </w:rPr>
      </w:pPr>
    </w:p>
    <w:p w14:paraId="0990C0DB">
      <w:pPr>
        <w:tabs>
          <w:tab w:val="left" w:pos="6300"/>
        </w:tabs>
        <w:snapToGrid w:val="0"/>
        <w:spacing w:line="360" w:lineRule="auto"/>
        <w:ind w:firstLine="570"/>
        <w:rPr>
          <w:rFonts w:ascii="宋体" w:hAnsi="宋体" w:cs="宋体"/>
          <w:color w:val="auto"/>
          <w:sz w:val="24"/>
          <w:highlight w:val="none"/>
        </w:rPr>
      </w:pPr>
    </w:p>
    <w:p w14:paraId="1143408B">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（三）法定代表人授权委托书（格式）</w:t>
      </w:r>
    </w:p>
    <w:p w14:paraId="5C0FC3B3">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w:t>
      </w:r>
    </w:p>
    <w:p w14:paraId="63D39480">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8"/>
          <w:highlight w:val="none"/>
        </w:rPr>
        <w:t>招标项目名称</w:t>
      </w:r>
      <w:r>
        <w:rPr>
          <w:rFonts w:hint="eastAsia" w:ascii="宋体" w:hAnsi="宋体" w:cs="宋体"/>
          <w:color w:val="auto"/>
          <w:sz w:val="24"/>
          <w:highlight w:val="none"/>
        </w:rPr>
        <w:t xml:space="preserve">：                                                </w:t>
      </w:r>
    </w:p>
    <w:p w14:paraId="46F4D09C">
      <w:pPr>
        <w:tabs>
          <w:tab w:val="left" w:pos="6300"/>
        </w:tabs>
        <w:snapToGrid w:val="0"/>
        <w:spacing w:line="360" w:lineRule="auto"/>
        <w:ind w:firstLine="570"/>
        <w:rPr>
          <w:rFonts w:ascii="宋体" w:hAnsi="宋体" w:cs="宋体"/>
          <w:color w:val="auto"/>
          <w:sz w:val="24"/>
          <w:highlight w:val="none"/>
        </w:rPr>
      </w:pPr>
    </w:p>
    <w:p w14:paraId="38F3CFE8">
      <w:pPr>
        <w:tabs>
          <w:tab w:val="left" w:pos="630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致：                     （采购代理机构名称）：</w:t>
      </w:r>
    </w:p>
    <w:p w14:paraId="7C7BCBF2">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（投标人法定代表人名称）是                    （投标人名称）的法定代表人，特授权          （被授权人姓名及身份证代码）代表我单位全权办理上述项目的投标、谈判、签约等具体工作，并签署全部有关文件、协议及合同。</w:t>
      </w:r>
    </w:p>
    <w:p w14:paraId="344C0CDC">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我单位对被授权人的签字负全部责任。</w:t>
      </w:r>
    </w:p>
    <w:p w14:paraId="649616D5">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在撤消授权的书面通知以前，本授权书一直有效。被授权人在授权书有效期内签署的所有文件不因授权的撤消而失效。</w:t>
      </w:r>
    </w:p>
    <w:p w14:paraId="6CF6CB15">
      <w:pPr>
        <w:tabs>
          <w:tab w:val="left" w:pos="6300"/>
        </w:tabs>
        <w:snapToGrid w:val="0"/>
        <w:spacing w:line="360" w:lineRule="auto"/>
        <w:ind w:firstLine="570"/>
        <w:rPr>
          <w:rFonts w:ascii="宋体" w:hAnsi="宋体" w:cs="宋体"/>
          <w:color w:val="auto"/>
          <w:sz w:val="24"/>
          <w:highlight w:val="none"/>
        </w:rPr>
      </w:pPr>
    </w:p>
    <w:p w14:paraId="52D9DF70">
      <w:pPr>
        <w:tabs>
          <w:tab w:val="left" w:pos="6300"/>
        </w:tabs>
        <w:snapToGrid w:val="0"/>
        <w:spacing w:line="360" w:lineRule="auto"/>
        <w:ind w:firstLine="570"/>
        <w:rPr>
          <w:rFonts w:ascii="宋体" w:hAnsi="宋体" w:cs="宋体"/>
          <w:color w:val="auto"/>
          <w:sz w:val="24"/>
          <w:highlight w:val="none"/>
        </w:rPr>
      </w:pPr>
    </w:p>
    <w:p w14:paraId="0B5D9A71">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被授权人：                                 投标人法定代表人：</w:t>
      </w:r>
    </w:p>
    <w:p w14:paraId="20FA90DB">
      <w:pPr>
        <w:tabs>
          <w:tab w:val="left" w:pos="6300"/>
        </w:tabs>
        <w:snapToGrid w:val="0"/>
        <w:spacing w:line="360" w:lineRule="auto"/>
        <w:ind w:firstLine="570"/>
        <w:rPr>
          <w:rFonts w:ascii="宋体" w:hAnsi="宋体" w:cs="宋体"/>
          <w:color w:val="auto"/>
          <w:sz w:val="24"/>
          <w:szCs w:val="28"/>
          <w:highlight w:val="none"/>
        </w:rPr>
      </w:pPr>
      <w:r>
        <w:rPr>
          <w:rFonts w:hint="eastAsia" w:ascii="宋体" w:hAnsi="宋体" w:cs="宋体"/>
          <w:color w:val="auto"/>
          <w:sz w:val="24"/>
          <w:szCs w:val="28"/>
          <w:highlight w:val="none"/>
        </w:rPr>
        <w:t>（签字或盖章）                                （签字或盖章）</w:t>
      </w:r>
    </w:p>
    <w:p w14:paraId="4793F70D">
      <w:pPr>
        <w:tabs>
          <w:tab w:val="left" w:pos="6300"/>
        </w:tabs>
        <w:snapToGrid w:val="0"/>
        <w:spacing w:line="360" w:lineRule="auto"/>
        <w:ind w:firstLine="570"/>
        <w:rPr>
          <w:rFonts w:ascii="宋体" w:hAnsi="宋体" w:cs="宋体"/>
          <w:color w:val="auto"/>
          <w:sz w:val="24"/>
          <w:szCs w:val="28"/>
          <w:highlight w:val="none"/>
        </w:rPr>
      </w:pPr>
    </w:p>
    <w:p w14:paraId="1279913B">
      <w:pPr>
        <w:tabs>
          <w:tab w:val="left" w:pos="6300"/>
        </w:tabs>
        <w:snapToGrid w:val="0"/>
        <w:spacing w:line="360" w:lineRule="auto"/>
        <w:ind w:firstLine="570"/>
        <w:rPr>
          <w:rFonts w:ascii="宋体" w:hAnsi="宋体" w:cs="宋体"/>
          <w:color w:val="auto"/>
          <w:sz w:val="24"/>
          <w:highlight w:val="none"/>
        </w:rPr>
      </w:pPr>
    </w:p>
    <w:p w14:paraId="5CC5404D">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（附：被授权人身份证正反面复印件）</w:t>
      </w:r>
    </w:p>
    <w:p w14:paraId="1640A8D6">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w:t>
      </w:r>
    </w:p>
    <w:p w14:paraId="4999CB92">
      <w:pPr>
        <w:tabs>
          <w:tab w:val="left" w:pos="6300"/>
        </w:tabs>
        <w:snapToGrid w:val="0"/>
        <w:spacing w:line="360" w:lineRule="auto"/>
        <w:ind w:firstLine="570"/>
        <w:rPr>
          <w:rFonts w:ascii="宋体" w:hAnsi="宋体" w:cs="宋体"/>
          <w:color w:val="auto"/>
          <w:sz w:val="24"/>
          <w:highlight w:val="none"/>
        </w:rPr>
      </w:pPr>
    </w:p>
    <w:p w14:paraId="2C2371DD">
      <w:pPr>
        <w:tabs>
          <w:tab w:val="left" w:pos="6300"/>
        </w:tabs>
        <w:snapToGrid w:val="0"/>
        <w:spacing w:line="360" w:lineRule="auto"/>
        <w:ind w:right="480" w:firstLine="570"/>
        <w:jc w:val="right"/>
        <w:rPr>
          <w:rFonts w:ascii="宋体" w:hAnsi="宋体" w:cs="宋体"/>
          <w:color w:val="auto"/>
          <w:sz w:val="24"/>
          <w:highlight w:val="none"/>
        </w:rPr>
      </w:pPr>
      <w:r>
        <w:rPr>
          <w:rFonts w:hint="eastAsia" w:ascii="宋体" w:hAnsi="宋体" w:cs="宋体"/>
          <w:color w:val="auto"/>
          <w:sz w:val="24"/>
          <w:highlight w:val="none"/>
        </w:rPr>
        <w:t>（投标人公章）</w:t>
      </w:r>
    </w:p>
    <w:p w14:paraId="66D3EC3F">
      <w:pPr>
        <w:tabs>
          <w:tab w:val="left" w:pos="6300"/>
        </w:tabs>
        <w:snapToGrid w:val="0"/>
        <w:spacing w:line="360" w:lineRule="auto"/>
        <w:ind w:right="480" w:firstLine="570"/>
        <w:jc w:val="right"/>
        <w:rPr>
          <w:rFonts w:ascii="宋体" w:hAnsi="宋体" w:cs="宋体"/>
          <w:color w:val="auto"/>
          <w:sz w:val="24"/>
          <w:highlight w:val="none"/>
        </w:rPr>
      </w:pPr>
      <w:r>
        <w:rPr>
          <w:rFonts w:hint="eastAsia" w:ascii="宋体" w:hAnsi="宋体" w:cs="宋体"/>
          <w:color w:val="auto"/>
          <w:sz w:val="24"/>
          <w:highlight w:val="none"/>
        </w:rPr>
        <w:t>年   月   日</w:t>
      </w:r>
    </w:p>
    <w:p w14:paraId="6B1B193B">
      <w:pPr>
        <w:tabs>
          <w:tab w:val="left" w:pos="6300"/>
        </w:tabs>
        <w:snapToGrid w:val="0"/>
        <w:spacing w:line="360" w:lineRule="auto"/>
        <w:ind w:right="720" w:firstLine="570"/>
        <w:jc w:val="right"/>
        <w:rPr>
          <w:rFonts w:ascii="宋体" w:hAnsi="宋体" w:cs="宋体"/>
          <w:color w:val="auto"/>
          <w:sz w:val="24"/>
          <w:highlight w:val="none"/>
        </w:rPr>
      </w:pPr>
    </w:p>
    <w:p w14:paraId="09A3DF4D">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被授权人电话：XXXXXXX     电子邮箱：XXXXXX@XXXXX（若法定代表人办理并签署投标文件的可不填写）</w:t>
      </w:r>
    </w:p>
    <w:p w14:paraId="6EBA51FB">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注：</w:t>
      </w:r>
    </w:p>
    <w:p w14:paraId="7CE7EF2F">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若为法定代表人办理并签署投标文件的，不提供此文件。</w:t>
      </w:r>
    </w:p>
    <w:p w14:paraId="68CFD894">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（四）基本资格条件承诺函（格式）</w:t>
      </w:r>
    </w:p>
    <w:p w14:paraId="08B4A55F">
      <w:pPr>
        <w:ind w:firstLine="643"/>
        <w:jc w:val="center"/>
        <w:rPr>
          <w:b/>
          <w:color w:val="auto"/>
          <w:sz w:val="32"/>
          <w:szCs w:val="32"/>
          <w:highlight w:val="none"/>
        </w:rPr>
      </w:pPr>
      <w:r>
        <w:rPr>
          <w:rFonts w:hint="eastAsia"/>
          <w:b/>
          <w:color w:val="auto"/>
          <w:sz w:val="32"/>
          <w:szCs w:val="32"/>
          <w:highlight w:val="none"/>
        </w:rPr>
        <w:t>基本资格条件承诺函</w:t>
      </w:r>
    </w:p>
    <w:p w14:paraId="1538EDCE">
      <w:pPr>
        <w:tabs>
          <w:tab w:val="left" w:pos="6300"/>
        </w:tabs>
        <w:spacing w:line="360" w:lineRule="auto"/>
        <w:ind w:firstLine="480"/>
        <w:rPr>
          <w:color w:val="auto"/>
          <w:highlight w:val="none"/>
        </w:rPr>
      </w:pPr>
    </w:p>
    <w:p w14:paraId="4407A578">
      <w:pPr>
        <w:tabs>
          <w:tab w:val="left" w:pos="6300"/>
        </w:tabs>
        <w:spacing w:line="360" w:lineRule="auto"/>
        <w:ind w:firstLine="480"/>
        <w:rPr>
          <w:color w:val="auto"/>
          <w:sz w:val="24"/>
          <w:szCs w:val="24"/>
          <w:highlight w:val="none"/>
        </w:rPr>
      </w:pPr>
      <w:r>
        <w:rPr>
          <w:rFonts w:hint="eastAsia"/>
          <w:color w:val="auto"/>
          <w:sz w:val="24"/>
          <w:szCs w:val="24"/>
          <w:highlight w:val="none"/>
        </w:rPr>
        <w:t>致 重庆工商大学（采购人名称）：</w:t>
      </w:r>
    </w:p>
    <w:p w14:paraId="7463B7D2">
      <w:pPr>
        <w:tabs>
          <w:tab w:val="left" w:pos="6300"/>
        </w:tabs>
        <w:spacing w:line="360" w:lineRule="auto"/>
        <w:ind w:firstLine="480"/>
        <w:rPr>
          <w:color w:val="auto"/>
          <w:sz w:val="24"/>
          <w:szCs w:val="24"/>
          <w:highlight w:val="none"/>
        </w:rPr>
      </w:pPr>
      <w:r>
        <w:rPr>
          <w:rFonts w:hint="eastAsia"/>
          <w:color w:val="auto"/>
          <w:sz w:val="24"/>
          <w:szCs w:val="24"/>
          <w:highlight w:val="none"/>
        </w:rPr>
        <w:t xml:space="preserve">                      （投标人名称）郑重承诺：</w:t>
      </w:r>
    </w:p>
    <w:p w14:paraId="308FDB37">
      <w:pPr>
        <w:tabs>
          <w:tab w:val="left" w:pos="6300"/>
        </w:tabs>
        <w:spacing w:line="360" w:lineRule="auto"/>
        <w:ind w:firstLine="480"/>
        <w:rPr>
          <w:color w:val="auto"/>
          <w:sz w:val="24"/>
          <w:szCs w:val="24"/>
          <w:highlight w:val="none"/>
        </w:rPr>
      </w:pPr>
      <w:r>
        <w:rPr>
          <w:rFonts w:hint="eastAsia"/>
          <w:color w:val="auto"/>
          <w:sz w:val="24"/>
          <w:szCs w:val="24"/>
          <w:highlight w:val="none"/>
        </w:rPr>
        <w:t>1.我方具有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14:paraId="19D9A46D">
      <w:pPr>
        <w:tabs>
          <w:tab w:val="left" w:pos="6300"/>
        </w:tabs>
        <w:spacing w:line="360" w:lineRule="auto"/>
        <w:ind w:firstLine="480"/>
        <w:rPr>
          <w:color w:val="auto"/>
          <w:sz w:val="24"/>
          <w:szCs w:val="24"/>
          <w:highlight w:val="none"/>
        </w:rPr>
      </w:pPr>
      <w:r>
        <w:rPr>
          <w:rFonts w:hint="eastAsia"/>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4D859C19">
      <w:pPr>
        <w:tabs>
          <w:tab w:val="left" w:pos="6300"/>
        </w:tabs>
        <w:spacing w:line="360" w:lineRule="auto"/>
        <w:ind w:firstLine="480"/>
        <w:rPr>
          <w:color w:val="auto"/>
          <w:sz w:val="24"/>
          <w:szCs w:val="24"/>
          <w:highlight w:val="none"/>
        </w:rPr>
      </w:pPr>
      <w:r>
        <w:rPr>
          <w:rFonts w:hint="eastAsia"/>
          <w:color w:val="auto"/>
          <w:sz w:val="24"/>
          <w:szCs w:val="24"/>
          <w:highlight w:val="none"/>
        </w:rPr>
        <w:t>3.我方在采购项目评审（评标）环节结束后，随时接受采购人、采购代理机构的检查验证，配合提供相关证明材料，证明符合《中华人民共和国政府采购法》规定的投标人基本资格条件。</w:t>
      </w:r>
    </w:p>
    <w:p w14:paraId="19C25542">
      <w:pPr>
        <w:tabs>
          <w:tab w:val="left" w:pos="6300"/>
        </w:tabs>
        <w:spacing w:line="360" w:lineRule="auto"/>
        <w:ind w:firstLine="480"/>
        <w:rPr>
          <w:color w:val="auto"/>
          <w:sz w:val="24"/>
          <w:szCs w:val="24"/>
          <w:highlight w:val="none"/>
        </w:rPr>
      </w:pPr>
      <w:r>
        <w:rPr>
          <w:rFonts w:hint="eastAsia"/>
          <w:color w:val="auto"/>
          <w:sz w:val="24"/>
          <w:szCs w:val="24"/>
          <w:highlight w:val="none"/>
        </w:rPr>
        <w:t>我方对以上承诺负全部法律责任。</w:t>
      </w:r>
    </w:p>
    <w:p w14:paraId="4F4D8736">
      <w:pPr>
        <w:tabs>
          <w:tab w:val="left" w:pos="6300"/>
        </w:tabs>
        <w:spacing w:line="360" w:lineRule="auto"/>
        <w:ind w:firstLine="480"/>
        <w:rPr>
          <w:color w:val="auto"/>
          <w:sz w:val="24"/>
          <w:szCs w:val="24"/>
          <w:highlight w:val="none"/>
        </w:rPr>
      </w:pPr>
      <w:r>
        <w:rPr>
          <w:rFonts w:hint="eastAsia"/>
          <w:color w:val="auto"/>
          <w:sz w:val="24"/>
          <w:szCs w:val="24"/>
          <w:highlight w:val="none"/>
        </w:rPr>
        <w:t>特此承诺。</w:t>
      </w:r>
    </w:p>
    <w:p w14:paraId="6C491255">
      <w:pPr>
        <w:tabs>
          <w:tab w:val="left" w:pos="6300"/>
        </w:tabs>
        <w:spacing w:line="360" w:lineRule="auto"/>
        <w:ind w:firstLine="480"/>
        <w:rPr>
          <w:color w:val="auto"/>
          <w:sz w:val="24"/>
          <w:szCs w:val="24"/>
          <w:highlight w:val="none"/>
        </w:rPr>
      </w:pPr>
    </w:p>
    <w:p w14:paraId="4A51406A">
      <w:pPr>
        <w:tabs>
          <w:tab w:val="left" w:pos="6300"/>
        </w:tabs>
        <w:spacing w:line="360" w:lineRule="auto"/>
        <w:ind w:firstLine="482"/>
        <w:jc w:val="right"/>
        <w:rPr>
          <w:b/>
          <w:color w:val="auto"/>
          <w:sz w:val="24"/>
          <w:szCs w:val="24"/>
          <w:highlight w:val="none"/>
        </w:rPr>
      </w:pPr>
      <w:r>
        <w:rPr>
          <w:rFonts w:hint="eastAsia"/>
          <w:b/>
          <w:color w:val="auto"/>
          <w:sz w:val="24"/>
          <w:szCs w:val="24"/>
          <w:highlight w:val="none"/>
        </w:rPr>
        <w:t>（投标人公章）</w:t>
      </w:r>
    </w:p>
    <w:p w14:paraId="2A20EDF6">
      <w:pPr>
        <w:tabs>
          <w:tab w:val="left" w:pos="6300"/>
        </w:tabs>
        <w:spacing w:line="360" w:lineRule="auto"/>
        <w:ind w:firstLine="480"/>
        <w:jc w:val="right"/>
        <w:rPr>
          <w:color w:val="auto"/>
          <w:sz w:val="24"/>
          <w:szCs w:val="24"/>
          <w:highlight w:val="none"/>
        </w:rPr>
      </w:pPr>
      <w:r>
        <w:rPr>
          <w:rFonts w:hint="eastAsia"/>
          <w:color w:val="auto"/>
          <w:sz w:val="24"/>
          <w:szCs w:val="24"/>
          <w:highlight w:val="none"/>
        </w:rPr>
        <w:t>年   月   日</w:t>
      </w:r>
    </w:p>
    <w:p w14:paraId="4C55CCD6">
      <w:pPr>
        <w:numPr>
          <w:ilvl w:val="0"/>
          <w:numId w:val="1"/>
        </w:num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8"/>
          <w:highlight w:val="none"/>
        </w:rPr>
        <w:t>特定资格条件证书或证明文件</w:t>
      </w:r>
    </w:p>
    <w:p w14:paraId="129FF8C0">
      <w:p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1、出版物经营许可证</w:t>
      </w:r>
    </w:p>
    <w:p w14:paraId="1E168A69">
      <w:pPr>
        <w:rPr>
          <w:rFonts w:ascii="宋体" w:hAnsi="宋体" w:cs="宋体"/>
          <w:color w:val="auto"/>
          <w:sz w:val="24"/>
          <w:szCs w:val="28"/>
          <w:highlight w:val="none"/>
        </w:rPr>
      </w:pPr>
      <w:r>
        <w:rPr>
          <w:rFonts w:hint="eastAsia" w:ascii="宋体" w:hAnsi="宋体" w:cs="宋体"/>
          <w:color w:val="auto"/>
          <w:sz w:val="24"/>
          <w:szCs w:val="28"/>
          <w:highlight w:val="none"/>
        </w:rPr>
        <w:br w:type="page"/>
      </w:r>
    </w:p>
    <w:p w14:paraId="61C89B82">
      <w:p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2、书面承诺函</w:t>
      </w:r>
    </w:p>
    <w:p w14:paraId="6802C15C">
      <w:pPr>
        <w:tabs>
          <w:tab w:val="left" w:pos="6300"/>
        </w:tabs>
        <w:snapToGrid w:val="0"/>
        <w:spacing w:line="360" w:lineRule="auto"/>
        <w:jc w:val="center"/>
        <w:rPr>
          <w:rFonts w:ascii="宋体" w:hAnsi="宋体"/>
          <w:b/>
          <w:bCs/>
          <w:color w:val="auto"/>
          <w:sz w:val="30"/>
          <w:szCs w:val="30"/>
          <w:highlight w:val="none"/>
        </w:rPr>
      </w:pPr>
      <w:r>
        <w:rPr>
          <w:rFonts w:hint="eastAsia" w:ascii="宋体" w:hAnsi="宋体"/>
          <w:b/>
          <w:bCs/>
          <w:color w:val="auto"/>
          <w:sz w:val="30"/>
          <w:szCs w:val="30"/>
          <w:highlight w:val="none"/>
        </w:rPr>
        <w:t>书面承诺函</w:t>
      </w:r>
    </w:p>
    <w:p w14:paraId="4CC0DF48">
      <w:pPr>
        <w:snapToGrid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项目编号：</w:t>
      </w:r>
      <w:r>
        <w:rPr>
          <w:rFonts w:hint="eastAsia" w:ascii="宋体" w:hAnsi="宋体" w:cs="宋体"/>
          <w:color w:val="auto"/>
          <w:sz w:val="24"/>
          <w:szCs w:val="24"/>
          <w:highlight w:val="none"/>
        </w:rPr>
        <w:t>CTBU-JZ2025197</w:t>
      </w:r>
    </w:p>
    <w:p w14:paraId="1E42A679">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招标项目名称：</w:t>
      </w:r>
      <w:r>
        <w:rPr>
          <w:rFonts w:hint="eastAsia" w:ascii="宋体" w:hAnsi="宋体" w:cs="宋体"/>
          <w:color w:val="auto"/>
          <w:sz w:val="24"/>
          <w:szCs w:val="24"/>
          <w:highlight w:val="none"/>
        </w:rPr>
        <w:t>重庆工商大学2026-2029年教材供应商项目</w:t>
      </w:r>
    </w:p>
    <w:p w14:paraId="7DF93736">
      <w:pPr>
        <w:spacing w:line="360" w:lineRule="auto"/>
        <w:rPr>
          <w:rFonts w:ascii="宋体" w:hAnsi="宋体"/>
          <w:color w:val="auto"/>
          <w:sz w:val="24"/>
          <w:szCs w:val="24"/>
          <w:highlight w:val="none"/>
        </w:rPr>
      </w:pPr>
    </w:p>
    <w:p w14:paraId="5CC808DA">
      <w:pPr>
        <w:spacing w:line="360" w:lineRule="auto"/>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thick"/>
        </w:rPr>
        <w:t>重庆工商大学</w:t>
      </w:r>
    </w:p>
    <w:p w14:paraId="010885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我公司郑重承诺：</w:t>
      </w:r>
    </w:p>
    <w:p w14:paraId="3EEF1A0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1.若中标，所持出版物经发行许可证在合同签订前失效，自动放弃中标权利，投标保证金不予退还。采购人有权在中标候选排列中依次选择中标人；</w:t>
      </w:r>
    </w:p>
    <w:p w14:paraId="75C6D28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2.若中标，在合同期间及时向采购人书面通报资格变化情况；</w:t>
      </w:r>
    </w:p>
    <w:p w14:paraId="6786F1E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3.若中标，所持出版物经营许可证在合同执行期间失效的，采购人有权单方面终止采购合同，履约保证金不予退还，由此所造成的全部损失由投标人负责。</w:t>
      </w:r>
    </w:p>
    <w:p w14:paraId="3EFC51E3">
      <w:pPr>
        <w:spacing w:line="360" w:lineRule="auto"/>
        <w:ind w:firstLine="480" w:firstLineChars="200"/>
        <w:rPr>
          <w:rFonts w:ascii="宋体" w:hAnsi="宋体"/>
          <w:color w:val="auto"/>
          <w:sz w:val="24"/>
          <w:szCs w:val="24"/>
          <w:highlight w:val="none"/>
        </w:rPr>
      </w:pPr>
    </w:p>
    <w:p w14:paraId="70DE592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投标人（投标人公章）：</w:t>
      </w:r>
    </w:p>
    <w:p w14:paraId="1D0F89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w:t>
      </w:r>
      <w:r>
        <w:rPr>
          <w:rFonts w:hint="eastAsia" w:ascii="宋体" w:hAnsi="宋体" w:cs="宋体"/>
          <w:color w:val="auto"/>
          <w:sz w:val="24"/>
          <w:szCs w:val="28"/>
          <w:highlight w:val="none"/>
        </w:rPr>
        <w:t>法定代表人授权代表</w:t>
      </w:r>
      <w:r>
        <w:rPr>
          <w:rFonts w:hint="eastAsia" w:ascii="宋体" w:hAnsi="宋体"/>
          <w:color w:val="auto"/>
          <w:sz w:val="24"/>
          <w:szCs w:val="24"/>
          <w:highlight w:val="none"/>
        </w:rPr>
        <w:t>）（签字或盖章）：</w:t>
      </w:r>
    </w:p>
    <w:p w14:paraId="780AC8F6">
      <w:pPr>
        <w:spacing w:line="360" w:lineRule="auto"/>
        <w:ind w:firstLine="480" w:firstLineChars="200"/>
        <w:rPr>
          <w:rFonts w:ascii="宋体" w:hAnsi="宋体"/>
          <w:color w:val="auto"/>
          <w:sz w:val="24"/>
          <w:szCs w:val="24"/>
          <w:highlight w:val="none"/>
        </w:rPr>
      </w:pPr>
    </w:p>
    <w:p w14:paraId="50CC7981">
      <w:pPr>
        <w:spacing w:line="360" w:lineRule="auto"/>
        <w:ind w:firstLine="480" w:firstLineChars="200"/>
        <w:rPr>
          <w:rFonts w:ascii="宋体" w:hAnsi="宋体"/>
          <w:color w:val="auto"/>
          <w:sz w:val="24"/>
          <w:szCs w:val="24"/>
          <w:highlight w:val="none"/>
        </w:rPr>
      </w:pPr>
    </w:p>
    <w:p w14:paraId="4F5E38AE">
      <w:pPr>
        <w:spacing w:line="360" w:lineRule="auto"/>
        <w:ind w:firstLine="6038" w:firstLineChars="2516"/>
        <w:rPr>
          <w:rFonts w:ascii="宋体" w:hAnsi="宋体"/>
          <w:color w:val="auto"/>
          <w:sz w:val="24"/>
          <w:szCs w:val="24"/>
          <w:highlight w:val="none"/>
        </w:rPr>
      </w:pPr>
      <w:r>
        <w:rPr>
          <w:rFonts w:hint="eastAsia" w:ascii="宋体" w:hAnsi="宋体"/>
          <w:color w:val="auto"/>
          <w:sz w:val="24"/>
          <w:szCs w:val="24"/>
          <w:highlight w:val="none"/>
        </w:rPr>
        <w:t>年   月   日</w:t>
      </w:r>
    </w:p>
    <w:p w14:paraId="6CB15DD9">
      <w:pPr>
        <w:widowControl/>
        <w:spacing w:line="360" w:lineRule="auto"/>
        <w:ind w:firstLine="560" w:firstLineChars="200"/>
        <w:jc w:val="left"/>
        <w:rPr>
          <w:rFonts w:ascii="宋体" w:hAnsi="宋体" w:cs="宋体"/>
          <w:color w:val="auto"/>
          <w:szCs w:val="28"/>
          <w:highlight w:val="none"/>
        </w:rPr>
      </w:pPr>
      <w:r>
        <w:rPr>
          <w:rFonts w:hint="eastAsia" w:ascii="宋体" w:hAnsi="宋体" w:cs="宋体"/>
          <w:color w:val="auto"/>
          <w:highlight w:val="none"/>
        </w:rPr>
        <w:br w:type="page"/>
      </w:r>
      <w:r>
        <w:rPr>
          <w:rFonts w:hint="eastAsia" w:ascii="宋体" w:hAnsi="宋体" w:cs="宋体"/>
          <w:color w:val="auto"/>
          <w:highlight w:val="none"/>
        </w:rPr>
        <w:t>（六）</w:t>
      </w:r>
      <w:r>
        <w:rPr>
          <w:rFonts w:hint="eastAsia" w:ascii="宋体" w:hAnsi="宋体" w:cs="宋体"/>
          <w:color w:val="auto"/>
          <w:szCs w:val="28"/>
          <w:highlight w:val="none"/>
        </w:rPr>
        <w:t>其他与项目有关的资料（自附）</w:t>
      </w:r>
    </w:p>
    <w:p w14:paraId="6B6A4A96">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1.招标文件购买费、投标保证金缴纳凭据</w:t>
      </w:r>
    </w:p>
    <w:p w14:paraId="67BC46F7">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2.其他与项目有关的资料（自附）</w:t>
      </w:r>
    </w:p>
    <w:p w14:paraId="3CFB4FEA">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ascii="宋体" w:hAnsi="宋体" w:cs="宋体"/>
          <w:color w:val="auto"/>
          <w:sz w:val="24"/>
          <w:szCs w:val="24"/>
          <w:highlight w:val="none"/>
        </w:rPr>
        <w:t>3.</w:t>
      </w:r>
      <w:r>
        <w:rPr>
          <w:rFonts w:hint="eastAsia" w:cs="方正仿宋_GBK" w:asciiTheme="minorEastAsia" w:hAnsiTheme="minorEastAsia" w:eastAsiaTheme="minorEastAsia"/>
          <w:color w:val="auto"/>
          <w:sz w:val="24"/>
          <w:szCs w:val="28"/>
          <w:highlight w:val="none"/>
        </w:rPr>
        <w:t>投标人提供招标文件购买费发票信息表。</w:t>
      </w:r>
    </w:p>
    <w:p w14:paraId="1035AA37">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p>
    <w:p w14:paraId="75CFAA2A">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招标文件购买费发票开票信息如下</w:t>
      </w:r>
    </w:p>
    <w:tbl>
      <w:tblPr>
        <w:tblStyle w:val="19"/>
        <w:tblW w:w="9921" w:type="dxa"/>
        <w:tblInd w:w="-599" w:type="dxa"/>
        <w:tblLayout w:type="autofit"/>
        <w:tblCellMar>
          <w:top w:w="0" w:type="dxa"/>
          <w:left w:w="108" w:type="dxa"/>
          <w:bottom w:w="0" w:type="dxa"/>
          <w:right w:w="108" w:type="dxa"/>
        </w:tblCellMar>
      </w:tblPr>
      <w:tblGrid>
        <w:gridCol w:w="859"/>
        <w:gridCol w:w="1582"/>
        <w:gridCol w:w="1965"/>
        <w:gridCol w:w="1688"/>
        <w:gridCol w:w="1636"/>
        <w:gridCol w:w="2191"/>
      </w:tblGrid>
      <w:tr w14:paraId="4FA864C2">
        <w:tblPrEx>
          <w:tblCellMar>
            <w:top w:w="0" w:type="dxa"/>
            <w:left w:w="108" w:type="dxa"/>
            <w:bottom w:w="0" w:type="dxa"/>
            <w:right w:w="108" w:type="dxa"/>
          </w:tblCellMar>
        </w:tblPrEx>
        <w:trPr>
          <w:trHeight w:val="634" w:hRule="atLeast"/>
        </w:trPr>
        <w:tc>
          <w:tcPr>
            <w:tcW w:w="859" w:type="dxa"/>
            <w:tcBorders>
              <w:top w:val="single" w:color="auto" w:sz="4" w:space="0"/>
              <w:left w:val="single" w:color="auto" w:sz="4" w:space="0"/>
              <w:bottom w:val="single" w:color="auto" w:sz="4" w:space="0"/>
              <w:right w:val="single" w:color="auto" w:sz="4" w:space="0"/>
            </w:tcBorders>
            <w:vAlign w:val="center"/>
          </w:tcPr>
          <w:p w14:paraId="3ABFF136">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序号</w:t>
            </w:r>
          </w:p>
        </w:tc>
        <w:tc>
          <w:tcPr>
            <w:tcW w:w="1582" w:type="dxa"/>
            <w:tcBorders>
              <w:top w:val="single" w:color="auto" w:sz="4" w:space="0"/>
              <w:left w:val="nil"/>
              <w:bottom w:val="single" w:color="auto" w:sz="4" w:space="0"/>
              <w:right w:val="single" w:color="auto" w:sz="4" w:space="0"/>
            </w:tcBorders>
            <w:vAlign w:val="center"/>
          </w:tcPr>
          <w:p w14:paraId="70958A71">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投标人名称</w:t>
            </w:r>
          </w:p>
        </w:tc>
        <w:tc>
          <w:tcPr>
            <w:tcW w:w="1965" w:type="dxa"/>
            <w:tcBorders>
              <w:top w:val="single" w:color="auto" w:sz="4" w:space="0"/>
              <w:left w:val="nil"/>
              <w:bottom w:val="single" w:color="auto" w:sz="4" w:space="0"/>
              <w:right w:val="single" w:color="auto" w:sz="4" w:space="0"/>
            </w:tcBorders>
            <w:vAlign w:val="center"/>
          </w:tcPr>
          <w:p w14:paraId="33ED0B7C">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基本账户开户行</w:t>
            </w:r>
          </w:p>
        </w:tc>
        <w:tc>
          <w:tcPr>
            <w:tcW w:w="1688" w:type="dxa"/>
            <w:tcBorders>
              <w:top w:val="single" w:color="auto" w:sz="4" w:space="0"/>
              <w:left w:val="nil"/>
              <w:bottom w:val="single" w:color="auto" w:sz="4" w:space="0"/>
              <w:right w:val="single" w:color="auto" w:sz="4" w:space="0"/>
            </w:tcBorders>
            <w:vAlign w:val="center"/>
          </w:tcPr>
          <w:p w14:paraId="27DE6665">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基本账户账号（卡号）</w:t>
            </w:r>
          </w:p>
        </w:tc>
        <w:tc>
          <w:tcPr>
            <w:tcW w:w="1636" w:type="dxa"/>
            <w:tcBorders>
              <w:top w:val="single" w:color="auto" w:sz="4" w:space="0"/>
              <w:left w:val="nil"/>
              <w:bottom w:val="single" w:color="auto" w:sz="4" w:space="0"/>
              <w:right w:val="single" w:color="auto" w:sz="4" w:space="0"/>
            </w:tcBorders>
            <w:vAlign w:val="center"/>
          </w:tcPr>
          <w:p w14:paraId="1A0AFC12">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统一社会信用代码</w:t>
            </w:r>
          </w:p>
        </w:tc>
        <w:tc>
          <w:tcPr>
            <w:tcW w:w="2191" w:type="dxa"/>
            <w:tcBorders>
              <w:top w:val="single" w:color="auto" w:sz="4" w:space="0"/>
              <w:left w:val="single" w:color="auto" w:sz="4" w:space="0"/>
              <w:bottom w:val="single" w:color="auto" w:sz="4" w:space="0"/>
              <w:right w:val="single" w:color="auto" w:sz="4" w:space="0"/>
            </w:tcBorders>
            <w:vAlign w:val="center"/>
          </w:tcPr>
          <w:p w14:paraId="32750E0A">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授权委托人联系电话（须为手机号）</w:t>
            </w:r>
          </w:p>
        </w:tc>
      </w:tr>
      <w:tr w14:paraId="0CE61155">
        <w:tblPrEx>
          <w:tblCellMar>
            <w:top w:w="0" w:type="dxa"/>
            <w:left w:w="108" w:type="dxa"/>
            <w:bottom w:w="0" w:type="dxa"/>
            <w:right w:w="108" w:type="dxa"/>
          </w:tblCellMar>
        </w:tblPrEx>
        <w:trPr>
          <w:trHeight w:val="600" w:hRule="atLeast"/>
        </w:trPr>
        <w:tc>
          <w:tcPr>
            <w:tcW w:w="859" w:type="dxa"/>
            <w:tcBorders>
              <w:top w:val="nil"/>
              <w:left w:val="single" w:color="auto" w:sz="4" w:space="0"/>
              <w:bottom w:val="single" w:color="auto" w:sz="4" w:space="0"/>
              <w:right w:val="single" w:color="auto" w:sz="4" w:space="0"/>
            </w:tcBorders>
            <w:vAlign w:val="center"/>
          </w:tcPr>
          <w:p w14:paraId="0A2E3920">
            <w:pPr>
              <w:tabs>
                <w:tab w:val="left" w:pos="6300"/>
              </w:tabs>
              <w:snapToGrid w:val="0"/>
              <w:spacing w:line="360" w:lineRule="auto"/>
              <w:jc w:val="center"/>
              <w:rPr>
                <w:rFonts w:cs="方正仿宋_GBK" w:asciiTheme="minorEastAsia" w:hAnsiTheme="minorEastAsia" w:eastAsiaTheme="minorEastAsia"/>
                <w:color w:val="auto"/>
                <w:sz w:val="24"/>
                <w:highlight w:val="none"/>
              </w:rPr>
            </w:pPr>
          </w:p>
        </w:tc>
        <w:tc>
          <w:tcPr>
            <w:tcW w:w="1582" w:type="dxa"/>
            <w:tcBorders>
              <w:top w:val="nil"/>
              <w:left w:val="nil"/>
              <w:bottom w:val="single" w:color="auto" w:sz="4" w:space="0"/>
              <w:right w:val="single" w:color="auto" w:sz="4" w:space="0"/>
            </w:tcBorders>
            <w:vAlign w:val="center"/>
          </w:tcPr>
          <w:p w14:paraId="2A524184">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965" w:type="dxa"/>
            <w:tcBorders>
              <w:top w:val="nil"/>
              <w:left w:val="nil"/>
              <w:bottom w:val="single" w:color="auto" w:sz="4" w:space="0"/>
              <w:right w:val="single" w:color="auto" w:sz="4" w:space="0"/>
            </w:tcBorders>
            <w:vAlign w:val="center"/>
          </w:tcPr>
          <w:p w14:paraId="30A823F8">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688" w:type="dxa"/>
            <w:tcBorders>
              <w:top w:val="nil"/>
              <w:left w:val="nil"/>
              <w:bottom w:val="single" w:color="auto" w:sz="4" w:space="0"/>
              <w:right w:val="single" w:color="auto" w:sz="4" w:space="0"/>
            </w:tcBorders>
            <w:vAlign w:val="center"/>
          </w:tcPr>
          <w:p w14:paraId="3D78B1B8">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636" w:type="dxa"/>
            <w:tcBorders>
              <w:top w:val="single" w:color="auto" w:sz="4" w:space="0"/>
              <w:left w:val="nil"/>
              <w:bottom w:val="single" w:color="auto" w:sz="4" w:space="0"/>
              <w:right w:val="single" w:color="auto" w:sz="4" w:space="0"/>
            </w:tcBorders>
            <w:vAlign w:val="center"/>
          </w:tcPr>
          <w:p w14:paraId="5A46A467">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2191" w:type="dxa"/>
            <w:tcBorders>
              <w:top w:val="nil"/>
              <w:left w:val="single" w:color="auto" w:sz="4" w:space="0"/>
              <w:bottom w:val="single" w:color="auto" w:sz="4" w:space="0"/>
              <w:right w:val="single" w:color="auto" w:sz="4" w:space="0"/>
            </w:tcBorders>
            <w:vAlign w:val="center"/>
          </w:tcPr>
          <w:p w14:paraId="631DE4F9">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r>
    </w:tbl>
    <w:p w14:paraId="71339A6E">
      <w:pPr>
        <w:spacing w:line="360" w:lineRule="auto"/>
        <w:rPr>
          <w:rFonts w:ascii="宋体" w:hAnsi="宋体" w:cs="宋体"/>
          <w:color w:val="auto"/>
          <w:szCs w:val="28"/>
          <w:highlight w:val="none"/>
        </w:rPr>
      </w:pPr>
    </w:p>
    <w:p w14:paraId="63B862C6">
      <w:pPr>
        <w:widowControl/>
        <w:spacing w:line="360" w:lineRule="auto"/>
        <w:ind w:firstLine="480" w:firstLineChars="200"/>
        <w:jc w:val="left"/>
        <w:rPr>
          <w:rFonts w:ascii="宋体" w:hAnsi="宋体" w:cs="宋体"/>
          <w:color w:val="auto"/>
          <w:sz w:val="24"/>
          <w:szCs w:val="24"/>
          <w:highlight w:val="none"/>
        </w:rPr>
      </w:pPr>
    </w:p>
    <w:p w14:paraId="33B226AA">
      <w:pPr>
        <w:widowControl/>
        <w:spacing w:line="360" w:lineRule="auto"/>
        <w:ind w:firstLine="6559" w:firstLineChars="2733"/>
        <w:jc w:val="left"/>
        <w:rPr>
          <w:rFonts w:ascii="宋体" w:hAnsi="宋体" w:cs="宋体"/>
          <w:color w:val="auto"/>
          <w:sz w:val="24"/>
          <w:szCs w:val="24"/>
          <w:highlight w:val="none"/>
        </w:rPr>
      </w:pPr>
    </w:p>
    <w:p w14:paraId="54820E57">
      <w:pPr>
        <w:widowControl/>
        <w:spacing w:line="360" w:lineRule="auto"/>
        <w:ind w:firstLine="6559" w:firstLineChars="2733"/>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供应商名称（盖章）：        </w:t>
      </w:r>
    </w:p>
    <w:p w14:paraId="1C6CFD7E">
      <w:pPr>
        <w:pStyle w:val="6"/>
        <w:rPr>
          <w:rFonts w:ascii="宋体" w:hAnsi="宋体" w:cs="宋体"/>
          <w:color w:val="auto"/>
          <w:highlight w:val="none"/>
        </w:rPr>
      </w:pPr>
    </w:p>
    <w:p w14:paraId="1C45951B">
      <w:pPr>
        <w:pStyle w:val="6"/>
        <w:rPr>
          <w:rFonts w:ascii="宋体" w:hAnsi="宋体" w:cs="宋体"/>
          <w:color w:val="auto"/>
          <w:highlight w:val="none"/>
        </w:rPr>
      </w:pPr>
    </w:p>
    <w:p w14:paraId="3475E77A">
      <w:pPr>
        <w:pStyle w:val="6"/>
        <w:rPr>
          <w:rFonts w:ascii="宋体" w:hAnsi="宋体" w:cs="宋体"/>
          <w:color w:val="auto"/>
          <w:highlight w:val="none"/>
        </w:rPr>
      </w:pPr>
    </w:p>
    <w:p w14:paraId="2A3E15C7">
      <w:pPr>
        <w:pStyle w:val="6"/>
        <w:rPr>
          <w:rFonts w:ascii="宋体" w:hAnsi="宋体" w:cs="宋体"/>
          <w:color w:val="auto"/>
          <w:highlight w:val="none"/>
        </w:rPr>
      </w:pPr>
    </w:p>
    <w:p w14:paraId="2AD640B2">
      <w:pPr>
        <w:spacing w:line="360" w:lineRule="auto"/>
        <w:ind w:firstLine="560" w:firstLineChars="200"/>
        <w:jc w:val="center"/>
        <w:rPr>
          <w:color w:val="auto"/>
          <w:highlight w:val="none"/>
        </w:rPr>
      </w:pPr>
      <w:r>
        <w:rPr>
          <w:rFonts w:hint="eastAsia" w:ascii="宋体" w:hAnsi="宋体" w:cs="宋体"/>
          <w:color w:val="auto"/>
          <w:highlight w:val="none"/>
        </w:rPr>
        <w:t>（招标文件结束）</w:t>
      </w:r>
    </w:p>
    <w:sectPr>
      <w:headerReference r:id="rId9" w:type="default"/>
      <w:footerReference r:id="rId10" w:type="default"/>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5A90E">
    <w:pPr>
      <w:pStyle w:val="12"/>
      <w:jc w:val="center"/>
      <w:rPr>
        <w:sz w:val="24"/>
      </w:rPr>
    </w:pPr>
    <w:r>
      <w:rPr>
        <w:sz w:val="24"/>
      </w:rPr>
      <w:fldChar w:fldCharType="begin"/>
    </w:r>
    <w:r>
      <w:rPr>
        <w:rStyle w:val="23"/>
        <w:sz w:val="24"/>
      </w:rPr>
      <w:instrText xml:space="preserve"> PAGE </w:instrText>
    </w:r>
    <w:r>
      <w:rPr>
        <w:sz w:val="24"/>
      </w:rPr>
      <w:fldChar w:fldCharType="separate"/>
    </w:r>
    <w:r>
      <w:rPr>
        <w:rStyle w:val="23"/>
        <w:sz w:val="24"/>
      </w:rPr>
      <w:t>- 1 -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724AD">
    <w:pPr>
      <w:pStyle w:val="12"/>
      <w:framePr w:wrap="around" w:vAnchor="text" w:hAnchor="margin" w:xAlign="center" w:y="1"/>
      <w:rPr>
        <w:rStyle w:val="23"/>
      </w:rPr>
    </w:pPr>
    <w:r>
      <w:fldChar w:fldCharType="begin"/>
    </w:r>
    <w:r>
      <w:rPr>
        <w:rStyle w:val="23"/>
      </w:rPr>
      <w:instrText xml:space="preserve">PAGE  </w:instrText>
    </w:r>
    <w:r>
      <w:fldChar w:fldCharType="end"/>
    </w:r>
  </w:p>
  <w:p w14:paraId="5D06B033">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A8ED6">
    <w:pPr>
      <w:pStyle w:val="12"/>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D1F620">
                          <w:pPr>
                            <w:pStyle w:val="12"/>
                            <w:ind w:right="360"/>
                            <w:jc w:val="center"/>
                          </w:pPr>
                          <w:r>
                            <w:fldChar w:fldCharType="begin"/>
                          </w:r>
                          <w:r>
                            <w:rPr>
                              <w:rStyle w:val="23"/>
                            </w:rPr>
                            <w:instrText xml:space="preserve"> PAGE </w:instrText>
                          </w:r>
                          <w:r>
                            <w:fldChar w:fldCharType="separate"/>
                          </w:r>
                          <w:r>
                            <w:rPr>
                              <w:rStyle w:val="23"/>
                            </w:rPr>
                            <w:t>- 3 -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3D1F620">
                    <w:pPr>
                      <w:pStyle w:val="12"/>
                      <w:ind w:right="360"/>
                      <w:jc w:val="center"/>
                    </w:pPr>
                    <w:r>
                      <w:fldChar w:fldCharType="begin"/>
                    </w:r>
                    <w:r>
                      <w:rPr>
                        <w:rStyle w:val="23"/>
                      </w:rPr>
                      <w:instrText xml:space="preserve"> PAGE </w:instrText>
                    </w:r>
                    <w:r>
                      <w:fldChar w:fldCharType="separate"/>
                    </w:r>
                    <w:r>
                      <w:rPr>
                        <w:rStyle w:val="23"/>
                      </w:rPr>
                      <w:t>- 3 -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7CBDC">
    <w:pPr>
      <w:pStyle w:val="12"/>
      <w:framePr w:wrap="around" w:vAnchor="text" w:hAnchor="margin" w:xAlign="right" w:y="1"/>
      <w:rPr>
        <w:rStyle w:val="23"/>
      </w:rPr>
    </w:pPr>
    <w:r>
      <w:fldChar w:fldCharType="begin"/>
    </w:r>
    <w:r>
      <w:rPr>
        <w:rStyle w:val="23"/>
      </w:rPr>
      <w:instrText xml:space="preserve">PAGE  </w:instrText>
    </w:r>
    <w:r>
      <w:fldChar w:fldCharType="end"/>
    </w:r>
  </w:p>
  <w:p w14:paraId="61446E98">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C54DB">
    <w:pPr>
      <w:pStyle w:val="12"/>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9DDF03">
                          <w:pPr>
                            <w:pStyle w:val="12"/>
                            <w:jc w:val="center"/>
                          </w:pPr>
                          <w:r>
                            <w:rPr>
                              <w:sz w:val="24"/>
                            </w:rPr>
                            <w:fldChar w:fldCharType="begin"/>
                          </w:r>
                          <w:r>
                            <w:rPr>
                              <w:rStyle w:val="23"/>
                              <w:sz w:val="24"/>
                            </w:rPr>
                            <w:instrText xml:space="preserve"> PAGE </w:instrText>
                          </w:r>
                          <w:r>
                            <w:rPr>
                              <w:sz w:val="24"/>
                            </w:rPr>
                            <w:fldChar w:fldCharType="separate"/>
                          </w:r>
                          <w:r>
                            <w:rPr>
                              <w:rStyle w:val="23"/>
                              <w:sz w:val="24"/>
                            </w:rPr>
                            <w:t>- 33 -</w:t>
                          </w:r>
                          <w:r>
                            <w:rPr>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89DDF03">
                    <w:pPr>
                      <w:pStyle w:val="12"/>
                      <w:jc w:val="center"/>
                    </w:pPr>
                    <w:r>
                      <w:rPr>
                        <w:sz w:val="24"/>
                      </w:rPr>
                      <w:fldChar w:fldCharType="begin"/>
                    </w:r>
                    <w:r>
                      <w:rPr>
                        <w:rStyle w:val="23"/>
                        <w:sz w:val="24"/>
                      </w:rPr>
                      <w:instrText xml:space="preserve"> PAGE </w:instrText>
                    </w:r>
                    <w:r>
                      <w:rPr>
                        <w:sz w:val="24"/>
                      </w:rPr>
                      <w:fldChar w:fldCharType="separate"/>
                    </w:r>
                    <w:r>
                      <w:rPr>
                        <w:rStyle w:val="23"/>
                        <w:sz w:val="24"/>
                      </w:rPr>
                      <w:t>- 33 -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5119C">
    <w:pPr>
      <w:pStyle w:val="14"/>
      <w:pBdr>
        <w:bottom w:val="single" w:color="auto" w:sz="4" w:space="1"/>
      </w:pBdr>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CA62A">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D52A3">
    <w:pPr>
      <w:pStyle w:val="14"/>
      <w:pBdr>
        <w:bottom w:val="single" w:color="auto" w:sz="4" w:space="1"/>
      </w:pBdr>
      <w:ind w:firstLine="105" w:firstLineChars="50"/>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36CF0"/>
    <w:multiLevelType w:val="singleLevel"/>
    <w:tmpl w:val="A1F36CF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478E6E36"/>
    <w:rsid w:val="00000167"/>
    <w:rsid w:val="00092E51"/>
    <w:rsid w:val="00145CEC"/>
    <w:rsid w:val="003330CD"/>
    <w:rsid w:val="00425992"/>
    <w:rsid w:val="006242A5"/>
    <w:rsid w:val="006B76C6"/>
    <w:rsid w:val="006E3129"/>
    <w:rsid w:val="008809EC"/>
    <w:rsid w:val="008F5F72"/>
    <w:rsid w:val="00931853"/>
    <w:rsid w:val="009B0C41"/>
    <w:rsid w:val="00C0314E"/>
    <w:rsid w:val="00D27474"/>
    <w:rsid w:val="00E145BC"/>
    <w:rsid w:val="00E14CA5"/>
    <w:rsid w:val="00E3306E"/>
    <w:rsid w:val="00EF4DC4"/>
    <w:rsid w:val="00F049F2"/>
    <w:rsid w:val="01E27502"/>
    <w:rsid w:val="03726617"/>
    <w:rsid w:val="03AA4B34"/>
    <w:rsid w:val="03E40B1B"/>
    <w:rsid w:val="07C07671"/>
    <w:rsid w:val="08056D50"/>
    <w:rsid w:val="08153F8A"/>
    <w:rsid w:val="09196A34"/>
    <w:rsid w:val="092401BB"/>
    <w:rsid w:val="0D517F9B"/>
    <w:rsid w:val="0E225E16"/>
    <w:rsid w:val="0E5272BB"/>
    <w:rsid w:val="0E59427A"/>
    <w:rsid w:val="0F8E21EB"/>
    <w:rsid w:val="1045758D"/>
    <w:rsid w:val="10852405"/>
    <w:rsid w:val="11DE3432"/>
    <w:rsid w:val="12975CDA"/>
    <w:rsid w:val="13023357"/>
    <w:rsid w:val="146D3B4F"/>
    <w:rsid w:val="15F335E7"/>
    <w:rsid w:val="165D67DF"/>
    <w:rsid w:val="168616FB"/>
    <w:rsid w:val="18383116"/>
    <w:rsid w:val="1985656C"/>
    <w:rsid w:val="1ACD76BE"/>
    <w:rsid w:val="1BBE5EE5"/>
    <w:rsid w:val="1DC53ABB"/>
    <w:rsid w:val="1DEA1934"/>
    <w:rsid w:val="1DF23964"/>
    <w:rsid w:val="1E777B7E"/>
    <w:rsid w:val="1ECF17CC"/>
    <w:rsid w:val="1F5F1CED"/>
    <w:rsid w:val="211D3C0E"/>
    <w:rsid w:val="22D87DED"/>
    <w:rsid w:val="22DE2A7D"/>
    <w:rsid w:val="22F874DA"/>
    <w:rsid w:val="24BD2A98"/>
    <w:rsid w:val="25424C6D"/>
    <w:rsid w:val="26EC62B5"/>
    <w:rsid w:val="285C65FE"/>
    <w:rsid w:val="297E6265"/>
    <w:rsid w:val="2C2F5E9E"/>
    <w:rsid w:val="2E0C1292"/>
    <w:rsid w:val="2F453233"/>
    <w:rsid w:val="2F614E56"/>
    <w:rsid w:val="2FD61C77"/>
    <w:rsid w:val="319B603A"/>
    <w:rsid w:val="319F1251"/>
    <w:rsid w:val="32557A80"/>
    <w:rsid w:val="34B16A60"/>
    <w:rsid w:val="35644502"/>
    <w:rsid w:val="3618333E"/>
    <w:rsid w:val="361C40C6"/>
    <w:rsid w:val="37753A04"/>
    <w:rsid w:val="3914474C"/>
    <w:rsid w:val="39764833"/>
    <w:rsid w:val="3B3140E6"/>
    <w:rsid w:val="3C9708C1"/>
    <w:rsid w:val="3CD16A44"/>
    <w:rsid w:val="3DF40CC0"/>
    <w:rsid w:val="3EE84777"/>
    <w:rsid w:val="3F73262D"/>
    <w:rsid w:val="3FD61700"/>
    <w:rsid w:val="4095372B"/>
    <w:rsid w:val="40CA7DA7"/>
    <w:rsid w:val="41B86E5D"/>
    <w:rsid w:val="41FA7928"/>
    <w:rsid w:val="43671ACE"/>
    <w:rsid w:val="4397623D"/>
    <w:rsid w:val="447B71C5"/>
    <w:rsid w:val="45064B63"/>
    <w:rsid w:val="478E6E36"/>
    <w:rsid w:val="47C147B6"/>
    <w:rsid w:val="47CE2E02"/>
    <w:rsid w:val="49E36EF3"/>
    <w:rsid w:val="4A375140"/>
    <w:rsid w:val="4A9D3546"/>
    <w:rsid w:val="4DBA6E7C"/>
    <w:rsid w:val="4DD8137F"/>
    <w:rsid w:val="4E5E0C8C"/>
    <w:rsid w:val="4E7740AE"/>
    <w:rsid w:val="4EE40470"/>
    <w:rsid w:val="4F08342E"/>
    <w:rsid w:val="4F0F42E7"/>
    <w:rsid w:val="50663968"/>
    <w:rsid w:val="526565AE"/>
    <w:rsid w:val="52CA7F79"/>
    <w:rsid w:val="53456529"/>
    <w:rsid w:val="53514ECE"/>
    <w:rsid w:val="53AE0779"/>
    <w:rsid w:val="546C61CA"/>
    <w:rsid w:val="55064D00"/>
    <w:rsid w:val="55AA6B17"/>
    <w:rsid w:val="56B26484"/>
    <w:rsid w:val="590723E4"/>
    <w:rsid w:val="5910579D"/>
    <w:rsid w:val="59733875"/>
    <w:rsid w:val="59A026EF"/>
    <w:rsid w:val="5A4720A8"/>
    <w:rsid w:val="5A58490A"/>
    <w:rsid w:val="5A643739"/>
    <w:rsid w:val="5B421B9B"/>
    <w:rsid w:val="5BC57D05"/>
    <w:rsid w:val="5CCD4603"/>
    <w:rsid w:val="5DA753C9"/>
    <w:rsid w:val="5F0E45BB"/>
    <w:rsid w:val="606842D1"/>
    <w:rsid w:val="61076D08"/>
    <w:rsid w:val="612260FC"/>
    <w:rsid w:val="627210BB"/>
    <w:rsid w:val="635C51E4"/>
    <w:rsid w:val="645460E9"/>
    <w:rsid w:val="67314AF4"/>
    <w:rsid w:val="673E5311"/>
    <w:rsid w:val="68925915"/>
    <w:rsid w:val="69755D9C"/>
    <w:rsid w:val="69E35A81"/>
    <w:rsid w:val="6C0917D7"/>
    <w:rsid w:val="6C753814"/>
    <w:rsid w:val="6CA95F6B"/>
    <w:rsid w:val="6DB85607"/>
    <w:rsid w:val="71215AFF"/>
    <w:rsid w:val="74055B35"/>
    <w:rsid w:val="742A3558"/>
    <w:rsid w:val="750E70AC"/>
    <w:rsid w:val="76F31C74"/>
    <w:rsid w:val="77C9407C"/>
    <w:rsid w:val="789F7FAC"/>
    <w:rsid w:val="79320B93"/>
    <w:rsid w:val="7A3D61F5"/>
    <w:rsid w:val="7A583EA4"/>
    <w:rsid w:val="7A70387D"/>
    <w:rsid w:val="7A980427"/>
    <w:rsid w:val="7B6F2D46"/>
    <w:rsid w:val="7BDB4BBB"/>
    <w:rsid w:val="7C2310D9"/>
    <w:rsid w:val="7D5C0FDF"/>
    <w:rsid w:val="7DBE4C61"/>
    <w:rsid w:val="7E7E7BA4"/>
    <w:rsid w:val="7EE50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5">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Quote"/>
    <w:basedOn w:val="1"/>
    <w:next w:val="1"/>
    <w:qFormat/>
    <w:uiPriority w:val="0"/>
    <w:pPr>
      <w:widowControl/>
      <w:jc w:val="left"/>
    </w:pPr>
    <w:rPr>
      <w:rFonts w:ascii="Calibri" w:hAnsi="Calibri"/>
      <w:i/>
      <w:kern w:val="0"/>
      <w:sz w:val="24"/>
      <w:szCs w:val="24"/>
    </w:rPr>
  </w:style>
  <w:style w:type="paragraph" w:styleId="6">
    <w:name w:val="Normal Indent"/>
    <w:basedOn w:val="1"/>
    <w:qFormat/>
    <w:uiPriority w:val="0"/>
    <w:pPr>
      <w:adjustRightInd w:val="0"/>
      <w:snapToGrid w:val="0"/>
      <w:spacing w:line="360" w:lineRule="auto"/>
      <w:ind w:firstLine="420"/>
    </w:pPr>
    <w:rPr>
      <w:sz w:val="24"/>
    </w:rPr>
  </w:style>
  <w:style w:type="paragraph" w:styleId="7">
    <w:name w:val="annotation text"/>
    <w:basedOn w:val="1"/>
    <w:link w:val="28"/>
    <w:qFormat/>
    <w:uiPriority w:val="0"/>
    <w:pPr>
      <w:jc w:val="left"/>
    </w:pPr>
  </w:style>
  <w:style w:type="paragraph" w:styleId="8">
    <w:name w:val="Body Text Indent"/>
    <w:basedOn w:val="1"/>
    <w:qFormat/>
    <w:uiPriority w:val="0"/>
    <w:pPr>
      <w:spacing w:line="700" w:lineRule="exact"/>
      <w:ind w:left="960"/>
    </w:pPr>
    <w:rPr>
      <w:sz w:val="44"/>
    </w:rPr>
  </w:style>
  <w:style w:type="paragraph" w:styleId="9">
    <w:name w:val="Plain Text"/>
    <w:basedOn w:val="1"/>
    <w:qFormat/>
    <w:uiPriority w:val="0"/>
    <w:pPr>
      <w:adjustRightInd w:val="0"/>
      <w:snapToGrid w:val="0"/>
      <w:spacing w:line="360" w:lineRule="auto"/>
    </w:pPr>
    <w:rPr>
      <w:rFonts w:ascii="宋体" w:hAnsi="Courier New"/>
      <w:sz w:val="21"/>
    </w:rPr>
  </w:style>
  <w:style w:type="paragraph" w:styleId="10">
    <w:name w:val="Date"/>
    <w:basedOn w:val="1"/>
    <w:next w:val="1"/>
    <w:qFormat/>
    <w:uiPriority w:val="0"/>
  </w:style>
  <w:style w:type="paragraph" w:styleId="11">
    <w:name w:val="Balloon Text"/>
    <w:basedOn w:val="1"/>
    <w:link w:val="27"/>
    <w:qFormat/>
    <w:uiPriority w:val="0"/>
    <w:rPr>
      <w:sz w:val="18"/>
      <w:szCs w:val="18"/>
    </w:rPr>
  </w:style>
  <w:style w:type="paragraph" w:styleId="12">
    <w:name w:val="footer"/>
    <w:basedOn w:val="1"/>
    <w:next w:val="13"/>
    <w:qFormat/>
    <w:uiPriority w:val="0"/>
    <w:pPr>
      <w:tabs>
        <w:tab w:val="center" w:pos="4153"/>
        <w:tab w:val="right" w:pos="8306"/>
      </w:tabs>
      <w:snapToGrid w:val="0"/>
      <w:jc w:val="left"/>
    </w:pPr>
    <w:rPr>
      <w:sz w:val="18"/>
    </w:rPr>
  </w:style>
  <w:style w:type="paragraph" w:customStyle="1" w:styleId="13">
    <w:name w:val="索引 51"/>
    <w:basedOn w:val="1"/>
    <w:next w:val="1"/>
    <w:qFormat/>
    <w:uiPriority w:val="0"/>
    <w:pPr>
      <w:ind w:left="1680"/>
    </w:pPr>
  </w:style>
  <w:style w:type="paragraph" w:styleId="14">
    <w:name w:val="header"/>
    <w:basedOn w:val="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16">
    <w:name w:val="toc 2"/>
    <w:basedOn w:val="1"/>
    <w:next w:val="1"/>
    <w:qFormat/>
    <w:uiPriority w:val="39"/>
    <w:pPr>
      <w:tabs>
        <w:tab w:val="right" w:leader="dot" w:pos="8400"/>
      </w:tabs>
      <w:spacing w:line="440" w:lineRule="exact"/>
      <w:ind w:left="280" w:leftChars="100" w:right="-91" w:rightChars="-91"/>
    </w:pPr>
  </w:style>
  <w:style w:type="paragraph" w:styleId="17">
    <w:name w:val="annotation subject"/>
    <w:basedOn w:val="7"/>
    <w:next w:val="7"/>
    <w:link w:val="29"/>
    <w:qFormat/>
    <w:uiPriority w:val="0"/>
    <w:rPr>
      <w:b/>
      <w:bCs/>
    </w:rPr>
  </w:style>
  <w:style w:type="paragraph" w:styleId="18">
    <w:name w:val="Body Text First Indent"/>
    <w:basedOn w:val="2"/>
    <w:next w:val="1"/>
    <w:qFormat/>
    <w:uiPriority w:val="0"/>
    <w:pPr>
      <w:spacing w:after="0" w:line="360" w:lineRule="auto"/>
      <w:ind w:firstLine="420" w:firstLineChars="100"/>
    </w:pPr>
    <w:rPr>
      <w:szCs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qFormat/>
    <w:uiPriority w:val="0"/>
  </w:style>
  <w:style w:type="character" w:styleId="24">
    <w:name w:val="annotation reference"/>
    <w:basedOn w:val="21"/>
    <w:qFormat/>
    <w:uiPriority w:val="0"/>
    <w:rPr>
      <w:sz w:val="21"/>
      <w:szCs w:val="21"/>
    </w:rPr>
  </w:style>
  <w:style w:type="paragraph" w:customStyle="1" w:styleId="2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6">
    <w:name w:val="图例"/>
    <w:basedOn w:val="1"/>
    <w:qFormat/>
    <w:uiPriority w:val="0"/>
    <w:pPr>
      <w:spacing w:before="120" w:after="120" w:line="360" w:lineRule="auto"/>
      <w:jc w:val="center"/>
    </w:pPr>
    <w:rPr>
      <w:rFonts w:eastAsia="仿宋_GB2312"/>
      <w:b/>
      <w:sz w:val="24"/>
    </w:rPr>
  </w:style>
  <w:style w:type="character" w:customStyle="1" w:styleId="27">
    <w:name w:val="批注框文本 字符"/>
    <w:basedOn w:val="21"/>
    <w:link w:val="11"/>
    <w:qFormat/>
    <w:uiPriority w:val="0"/>
    <w:rPr>
      <w:kern w:val="2"/>
      <w:sz w:val="18"/>
      <w:szCs w:val="18"/>
    </w:rPr>
  </w:style>
  <w:style w:type="character" w:customStyle="1" w:styleId="28">
    <w:name w:val="批注文字 字符"/>
    <w:basedOn w:val="21"/>
    <w:link w:val="7"/>
    <w:qFormat/>
    <w:uiPriority w:val="0"/>
    <w:rPr>
      <w:kern w:val="2"/>
      <w:sz w:val="28"/>
    </w:rPr>
  </w:style>
  <w:style w:type="character" w:customStyle="1" w:styleId="29">
    <w:name w:val="批注主题 字符"/>
    <w:basedOn w:val="28"/>
    <w:link w:val="17"/>
    <w:qFormat/>
    <w:uiPriority w:val="0"/>
    <w:rPr>
      <w:b/>
      <w:bCs/>
      <w:kern w:val="2"/>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23184</Words>
  <Characters>24207</Characters>
  <Lines>223</Lines>
  <Paragraphs>62</Paragraphs>
  <TotalTime>1</TotalTime>
  <ScaleCrop>false</ScaleCrop>
  <LinksUpToDate>false</LinksUpToDate>
  <CharactersWithSpaces>24778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2023-05-29T12:05:00Z</dcterms:created>
  <dc:creator>阎晗</dc:creator>
  <cp:lastModifiedBy>晗子</cp:lastModifiedBy>
  <cp:lastPrinted>2023-07-04T04:29:00Z</cp:lastPrinted>
  <dcterms:modified xsi:type="dcterms:W3CDTF">2026-03-19T07:48:31Z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46FC8ACECFF24D30A73CF393AB6A347A_11</vt:lpwstr>
  </property>
  <property fmtid="{D5CDD505-2E9C-101B-9397-08002B2CF9AE}" pid="4" name="KSOTemplateDocerSaveRecord">
    <vt:lpwstr>eyJoZGlkIjoiMTQ4YzhkMGQxOTk5MWY0NWFjNTNmOWVmNjhkMTdiMjYiLCJ1c2VySWQiOiIxMjIzNjkzNTAwIn0=</vt:lpwstr>
  </property>
</Properties>
</file>