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A5F02D">
      <w:pPr>
        <w:spacing w:line="360" w:lineRule="auto"/>
        <w:ind w:left="-17" w:leftChars="-8" w:firstLine="22" w:firstLineChars="7"/>
        <w:jc w:val="center"/>
        <w:rPr>
          <w:b/>
          <w:color w:val="000000"/>
          <w:sz w:val="36"/>
          <w:szCs w:val="36"/>
          <w:u w:color="000000"/>
        </w:rPr>
      </w:pPr>
      <w:r>
        <w:rPr>
          <w:b/>
          <w:color w:val="000000"/>
          <w:sz w:val="32"/>
          <w:szCs w:val="32"/>
          <w:u w:color="000000"/>
        </w:rPr>
        <w:t>重庆工商大学采购合同</w:t>
      </w:r>
    </w:p>
    <w:p w14:paraId="09D507FC">
      <w:pPr>
        <w:spacing w:line="360" w:lineRule="auto"/>
        <w:jc w:val="center"/>
        <w:rPr>
          <w:color w:val="000000"/>
          <w:sz w:val="24"/>
          <w:u w:color="000000"/>
          <w:lang w:val="zh-TW" w:eastAsia="zh-TW"/>
        </w:rPr>
      </w:pPr>
      <w:r>
        <w:rPr>
          <w:color w:val="000000"/>
          <w:sz w:val="24"/>
          <w:u w:color="000000"/>
          <w:lang w:val="zh-TW" w:eastAsia="zh-TW"/>
        </w:rPr>
        <w:t>（项目名称：</w:t>
      </w:r>
      <w:r>
        <w:rPr>
          <w:rFonts w:hint="eastAsia"/>
          <w:color w:val="000000"/>
          <w:sz w:val="24"/>
          <w:u w:color="000000"/>
          <w:lang w:val="zh-TW" w:eastAsia="zh-CN"/>
        </w:rPr>
        <w:t>茶园校区（一期）窗帘（第二批）采购</w:t>
      </w:r>
      <w:r>
        <w:rPr>
          <w:rFonts w:hint="eastAsia"/>
          <w:color w:val="000000"/>
          <w:sz w:val="24"/>
          <w:u w:color="000000"/>
          <w:lang w:val="en-US" w:eastAsia="zh-CN"/>
        </w:rPr>
        <w:t>项目</w:t>
      </w:r>
      <w:r>
        <w:rPr>
          <w:color w:val="000000"/>
          <w:sz w:val="24"/>
          <w:u w:color="000000"/>
          <w:lang w:val="zh-TW" w:eastAsia="zh-TW"/>
        </w:rPr>
        <w:t>）</w:t>
      </w:r>
    </w:p>
    <w:p w14:paraId="77CD8F1C">
      <w:pPr>
        <w:spacing w:line="360" w:lineRule="auto"/>
        <w:jc w:val="center"/>
        <w:rPr>
          <w:sz w:val="24"/>
          <w:u w:color="000000"/>
          <w:lang w:val="zh-TW" w:eastAsia="zh-TW"/>
        </w:rPr>
      </w:pPr>
      <w:r>
        <w:rPr>
          <w:sz w:val="24"/>
          <w:u w:color="000000"/>
          <w:lang w:val="zh-TW" w:eastAsia="zh-TW"/>
        </w:rPr>
        <w:t>（项目编号：CTBU-JZ202</w:t>
      </w:r>
      <w:r>
        <w:rPr>
          <w:rFonts w:hint="eastAsia"/>
          <w:sz w:val="24"/>
          <w:u w:color="000000"/>
          <w:lang w:val="en-US" w:eastAsia="zh-CN"/>
        </w:rPr>
        <w:t>6002</w:t>
      </w:r>
      <w:r>
        <w:rPr>
          <w:sz w:val="24"/>
          <w:u w:color="000000"/>
          <w:lang w:val="zh-TW" w:eastAsia="zh-TW"/>
        </w:rPr>
        <w:t>）</w:t>
      </w:r>
    </w:p>
    <w:tbl>
      <w:tblPr>
        <w:tblStyle w:val="11"/>
        <w:tblW w:w="4825" w:type="pct"/>
        <w:jc w:val="center"/>
        <w:shd w:val="clear" w:color="auto" w:fill="CED7E7"/>
        <w:tblLayout w:type="autofit"/>
        <w:tblCellMar>
          <w:top w:w="0" w:type="dxa"/>
          <w:left w:w="0" w:type="dxa"/>
          <w:bottom w:w="0" w:type="dxa"/>
          <w:right w:w="0" w:type="dxa"/>
        </w:tblCellMar>
      </w:tblPr>
      <w:tblGrid>
        <w:gridCol w:w="5452"/>
        <w:gridCol w:w="3127"/>
      </w:tblGrid>
      <w:tr w14:paraId="6BD3FD93">
        <w:tblPrEx>
          <w:shd w:val="clear" w:color="auto" w:fill="CED7E7"/>
          <w:tblCellMar>
            <w:top w:w="0" w:type="dxa"/>
            <w:left w:w="0" w:type="dxa"/>
            <w:bottom w:w="0" w:type="dxa"/>
            <w:right w:w="0" w:type="dxa"/>
          </w:tblCellMar>
        </w:tblPrEx>
        <w:trPr>
          <w:trHeight w:val="378" w:hRule="atLeast"/>
          <w:jc w:val="center"/>
        </w:trPr>
        <w:tc>
          <w:tcPr>
            <w:tcW w:w="3177" w:type="pct"/>
            <w:shd w:val="clear" w:color="auto" w:fill="auto"/>
            <w:tcMar>
              <w:top w:w="80" w:type="dxa"/>
              <w:left w:w="80" w:type="dxa"/>
              <w:bottom w:w="80" w:type="dxa"/>
              <w:right w:w="80" w:type="dxa"/>
            </w:tcMar>
          </w:tcPr>
          <w:p w14:paraId="29015243">
            <w:pPr>
              <w:spacing w:line="380" w:lineRule="exact"/>
              <w:ind w:right="235" w:rightChars="112"/>
              <w:rPr>
                <w:rFonts w:ascii="Calibri" w:hAnsi="Calibri" w:eastAsia="PMingLiU"/>
                <w:kern w:val="0"/>
                <w:sz w:val="24"/>
                <w:u w:color="000000"/>
              </w:rPr>
            </w:pPr>
            <w:r>
              <w:rPr>
                <w:rFonts w:ascii="Calibri" w:hAnsi="Calibri"/>
                <w:kern w:val="0"/>
                <w:sz w:val="24"/>
                <w:u w:color="000000"/>
                <w:lang w:val="zh-TW"/>
              </w:rPr>
              <w:t>需方</w:t>
            </w:r>
            <w:r>
              <w:rPr>
                <w:rFonts w:ascii="Calibri" w:hAnsi="Calibri"/>
                <w:kern w:val="0"/>
                <w:sz w:val="24"/>
                <w:u w:color="000000"/>
                <w:lang w:val="zh-TW" w:eastAsia="zh-TW"/>
              </w:rPr>
              <w:t>：</w:t>
            </w:r>
            <w:r>
              <w:rPr>
                <w:rFonts w:ascii="Calibri" w:hAnsi="Calibri"/>
                <w:kern w:val="0"/>
                <w:sz w:val="24"/>
                <w:u w:val="single" w:color="000000"/>
                <w:lang w:val="zh-TW" w:eastAsia="zh-TW"/>
              </w:rPr>
              <w:t>重庆工商大学</w:t>
            </w:r>
          </w:p>
        </w:tc>
        <w:tc>
          <w:tcPr>
            <w:tcW w:w="1822" w:type="pct"/>
            <w:shd w:val="clear" w:color="auto" w:fill="auto"/>
            <w:tcMar>
              <w:top w:w="80" w:type="dxa"/>
              <w:left w:w="80" w:type="dxa"/>
              <w:bottom w:w="80" w:type="dxa"/>
              <w:right w:w="80" w:type="dxa"/>
            </w:tcMar>
          </w:tcPr>
          <w:p w14:paraId="15F96EEA">
            <w:pPr>
              <w:spacing w:line="380" w:lineRule="exact"/>
              <w:rPr>
                <w:rFonts w:hint="default" w:ascii="Calibri" w:hAnsi="Calibri" w:eastAsia="宋体"/>
                <w:kern w:val="0"/>
                <w:sz w:val="24"/>
                <w:u w:color="000000"/>
                <w:lang w:val="en-US" w:eastAsia="zh-CN"/>
              </w:rPr>
            </w:pPr>
            <w:r>
              <w:rPr>
                <w:rFonts w:ascii="Calibri" w:hAnsi="Calibri"/>
                <w:kern w:val="0"/>
                <w:sz w:val="24"/>
                <w:u w:color="000000"/>
                <w:lang w:val="zh-TW" w:eastAsia="zh-TW"/>
              </w:rPr>
              <w:t>计价单位：</w:t>
            </w:r>
            <w:r>
              <w:rPr>
                <w:rFonts w:ascii="Calibri" w:hAnsi="Calibri"/>
                <w:kern w:val="0"/>
                <w:sz w:val="24"/>
                <w:u w:val="single" w:color="000000"/>
                <w:lang w:val="zh-TW" w:eastAsia="zh-TW"/>
              </w:rPr>
              <w:t>元</w:t>
            </w:r>
            <w:r>
              <w:rPr>
                <w:rFonts w:hint="eastAsia" w:ascii="Calibri" w:hAnsi="Calibri"/>
                <w:kern w:val="0"/>
                <w:sz w:val="24"/>
                <w:u w:val="single" w:color="000000"/>
                <w:lang w:val="en-US" w:eastAsia="zh-CN"/>
              </w:rPr>
              <w:t>、平方米/元</w:t>
            </w:r>
          </w:p>
        </w:tc>
      </w:tr>
      <w:tr w14:paraId="4677A2A5">
        <w:tblPrEx>
          <w:shd w:val="clear" w:color="auto" w:fill="CED7E7"/>
          <w:tblCellMar>
            <w:top w:w="0" w:type="dxa"/>
            <w:left w:w="0" w:type="dxa"/>
            <w:bottom w:w="0" w:type="dxa"/>
            <w:right w:w="0" w:type="dxa"/>
          </w:tblCellMar>
        </w:tblPrEx>
        <w:trPr>
          <w:trHeight w:val="368" w:hRule="atLeast"/>
          <w:jc w:val="center"/>
        </w:trPr>
        <w:tc>
          <w:tcPr>
            <w:tcW w:w="3177" w:type="pct"/>
            <w:shd w:val="clear" w:color="auto" w:fill="auto"/>
            <w:tcMar>
              <w:top w:w="80" w:type="dxa"/>
              <w:left w:w="80" w:type="dxa"/>
              <w:bottom w:w="80" w:type="dxa"/>
              <w:right w:w="80" w:type="dxa"/>
            </w:tcMar>
          </w:tcPr>
          <w:p w14:paraId="17DA7DC7">
            <w:pPr>
              <w:spacing w:line="380" w:lineRule="exact"/>
              <w:rPr>
                <w:rFonts w:hint="default" w:ascii="Calibri" w:hAnsi="Calibri" w:eastAsia="宋体"/>
                <w:kern w:val="0"/>
                <w:sz w:val="24"/>
                <w:u w:color="000000"/>
                <w:lang w:val="en-US" w:eastAsia="zh-CN"/>
              </w:rPr>
            </w:pPr>
            <w:r>
              <w:rPr>
                <w:rFonts w:hint="eastAsia" w:ascii="Calibri" w:hAnsi="Calibri"/>
                <w:kern w:val="0"/>
                <w:sz w:val="24"/>
                <w:u w:color="000000"/>
                <w:lang w:val="en-US" w:eastAsia="zh-CN"/>
              </w:rPr>
              <w:t>供</w:t>
            </w:r>
            <w:r>
              <w:rPr>
                <w:rFonts w:ascii="Calibri" w:hAnsi="Calibri"/>
                <w:kern w:val="0"/>
                <w:sz w:val="24"/>
                <w:u w:color="000000"/>
                <w:lang w:val="zh-TW"/>
              </w:rPr>
              <w:t>方</w:t>
            </w:r>
            <w:r>
              <w:rPr>
                <w:rFonts w:ascii="Calibri" w:hAnsi="Calibri"/>
                <w:kern w:val="0"/>
                <w:sz w:val="24"/>
                <w:u w:color="000000"/>
                <w:lang w:val="zh-TW" w:eastAsia="zh-TW"/>
              </w:rPr>
              <w:t>：</w:t>
            </w:r>
            <w:r>
              <w:rPr>
                <w:rFonts w:hint="eastAsia" w:ascii="Calibri" w:hAnsi="Calibri"/>
                <w:kern w:val="0"/>
                <w:sz w:val="24"/>
                <w:u w:val="single" w:color="auto"/>
                <w:lang w:val="en-US" w:eastAsia="zh-CN"/>
              </w:rPr>
              <w:t xml:space="preserve">            </w:t>
            </w:r>
          </w:p>
        </w:tc>
        <w:tc>
          <w:tcPr>
            <w:tcW w:w="1822" w:type="pct"/>
            <w:shd w:val="clear" w:color="auto" w:fill="auto"/>
            <w:tcMar>
              <w:top w:w="80" w:type="dxa"/>
              <w:left w:w="80" w:type="dxa"/>
              <w:bottom w:w="80" w:type="dxa"/>
              <w:right w:w="80" w:type="dxa"/>
            </w:tcMar>
          </w:tcPr>
          <w:p w14:paraId="3DC3C923">
            <w:pPr>
              <w:spacing w:line="380" w:lineRule="exact"/>
              <w:rPr>
                <w:rFonts w:hint="default" w:ascii="Calibri" w:hAnsi="Calibri" w:eastAsia="宋体"/>
                <w:kern w:val="0"/>
                <w:sz w:val="24"/>
                <w:u w:color="000000"/>
                <w:lang w:val="en-US" w:eastAsia="zh-CN"/>
              </w:rPr>
            </w:pPr>
            <w:r>
              <w:rPr>
                <w:rFonts w:ascii="Calibri" w:hAnsi="Calibri"/>
                <w:kern w:val="0"/>
                <w:sz w:val="24"/>
                <w:u w:color="000000"/>
                <w:lang w:val="zh-TW" w:eastAsia="zh-TW"/>
              </w:rPr>
              <w:t>计量单位</w:t>
            </w:r>
            <w:r>
              <w:rPr>
                <w:rFonts w:ascii="Calibri" w:hAnsi="Calibri"/>
                <w:kern w:val="0"/>
                <w:sz w:val="24"/>
                <w:u w:color="000000"/>
                <w:lang w:val="zh-TW"/>
              </w:rPr>
              <w:t>：</w:t>
            </w:r>
            <w:r>
              <w:rPr>
                <w:rFonts w:hint="eastAsia" w:ascii="Calibri" w:hAnsi="Calibri"/>
                <w:kern w:val="0"/>
                <w:sz w:val="24"/>
                <w:u w:val="single" w:color="000000"/>
                <w:lang w:val="en-US" w:eastAsia="zh-CN"/>
              </w:rPr>
              <w:t>平方米、米</w:t>
            </w:r>
          </w:p>
        </w:tc>
      </w:tr>
    </w:tbl>
    <w:p w14:paraId="1698A97E">
      <w:pPr>
        <w:spacing w:line="380" w:lineRule="exact"/>
        <w:ind w:left="0" w:leftChars="0" w:firstLine="0" w:firstLineChars="0"/>
        <w:jc w:val="left"/>
        <w:rPr>
          <w:rFonts w:ascii="宋体" w:hAnsi="宋体" w:cs="Arial Unicode MS"/>
          <w:color w:val="000000"/>
          <w:sz w:val="24"/>
          <w:u w:color="000000"/>
          <w:lang w:val="zh-TW" w:eastAsia="zh-TW"/>
        </w:rPr>
      </w:pPr>
      <w:r>
        <w:rPr>
          <w:rFonts w:ascii="宋体" w:hAnsi="宋体" w:cs="宋体"/>
          <w:color w:val="000000"/>
          <w:sz w:val="24"/>
          <w:u w:color="000000"/>
          <w:lang w:val="zh-TW" w:eastAsia="zh-TW"/>
        </w:rPr>
        <w:t>经双方协商一致，达成以下购销合同：</w:t>
      </w:r>
    </w:p>
    <w:tbl>
      <w:tblPr>
        <w:tblStyle w:val="9"/>
        <w:tblW w:w="9767" w:type="dxa"/>
        <w:tblInd w:w="-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5"/>
        <w:gridCol w:w="2491"/>
        <w:gridCol w:w="630"/>
        <w:gridCol w:w="784"/>
        <w:gridCol w:w="1320"/>
        <w:gridCol w:w="1042"/>
        <w:gridCol w:w="1855"/>
      </w:tblGrid>
      <w:tr w14:paraId="0C9D4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exact"/>
        </w:trPr>
        <w:tc>
          <w:tcPr>
            <w:tcW w:w="1645" w:type="dxa"/>
            <w:vAlign w:val="center"/>
          </w:tcPr>
          <w:p w14:paraId="484222EB">
            <w:pPr>
              <w:keepNext w:val="0"/>
              <w:keepLines w:val="0"/>
              <w:pageBreakBefore w:val="0"/>
              <w:kinsoku/>
              <w:wordWrap/>
              <w:overflowPunct/>
              <w:topLinePunct w:val="0"/>
              <w:autoSpaceDE/>
              <w:autoSpaceDN/>
              <w:bidi w:val="0"/>
              <w:adjustRightInd/>
              <w:spacing w:line="300" w:lineRule="exact"/>
              <w:jc w:val="center"/>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商品名称</w:t>
            </w:r>
          </w:p>
        </w:tc>
        <w:tc>
          <w:tcPr>
            <w:tcW w:w="2491" w:type="dxa"/>
            <w:vAlign w:val="center"/>
          </w:tcPr>
          <w:p w14:paraId="0DF41326">
            <w:pPr>
              <w:keepNext w:val="0"/>
              <w:keepLines w:val="0"/>
              <w:pageBreakBefore w:val="0"/>
              <w:kinsoku/>
              <w:wordWrap/>
              <w:overflowPunct/>
              <w:topLinePunct w:val="0"/>
              <w:autoSpaceDE/>
              <w:autoSpaceDN/>
              <w:bidi w:val="0"/>
              <w:adjustRightInd/>
              <w:spacing w:line="300" w:lineRule="exact"/>
              <w:jc w:val="center"/>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品牌</w:t>
            </w:r>
            <w:r>
              <w:rPr>
                <w:rFonts w:hint="default" w:ascii="Times New Roman" w:hAnsi="Times New Roman" w:eastAsia="宋体" w:cs="Times New Roman"/>
                <w:sz w:val="24"/>
                <w:szCs w:val="24"/>
                <w:lang w:val="zh-TW"/>
              </w:rPr>
              <w:t>/</w:t>
            </w:r>
            <w:r>
              <w:rPr>
                <w:rFonts w:hint="default" w:ascii="Times New Roman" w:hAnsi="Times New Roman" w:eastAsia="宋体" w:cs="Times New Roman"/>
                <w:sz w:val="24"/>
                <w:szCs w:val="24"/>
                <w:lang w:val="zh-TW" w:eastAsia="zh-TW"/>
              </w:rPr>
              <w:t>规格</w:t>
            </w:r>
          </w:p>
        </w:tc>
        <w:tc>
          <w:tcPr>
            <w:tcW w:w="1414" w:type="dxa"/>
            <w:gridSpan w:val="2"/>
            <w:vAlign w:val="center"/>
          </w:tcPr>
          <w:p w14:paraId="49EC7A08">
            <w:pPr>
              <w:keepNext w:val="0"/>
              <w:keepLines w:val="0"/>
              <w:pageBreakBefore w:val="0"/>
              <w:kinsoku/>
              <w:wordWrap/>
              <w:overflowPunct/>
              <w:topLinePunct w:val="0"/>
              <w:autoSpaceDE/>
              <w:autoSpaceDN/>
              <w:bidi w:val="0"/>
              <w:adjustRightInd/>
              <w:spacing w:line="300" w:lineRule="exact"/>
              <w:jc w:val="center"/>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原厂制造商</w:t>
            </w:r>
          </w:p>
        </w:tc>
        <w:tc>
          <w:tcPr>
            <w:tcW w:w="1320" w:type="dxa"/>
            <w:vAlign w:val="center"/>
          </w:tcPr>
          <w:p w14:paraId="4FDE81E6">
            <w:pPr>
              <w:keepNext w:val="0"/>
              <w:keepLines w:val="0"/>
              <w:pageBreakBefore w:val="0"/>
              <w:kinsoku/>
              <w:wordWrap/>
              <w:overflowPunct/>
              <w:topLinePunct w:val="0"/>
              <w:autoSpaceDE/>
              <w:autoSpaceDN/>
              <w:bidi w:val="0"/>
              <w:adjustRightInd/>
              <w:spacing w:line="300" w:lineRule="exact"/>
              <w:jc w:val="center"/>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预估</w:t>
            </w:r>
          </w:p>
          <w:p w14:paraId="3D6E9E1F">
            <w:pPr>
              <w:keepNext w:val="0"/>
              <w:keepLines w:val="0"/>
              <w:pageBreakBefore w:val="0"/>
              <w:kinsoku/>
              <w:wordWrap/>
              <w:overflowPunct/>
              <w:topLinePunct w:val="0"/>
              <w:autoSpaceDE/>
              <w:autoSpaceDN/>
              <w:bidi w:val="0"/>
              <w:adjustRightInd/>
              <w:spacing w:line="300" w:lineRule="exact"/>
              <w:jc w:val="center"/>
              <w:rPr>
                <w:rFonts w:hint="eastAsia" w:ascii="Times New Roman" w:hAnsi="Times New Roman" w:eastAsia="宋体" w:cs="Times New Roman"/>
                <w:sz w:val="24"/>
                <w:szCs w:val="24"/>
                <w:lang w:val="zh-TW" w:eastAsia="zh-CN"/>
              </w:rPr>
            </w:pPr>
            <w:r>
              <w:rPr>
                <w:rFonts w:hint="default" w:ascii="Times New Roman" w:hAnsi="Times New Roman" w:eastAsia="宋体" w:cs="Times New Roman"/>
                <w:sz w:val="24"/>
                <w:szCs w:val="24"/>
                <w:lang w:val="zh-TW" w:eastAsia="zh-TW"/>
              </w:rPr>
              <w:t>数量</w:t>
            </w:r>
          </w:p>
        </w:tc>
        <w:tc>
          <w:tcPr>
            <w:tcW w:w="1042" w:type="dxa"/>
            <w:vAlign w:val="center"/>
          </w:tcPr>
          <w:p w14:paraId="549C9591">
            <w:pPr>
              <w:keepNext w:val="0"/>
              <w:keepLines w:val="0"/>
              <w:pageBreakBefore w:val="0"/>
              <w:kinsoku/>
              <w:wordWrap/>
              <w:overflowPunct/>
              <w:topLinePunct w:val="0"/>
              <w:autoSpaceDE/>
              <w:autoSpaceDN/>
              <w:bidi w:val="0"/>
              <w:adjustRightInd/>
              <w:spacing w:line="300" w:lineRule="exact"/>
              <w:jc w:val="center"/>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单价</w:t>
            </w:r>
          </w:p>
        </w:tc>
        <w:tc>
          <w:tcPr>
            <w:tcW w:w="1855" w:type="dxa"/>
            <w:vAlign w:val="center"/>
          </w:tcPr>
          <w:p w14:paraId="260FCC82">
            <w:pPr>
              <w:keepNext w:val="0"/>
              <w:keepLines w:val="0"/>
              <w:pageBreakBefore w:val="0"/>
              <w:kinsoku/>
              <w:wordWrap/>
              <w:overflowPunct/>
              <w:topLinePunct w:val="0"/>
              <w:autoSpaceDE/>
              <w:autoSpaceDN/>
              <w:bidi w:val="0"/>
              <w:adjustRightInd/>
              <w:spacing w:line="300" w:lineRule="exact"/>
              <w:jc w:val="center"/>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小计</w:t>
            </w:r>
          </w:p>
        </w:tc>
      </w:tr>
      <w:tr w14:paraId="772C6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 w:hRule="atLeast"/>
        </w:trPr>
        <w:tc>
          <w:tcPr>
            <w:tcW w:w="1645" w:type="dxa"/>
            <w:vAlign w:val="center"/>
          </w:tcPr>
          <w:p w14:paraId="20A6EB41">
            <w:pPr>
              <w:spacing w:line="500" w:lineRule="exact"/>
              <w:jc w:val="center"/>
              <w:textAlignment w:val="center"/>
              <w:rPr>
                <w:rFonts w:hint="default" w:ascii="Times New Roman" w:hAnsi="Times New Roman" w:eastAsia="宋体" w:cs="Times New Roman"/>
                <w:sz w:val="24"/>
                <w:szCs w:val="24"/>
                <w:lang w:val="zh-TW" w:eastAsia="zh-TW"/>
              </w:rPr>
            </w:pPr>
            <w:r>
              <w:rPr>
                <w:rFonts w:hint="default" w:ascii="Times New Roman" w:hAnsi="Times New Roman" w:cs="Times New Roman"/>
                <w:sz w:val="24"/>
                <w:szCs w:val="24"/>
              </w:rPr>
              <w:t>遮光窗帘</w:t>
            </w:r>
          </w:p>
        </w:tc>
        <w:tc>
          <w:tcPr>
            <w:tcW w:w="2491" w:type="dxa"/>
            <w:vAlign w:val="center"/>
          </w:tcPr>
          <w:p w14:paraId="6A7F0114">
            <w:pPr>
              <w:spacing w:line="500" w:lineRule="exact"/>
              <w:jc w:val="center"/>
              <w:textAlignment w:val="center"/>
              <w:rPr>
                <w:rFonts w:hint="default" w:ascii="Times New Roman" w:hAnsi="Times New Roman" w:eastAsia="宋体" w:cs="Times New Roman"/>
                <w:sz w:val="24"/>
                <w:szCs w:val="24"/>
                <w:lang w:val="zh-TW" w:eastAsia="zh-TW"/>
              </w:rPr>
            </w:pPr>
          </w:p>
        </w:tc>
        <w:tc>
          <w:tcPr>
            <w:tcW w:w="1414" w:type="dxa"/>
            <w:gridSpan w:val="2"/>
            <w:vAlign w:val="center"/>
          </w:tcPr>
          <w:p w14:paraId="5D379198">
            <w:pPr>
              <w:keepNext w:val="0"/>
              <w:keepLines w:val="0"/>
              <w:widowControl/>
              <w:suppressLineNumbers w:val="0"/>
              <w:jc w:val="center"/>
              <w:textAlignment w:val="center"/>
              <w:rPr>
                <w:rFonts w:hint="default" w:ascii="Times New Roman" w:hAnsi="Times New Roman" w:eastAsia="宋体" w:cs="Times New Roman"/>
                <w:sz w:val="24"/>
                <w:szCs w:val="24"/>
                <w:lang w:val="zh-TW" w:eastAsia="zh-TW"/>
              </w:rPr>
            </w:pPr>
          </w:p>
        </w:tc>
        <w:tc>
          <w:tcPr>
            <w:tcW w:w="1320" w:type="dxa"/>
            <w:shd w:val="clear" w:color="auto" w:fill="auto"/>
            <w:vAlign w:val="center"/>
          </w:tcPr>
          <w:p w14:paraId="379B343E">
            <w:pPr>
              <w:keepNext w:val="0"/>
              <w:keepLines w:val="0"/>
              <w:widowControl/>
              <w:suppressLineNumbers w:val="0"/>
              <w:jc w:val="center"/>
              <w:textAlignment w:val="center"/>
              <w:rPr>
                <w:rFonts w:hint="default" w:ascii="Times New Roman" w:hAnsi="Times New Roman" w:eastAsia="宋体" w:cs="Times New Roman"/>
                <w:color w:val="auto"/>
                <w:kern w:val="2"/>
                <w:sz w:val="24"/>
                <w:szCs w:val="24"/>
                <w:u w:val="none" w:color="auto"/>
                <w:lang w:val="zh-TW" w:eastAsia="zh-CN" w:bidi="ar-SA"/>
              </w:rPr>
            </w:pPr>
            <w:r>
              <w:rPr>
                <w:rFonts w:hint="default" w:ascii="Times New Roman" w:hAnsi="Times New Roman" w:eastAsia="宋体" w:cs="Times New Roman"/>
                <w:i w:val="0"/>
                <w:iCs w:val="0"/>
                <w:color w:val="auto"/>
                <w:kern w:val="0"/>
                <w:sz w:val="24"/>
                <w:szCs w:val="24"/>
                <w:highlight w:val="none"/>
                <w:u w:val="none" w:color="auto"/>
                <w:lang w:val="en-US" w:eastAsia="zh-CN" w:bidi="ar"/>
              </w:rPr>
              <w:t xml:space="preserve">15150.9 </w:t>
            </w:r>
            <w:r>
              <w:rPr>
                <w:rFonts w:hint="default" w:ascii="Times New Roman" w:hAnsi="Times New Roman" w:cs="Times New Roman"/>
                <w:color w:val="auto"/>
                <w:kern w:val="0"/>
                <w:sz w:val="24"/>
                <w:u w:val="none" w:color="auto"/>
                <w:lang w:val="en-US" w:eastAsia="zh-CN"/>
              </w:rPr>
              <w:t>平方米</w:t>
            </w:r>
          </w:p>
        </w:tc>
        <w:tc>
          <w:tcPr>
            <w:tcW w:w="1042" w:type="dxa"/>
            <w:vAlign w:val="center"/>
          </w:tcPr>
          <w:p w14:paraId="3574A281">
            <w:pPr>
              <w:keepNext w:val="0"/>
              <w:keepLines w:val="0"/>
              <w:pageBreakBefore w:val="0"/>
              <w:kinsoku/>
              <w:wordWrap/>
              <w:overflowPunct/>
              <w:topLinePunct w:val="0"/>
              <w:autoSpaceDE/>
              <w:autoSpaceDN/>
              <w:bidi w:val="0"/>
              <w:adjustRightInd/>
              <w:spacing w:line="300" w:lineRule="exact"/>
              <w:jc w:val="center"/>
              <w:rPr>
                <w:rFonts w:hint="default" w:ascii="Times New Roman" w:hAnsi="Times New Roman" w:eastAsia="宋体" w:cs="Times New Roman"/>
                <w:sz w:val="24"/>
                <w:szCs w:val="24"/>
                <w:lang w:val="zh-TW" w:eastAsia="zh-TW"/>
              </w:rPr>
            </w:pPr>
          </w:p>
        </w:tc>
        <w:tc>
          <w:tcPr>
            <w:tcW w:w="1855" w:type="dxa"/>
            <w:vAlign w:val="center"/>
          </w:tcPr>
          <w:p w14:paraId="34482549">
            <w:pPr>
              <w:keepNext w:val="0"/>
              <w:keepLines w:val="0"/>
              <w:pageBreakBefore w:val="0"/>
              <w:kinsoku/>
              <w:wordWrap/>
              <w:overflowPunct/>
              <w:topLinePunct w:val="0"/>
              <w:autoSpaceDE/>
              <w:autoSpaceDN/>
              <w:bidi w:val="0"/>
              <w:adjustRightInd/>
              <w:spacing w:line="300" w:lineRule="exact"/>
              <w:jc w:val="center"/>
              <w:rPr>
                <w:rFonts w:hint="default" w:ascii="Times New Roman" w:hAnsi="Times New Roman" w:eastAsia="宋体" w:cs="Times New Roman"/>
                <w:sz w:val="24"/>
                <w:szCs w:val="24"/>
                <w:lang w:val="zh-TW" w:eastAsia="zh-TW"/>
              </w:rPr>
            </w:pPr>
          </w:p>
        </w:tc>
      </w:tr>
      <w:tr w14:paraId="3B25C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45" w:type="dxa"/>
            <w:vAlign w:val="center"/>
          </w:tcPr>
          <w:p w14:paraId="2E416B7D">
            <w:pPr>
              <w:spacing w:line="500" w:lineRule="exact"/>
              <w:jc w:val="center"/>
              <w:textAlignment w:val="center"/>
              <w:rPr>
                <w:rFonts w:hint="default" w:ascii="Times New Roman" w:hAnsi="Times New Roman" w:eastAsia="宋体" w:cs="Times New Roman"/>
                <w:sz w:val="24"/>
                <w:szCs w:val="24"/>
                <w:lang w:val="zh-TW" w:eastAsia="zh-TW"/>
              </w:rPr>
            </w:pPr>
            <w:r>
              <w:rPr>
                <w:rFonts w:hint="default" w:ascii="Times New Roman" w:hAnsi="Times New Roman" w:cs="Times New Roman"/>
                <w:kern w:val="0"/>
                <w:sz w:val="24"/>
                <w:szCs w:val="24"/>
                <w:lang w:bidi="ar"/>
              </w:rPr>
              <w:t>窗帘轨道</w:t>
            </w:r>
          </w:p>
        </w:tc>
        <w:tc>
          <w:tcPr>
            <w:tcW w:w="2491" w:type="dxa"/>
            <w:vAlign w:val="center"/>
          </w:tcPr>
          <w:p w14:paraId="7FCE6E1F">
            <w:pPr>
              <w:spacing w:line="500" w:lineRule="exact"/>
              <w:jc w:val="center"/>
              <w:textAlignment w:val="center"/>
              <w:rPr>
                <w:rFonts w:hint="default" w:ascii="Times New Roman" w:hAnsi="Times New Roman" w:eastAsia="宋体" w:cs="Times New Roman"/>
                <w:sz w:val="24"/>
                <w:szCs w:val="24"/>
                <w:lang w:val="zh-TW" w:eastAsia="zh-TW"/>
              </w:rPr>
            </w:pPr>
          </w:p>
        </w:tc>
        <w:tc>
          <w:tcPr>
            <w:tcW w:w="1414" w:type="dxa"/>
            <w:gridSpan w:val="2"/>
            <w:vAlign w:val="center"/>
          </w:tcPr>
          <w:p w14:paraId="529A79AC">
            <w:pPr>
              <w:keepNext w:val="0"/>
              <w:keepLines w:val="0"/>
              <w:widowControl/>
              <w:suppressLineNumbers w:val="0"/>
              <w:jc w:val="center"/>
              <w:textAlignment w:val="center"/>
              <w:rPr>
                <w:rFonts w:hint="default" w:ascii="Times New Roman" w:hAnsi="Times New Roman" w:eastAsia="宋体" w:cs="Times New Roman"/>
                <w:sz w:val="24"/>
                <w:szCs w:val="24"/>
                <w:lang w:val="zh-TW" w:eastAsia="zh-TW"/>
              </w:rPr>
            </w:pPr>
          </w:p>
        </w:tc>
        <w:tc>
          <w:tcPr>
            <w:tcW w:w="1320" w:type="dxa"/>
            <w:shd w:val="clear" w:color="auto" w:fill="auto"/>
            <w:vAlign w:val="center"/>
          </w:tcPr>
          <w:p w14:paraId="23911F81">
            <w:pPr>
              <w:keepNext w:val="0"/>
              <w:keepLines w:val="0"/>
              <w:widowControl/>
              <w:suppressLineNumbers w:val="0"/>
              <w:jc w:val="center"/>
              <w:textAlignment w:val="center"/>
              <w:rPr>
                <w:rFonts w:hint="default" w:ascii="Times New Roman" w:hAnsi="Times New Roman" w:eastAsia="宋体" w:cs="Times New Roman"/>
                <w:b w:val="0"/>
                <w:bCs w:val="0"/>
                <w:color w:val="auto"/>
                <w:kern w:val="2"/>
                <w:sz w:val="24"/>
                <w:szCs w:val="24"/>
                <w:u w:val="none" w:color="auto"/>
                <w:lang w:val="en-US" w:eastAsia="zh-TW" w:bidi="ar-SA"/>
              </w:rPr>
            </w:pPr>
            <w:r>
              <w:rPr>
                <w:rFonts w:hint="default" w:ascii="Times New Roman" w:hAnsi="Times New Roman" w:eastAsia="宋体" w:cs="Times New Roman"/>
                <w:b w:val="0"/>
                <w:bCs w:val="0"/>
                <w:i w:val="0"/>
                <w:iCs w:val="0"/>
                <w:color w:val="auto"/>
                <w:kern w:val="0"/>
                <w:sz w:val="24"/>
                <w:szCs w:val="24"/>
                <w:highlight w:val="none"/>
                <w:u w:val="none" w:color="auto"/>
                <w:lang w:val="en-US" w:eastAsia="zh-CN" w:bidi="ar"/>
              </w:rPr>
              <w:t>2533.05米</w:t>
            </w:r>
          </w:p>
        </w:tc>
        <w:tc>
          <w:tcPr>
            <w:tcW w:w="1042" w:type="dxa"/>
            <w:vAlign w:val="center"/>
          </w:tcPr>
          <w:p w14:paraId="4026D0BA">
            <w:pPr>
              <w:keepNext w:val="0"/>
              <w:keepLines w:val="0"/>
              <w:pageBreakBefore w:val="0"/>
              <w:kinsoku/>
              <w:wordWrap/>
              <w:overflowPunct/>
              <w:topLinePunct w:val="0"/>
              <w:autoSpaceDE/>
              <w:autoSpaceDN/>
              <w:bidi w:val="0"/>
              <w:adjustRightInd/>
              <w:spacing w:line="300" w:lineRule="exact"/>
              <w:jc w:val="left"/>
              <w:rPr>
                <w:rFonts w:hint="default" w:ascii="Times New Roman" w:hAnsi="Times New Roman" w:eastAsia="宋体" w:cs="Times New Roman"/>
                <w:sz w:val="24"/>
                <w:szCs w:val="24"/>
                <w:lang w:val="zh-TW" w:eastAsia="zh-TW"/>
              </w:rPr>
            </w:pPr>
          </w:p>
        </w:tc>
        <w:tc>
          <w:tcPr>
            <w:tcW w:w="1855" w:type="dxa"/>
            <w:vAlign w:val="center"/>
          </w:tcPr>
          <w:p w14:paraId="421C71B6">
            <w:pPr>
              <w:keepNext w:val="0"/>
              <w:keepLines w:val="0"/>
              <w:pageBreakBefore w:val="0"/>
              <w:kinsoku/>
              <w:wordWrap/>
              <w:overflowPunct/>
              <w:topLinePunct w:val="0"/>
              <w:autoSpaceDE/>
              <w:autoSpaceDN/>
              <w:bidi w:val="0"/>
              <w:adjustRightInd/>
              <w:spacing w:line="300" w:lineRule="exact"/>
              <w:jc w:val="left"/>
              <w:rPr>
                <w:rFonts w:hint="default" w:ascii="Times New Roman" w:hAnsi="Times New Roman" w:eastAsia="宋体" w:cs="Times New Roman"/>
                <w:sz w:val="24"/>
                <w:szCs w:val="24"/>
                <w:lang w:val="zh-TW" w:eastAsia="zh-TW"/>
              </w:rPr>
            </w:pPr>
          </w:p>
        </w:tc>
      </w:tr>
      <w:tr w14:paraId="2244A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645" w:type="dxa"/>
            <w:vAlign w:val="center"/>
          </w:tcPr>
          <w:p w14:paraId="169ECEFD">
            <w:pPr>
              <w:spacing w:line="500" w:lineRule="exact"/>
              <w:jc w:val="center"/>
              <w:textAlignment w:val="center"/>
              <w:rPr>
                <w:rFonts w:hint="default" w:ascii="Times New Roman" w:hAnsi="Times New Roman" w:eastAsia="宋体" w:cs="Times New Roman"/>
                <w:sz w:val="24"/>
                <w:szCs w:val="24"/>
                <w:lang w:val="zh-TW" w:eastAsia="zh-TW"/>
              </w:rPr>
            </w:pPr>
            <w:r>
              <w:rPr>
                <w:rFonts w:hint="default" w:ascii="Times New Roman" w:hAnsi="Times New Roman" w:cs="Times New Roman"/>
                <w:b w:val="0"/>
                <w:bCs w:val="0"/>
                <w:kern w:val="0"/>
                <w:sz w:val="24"/>
                <w:szCs w:val="24"/>
                <w:lang w:bidi="ar"/>
              </w:rPr>
              <w:t>窗帘布带</w:t>
            </w:r>
          </w:p>
        </w:tc>
        <w:tc>
          <w:tcPr>
            <w:tcW w:w="2491" w:type="dxa"/>
            <w:vAlign w:val="center"/>
          </w:tcPr>
          <w:p w14:paraId="018D632C">
            <w:pPr>
              <w:spacing w:line="500" w:lineRule="exact"/>
              <w:jc w:val="center"/>
              <w:textAlignment w:val="center"/>
              <w:rPr>
                <w:rFonts w:hint="default" w:ascii="Times New Roman" w:hAnsi="Times New Roman" w:eastAsia="宋体" w:cs="Times New Roman"/>
                <w:sz w:val="24"/>
                <w:szCs w:val="24"/>
                <w:lang w:val="zh-TW" w:eastAsia="zh-TW"/>
              </w:rPr>
            </w:pPr>
          </w:p>
        </w:tc>
        <w:tc>
          <w:tcPr>
            <w:tcW w:w="1414" w:type="dxa"/>
            <w:gridSpan w:val="2"/>
            <w:vAlign w:val="center"/>
          </w:tcPr>
          <w:p w14:paraId="29DBFB82">
            <w:pPr>
              <w:keepNext w:val="0"/>
              <w:keepLines w:val="0"/>
              <w:widowControl/>
              <w:suppressLineNumbers w:val="0"/>
              <w:jc w:val="center"/>
              <w:textAlignment w:val="center"/>
              <w:rPr>
                <w:rFonts w:hint="default" w:ascii="Times New Roman" w:hAnsi="Times New Roman" w:eastAsia="宋体" w:cs="Times New Roman"/>
                <w:sz w:val="24"/>
                <w:szCs w:val="24"/>
                <w:lang w:val="zh-TW" w:eastAsia="zh-TW"/>
              </w:rPr>
            </w:pPr>
          </w:p>
        </w:tc>
        <w:tc>
          <w:tcPr>
            <w:tcW w:w="1320" w:type="dxa"/>
            <w:shd w:val="clear" w:color="auto" w:fill="auto"/>
            <w:vAlign w:val="center"/>
          </w:tcPr>
          <w:p w14:paraId="4024C784">
            <w:pPr>
              <w:keepNext w:val="0"/>
              <w:keepLines w:val="0"/>
              <w:widowControl/>
              <w:suppressLineNumbers w:val="0"/>
              <w:jc w:val="center"/>
              <w:textAlignment w:val="center"/>
              <w:rPr>
                <w:rFonts w:hint="default" w:ascii="Times New Roman" w:hAnsi="Times New Roman" w:eastAsia="宋体" w:cs="Times New Roman"/>
                <w:b w:val="0"/>
                <w:bCs w:val="0"/>
                <w:color w:val="auto"/>
                <w:kern w:val="2"/>
                <w:sz w:val="24"/>
                <w:szCs w:val="24"/>
                <w:u w:val="none" w:color="auto"/>
                <w:lang w:val="en-US" w:eastAsia="zh-TW" w:bidi="ar-SA"/>
              </w:rPr>
            </w:pPr>
            <w:r>
              <w:rPr>
                <w:rFonts w:hint="default" w:ascii="Times New Roman" w:hAnsi="Times New Roman" w:eastAsia="宋体" w:cs="Times New Roman"/>
                <w:b w:val="0"/>
                <w:bCs w:val="0"/>
                <w:i w:val="0"/>
                <w:iCs w:val="0"/>
                <w:color w:val="auto"/>
                <w:kern w:val="0"/>
                <w:sz w:val="24"/>
                <w:szCs w:val="24"/>
                <w:highlight w:val="none"/>
                <w:u w:val="none" w:color="auto"/>
                <w:lang w:val="en-US" w:eastAsia="zh-CN" w:bidi="ar"/>
              </w:rPr>
              <w:t>4559.49米</w:t>
            </w:r>
          </w:p>
        </w:tc>
        <w:tc>
          <w:tcPr>
            <w:tcW w:w="1042" w:type="dxa"/>
            <w:vAlign w:val="center"/>
          </w:tcPr>
          <w:p w14:paraId="6C6EF90C">
            <w:pPr>
              <w:keepNext w:val="0"/>
              <w:keepLines w:val="0"/>
              <w:pageBreakBefore w:val="0"/>
              <w:kinsoku/>
              <w:wordWrap/>
              <w:overflowPunct/>
              <w:topLinePunct w:val="0"/>
              <w:autoSpaceDE/>
              <w:autoSpaceDN/>
              <w:bidi w:val="0"/>
              <w:adjustRightInd/>
              <w:spacing w:line="300" w:lineRule="exact"/>
              <w:jc w:val="left"/>
              <w:rPr>
                <w:rFonts w:hint="default" w:ascii="Times New Roman" w:hAnsi="Times New Roman" w:eastAsia="宋体" w:cs="Times New Roman"/>
                <w:sz w:val="24"/>
                <w:szCs w:val="24"/>
                <w:lang w:val="zh-TW" w:eastAsia="zh-TW"/>
              </w:rPr>
            </w:pPr>
          </w:p>
        </w:tc>
        <w:tc>
          <w:tcPr>
            <w:tcW w:w="1855" w:type="dxa"/>
            <w:vAlign w:val="center"/>
          </w:tcPr>
          <w:p w14:paraId="4CB14113">
            <w:pPr>
              <w:keepNext w:val="0"/>
              <w:keepLines w:val="0"/>
              <w:pageBreakBefore w:val="0"/>
              <w:kinsoku/>
              <w:wordWrap/>
              <w:overflowPunct/>
              <w:topLinePunct w:val="0"/>
              <w:autoSpaceDE/>
              <w:autoSpaceDN/>
              <w:bidi w:val="0"/>
              <w:adjustRightInd/>
              <w:spacing w:line="300" w:lineRule="exact"/>
              <w:jc w:val="left"/>
              <w:rPr>
                <w:rFonts w:hint="default" w:ascii="Times New Roman" w:hAnsi="Times New Roman" w:eastAsia="宋体" w:cs="Times New Roman"/>
                <w:sz w:val="24"/>
                <w:szCs w:val="24"/>
                <w:lang w:val="zh-TW" w:eastAsia="zh-TW"/>
              </w:rPr>
            </w:pPr>
          </w:p>
        </w:tc>
      </w:tr>
      <w:tr w14:paraId="0DFD4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exact"/>
        </w:trPr>
        <w:tc>
          <w:tcPr>
            <w:tcW w:w="9767" w:type="dxa"/>
            <w:gridSpan w:val="7"/>
            <w:vAlign w:val="center"/>
          </w:tcPr>
          <w:p w14:paraId="7D6B3AB2">
            <w:pPr>
              <w:keepNext w:val="0"/>
              <w:keepLines w:val="0"/>
              <w:pageBreakBefore w:val="0"/>
              <w:kinsoku/>
              <w:wordWrap/>
              <w:overflowPunct/>
              <w:topLinePunct w:val="0"/>
              <w:autoSpaceDE/>
              <w:autoSpaceDN/>
              <w:bidi w:val="0"/>
              <w:adjustRightInd/>
              <w:spacing w:line="300" w:lineRule="exact"/>
              <w:jc w:val="left"/>
              <w:rPr>
                <w:rFonts w:hint="default" w:ascii="Times New Roman" w:hAnsi="Times New Roman" w:eastAsia="宋体" w:cs="Times New Roman"/>
                <w:sz w:val="24"/>
                <w:szCs w:val="24"/>
                <w:lang w:eastAsia="zh-TW"/>
              </w:rPr>
            </w:pPr>
            <w:r>
              <w:rPr>
                <w:rFonts w:hint="default" w:ascii="Times New Roman" w:hAnsi="Times New Roman" w:eastAsia="宋体" w:cs="Times New Roman"/>
                <w:sz w:val="24"/>
                <w:szCs w:val="24"/>
                <w:lang w:val="zh-TW" w:eastAsia="zh-TW"/>
              </w:rPr>
              <w:t>合计人民币（小写）：</w:t>
            </w:r>
            <w:r>
              <w:rPr>
                <w:rFonts w:hint="default" w:ascii="Times New Roman" w:hAnsi="Times New Roman" w:eastAsia="宋体" w:cs="Times New Roman"/>
                <w:spacing w:val="11"/>
                <w:sz w:val="24"/>
                <w:szCs w:val="24"/>
              </w:rPr>
              <w:t>元</w:t>
            </w:r>
          </w:p>
        </w:tc>
      </w:tr>
      <w:tr w14:paraId="009E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exact"/>
        </w:trPr>
        <w:tc>
          <w:tcPr>
            <w:tcW w:w="9767" w:type="dxa"/>
            <w:gridSpan w:val="7"/>
            <w:vAlign w:val="center"/>
          </w:tcPr>
          <w:p w14:paraId="547E38C7">
            <w:pPr>
              <w:keepNext w:val="0"/>
              <w:keepLines w:val="0"/>
              <w:pageBreakBefore w:val="0"/>
              <w:kinsoku/>
              <w:wordWrap/>
              <w:overflowPunct/>
              <w:topLinePunct w:val="0"/>
              <w:autoSpaceDE/>
              <w:autoSpaceDN/>
              <w:bidi w:val="0"/>
              <w:adjustRightInd/>
              <w:spacing w:line="300" w:lineRule="exact"/>
              <w:jc w:val="left"/>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合计人民币（大写）：</w:t>
            </w:r>
          </w:p>
        </w:tc>
      </w:tr>
      <w:tr w14:paraId="5372E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0575A736">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备注：</w:t>
            </w:r>
          </w:p>
          <w:p w14:paraId="017BB6A0">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eastAsia" w:cs="Times New Roman"/>
                <w:sz w:val="24"/>
                <w:szCs w:val="24"/>
                <w:lang w:val="en-US" w:eastAsia="zh-CN"/>
              </w:rPr>
              <w:t>1.</w:t>
            </w:r>
            <w:r>
              <w:rPr>
                <w:rFonts w:hint="default" w:ascii="Times New Roman" w:hAnsi="Times New Roman" w:eastAsia="宋体" w:cs="Times New Roman"/>
                <w:sz w:val="24"/>
                <w:szCs w:val="24"/>
                <w:lang w:val="zh-TW" w:eastAsia="zh-TW"/>
              </w:rPr>
              <w:t>本项目为交钥匙工程，合同价为总价包干，包含但不限于旧设备拆除及运输费</w:t>
            </w:r>
            <w:r>
              <w:rPr>
                <w:rFonts w:hint="default" w:ascii="Times New Roman" w:hAnsi="Times New Roman" w:eastAsia="宋体" w:cs="Times New Roman"/>
                <w:sz w:val="24"/>
                <w:szCs w:val="24"/>
                <w:lang w:val="zh-TW" w:eastAsia="zh-CN"/>
              </w:rPr>
              <w:t>、</w:t>
            </w:r>
            <w:r>
              <w:rPr>
                <w:rFonts w:hint="default" w:ascii="Times New Roman" w:hAnsi="Times New Roman" w:eastAsia="宋体" w:cs="Times New Roman"/>
                <w:sz w:val="24"/>
                <w:szCs w:val="24"/>
                <w:lang w:val="zh-TW" w:eastAsia="zh-TW"/>
              </w:rPr>
              <w:t>货物费、运输费（含装卸费）、安装用材料费和措施费、安装调试费、安全文明措施费、人工费、交通费、保险费、培训费、利润、风险费用、知识产权费</w:t>
            </w:r>
            <w:r>
              <w:rPr>
                <w:rFonts w:hint="eastAsia" w:cs="Times New Roman"/>
                <w:sz w:val="24"/>
                <w:szCs w:val="24"/>
                <w:lang w:val="zh-TW" w:eastAsia="zh-CN"/>
              </w:rPr>
              <w:t>、轨道、布配、挂钩、第三方机构检验检测费及质保期内的售后服务费等全部配件等所有费用的包干价格、</w:t>
            </w:r>
            <w:r>
              <w:rPr>
                <w:rFonts w:hint="default" w:ascii="Times New Roman" w:hAnsi="Times New Roman" w:eastAsia="宋体" w:cs="Times New Roman"/>
                <w:sz w:val="24"/>
                <w:szCs w:val="24"/>
                <w:lang w:val="zh-TW" w:eastAsia="zh-TW"/>
              </w:rPr>
              <w:t>及各种应纳的税费等为达到本合同所确定的所有内容和要求而可能发生的一切费用，需方不再追加其他费用。因供方自身原因造成漏报、少报皆由其自行承担责任，需方不再补偿。同时应负责因安装造成的对房屋前工序损坏的修复工作(包括但不限于道路、梯间、外墙等)。因供方自身原因造成漏报、少报皆由其自行承担责任，需方不再补偿。供方已综合考虑本合同相关环节所产生的所有费用，已充分衡量和估计本合同履行中可能发生的潜在导致数量变动、价格变动的风险因素，本合同所有所需服务及所需相应设备、人员、耗材等已经包含在该价格中。</w:t>
            </w:r>
          </w:p>
          <w:p w14:paraId="408799D5">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2.本项目为据实结算。合同中的面积数仅为暂定面积，实际结算面积以需方收方确定的最终面积为准。</w:t>
            </w:r>
          </w:p>
          <w:p w14:paraId="4AF3D8FD">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3.收方面积测量标准：按照窗帘布料面积进行测算。</w:t>
            </w:r>
          </w:p>
          <w:p w14:paraId="6C6F9EAD">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eastAsia" w:cs="Times New Roman"/>
                <w:sz w:val="24"/>
                <w:szCs w:val="24"/>
                <w:lang w:val="en-US" w:eastAsia="zh-CN"/>
              </w:rPr>
              <w:t>4.</w:t>
            </w:r>
            <w:r>
              <w:rPr>
                <w:rFonts w:hint="default" w:ascii="Times New Roman" w:hAnsi="Times New Roman" w:eastAsia="宋体" w:cs="Times New Roman"/>
                <w:sz w:val="24"/>
                <w:szCs w:val="24"/>
                <w:lang w:val="zh-TW" w:eastAsia="zh-TW"/>
              </w:rPr>
              <w:t>最终结算总价不得超过项目预算金额</w:t>
            </w:r>
            <w:r>
              <w:rPr>
                <w:rFonts w:hint="eastAsia" w:ascii="Times New Roman" w:hAnsi="Times New Roman" w:eastAsia="宋体" w:cs="Times New Roman"/>
                <w:sz w:val="24"/>
                <w:szCs w:val="24"/>
                <w:lang w:val="en-US" w:eastAsia="zh-CN"/>
              </w:rPr>
              <w:t>47</w:t>
            </w:r>
            <w:r>
              <w:rPr>
                <w:rFonts w:hint="default" w:ascii="Times New Roman" w:hAnsi="Times New Roman" w:eastAsia="宋体" w:cs="Times New Roman"/>
                <w:sz w:val="24"/>
                <w:szCs w:val="24"/>
                <w:lang w:val="zh-TW" w:eastAsia="zh-TW"/>
              </w:rPr>
              <w:t>万元。</w:t>
            </w:r>
          </w:p>
        </w:tc>
      </w:tr>
      <w:tr w14:paraId="25092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2E412544">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bCs/>
                <w:sz w:val="24"/>
                <w:szCs w:val="24"/>
                <w:lang w:val="zh-TW" w:eastAsia="zh-TW"/>
              </w:rPr>
            </w:pPr>
            <w:r>
              <w:rPr>
                <w:rFonts w:hint="default" w:ascii="Times New Roman" w:hAnsi="Times New Roman" w:eastAsia="宋体" w:cs="Times New Roman"/>
                <w:b/>
                <w:bCs/>
                <w:sz w:val="24"/>
                <w:szCs w:val="24"/>
                <w:lang w:val="zh-TW" w:eastAsia="zh-TW"/>
              </w:rPr>
              <w:t>一、质量要求和技术标准</w:t>
            </w:r>
          </w:p>
          <w:p w14:paraId="523F14FD">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Times New Roman" w:hAnsi="Times New Roman" w:eastAsia="宋体" w:cs="Times New Roman"/>
                <w:sz w:val="24"/>
                <w:szCs w:val="24"/>
                <w:lang w:val="zh-TW" w:eastAsia="zh-CN"/>
              </w:rPr>
            </w:pPr>
            <w:r>
              <w:rPr>
                <w:rFonts w:hint="default" w:ascii="Times New Roman" w:hAnsi="Times New Roman" w:eastAsia="宋体" w:cs="Times New Roman"/>
                <w:sz w:val="24"/>
                <w:szCs w:val="24"/>
                <w:lang w:val="zh-TW" w:eastAsia="zh-TW"/>
              </w:rPr>
              <w:t>供方提供的商品必须是全新的，完全符合国家有关技术标准，供方的质量保证及售后服务内容如下</w:t>
            </w:r>
            <w:r>
              <w:rPr>
                <w:rFonts w:hint="eastAsia" w:ascii="Times New Roman" w:hAnsi="Times New Roman" w:eastAsia="宋体" w:cs="Times New Roman"/>
                <w:sz w:val="24"/>
                <w:szCs w:val="24"/>
                <w:lang w:val="zh-TW" w:eastAsia="zh-CN"/>
              </w:rPr>
              <w:t>：</w:t>
            </w:r>
          </w:p>
          <w:p w14:paraId="30B240B0">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(一)产品质量保证期</w:t>
            </w:r>
          </w:p>
          <w:p w14:paraId="630C2D77">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1.供方所提供的产品在质保期内、外均能享受原厂(指合同中软、硬件系统的生产厂家，或其负责销售、售后服务的机构，以下同)售后服务。不论原厂质保期限长短，供方对本项目所有产品提供5年的原厂免费质保期，免费质保期自项目验收合格之日起计算。免费质保期内维护和售后服务形成 的风险和费用由供方承担，若非人为因素造成产品损坏，由供方负责免费维修(含配件)或更换。</w:t>
            </w:r>
          </w:p>
          <w:p w14:paraId="1147F5E5">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2.产品属于国家规定“三包”范围的，其产品质量保证期不得低于“三包”规定。</w:t>
            </w:r>
          </w:p>
          <w:p w14:paraId="32BAB045">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3.供方的质量保证期承诺优于国家“三包”规定的，按供方实际承诺执行。</w:t>
            </w:r>
          </w:p>
          <w:p w14:paraId="351A8175">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（二）售后服务</w:t>
            </w:r>
          </w:p>
          <w:p w14:paraId="4F76E3F6">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zh-TW" w:eastAsia="zh-TW"/>
              </w:rPr>
              <w:t>1.供方和制造商(指合同中软、硬件系统的生产厂家，或其负责销售、售后</w:t>
            </w:r>
            <w:r>
              <w:rPr>
                <w:rFonts w:hint="default" w:ascii="Times New Roman" w:hAnsi="Times New Roman" w:eastAsia="宋体" w:cs="Times New Roman"/>
                <w:sz w:val="24"/>
                <w:szCs w:val="24"/>
              </w:rPr>
              <w:t>服务机构，以下同) 在质量保证期内应当为需方提供以下技术支持和服务：</w:t>
            </w:r>
          </w:p>
          <w:p w14:paraId="11BB6576">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（1）电话咨询</w:t>
            </w:r>
          </w:p>
          <w:p w14:paraId="41008441">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供方应当为需方提供技术援助电话，解答需方在使用中遇到的问题，及时为需方提出解决问题的建议。</w:t>
            </w:r>
          </w:p>
          <w:p w14:paraId="0CAE3F69">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（2）现场响应</w:t>
            </w:r>
          </w:p>
          <w:p w14:paraId="7C9CEA5E">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需方遇到使用及技术问题，电话咨询不能解决的，供方和制造商应在24小时内到达现场进行处理，确保产品正常工作；无法在24小时内解决的，应在48小时内提供备用产品，使需方能够正常使用。</w:t>
            </w:r>
          </w:p>
          <w:p w14:paraId="65268F88">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（3）技术升级</w:t>
            </w:r>
          </w:p>
          <w:p w14:paraId="7910B340">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在质保期内，如果供方的产品技术升级，供方应及时通知需方，如需方有相应要求，供方应对需方购买的产品进行升级服务。</w:t>
            </w:r>
          </w:p>
          <w:p w14:paraId="65FEE0BB">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2.质保期外服务要求</w:t>
            </w:r>
          </w:p>
          <w:p w14:paraId="64100A47">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（1）质量保证期过后，供方应同样提供免费电话咨询服务，并应承诺提供产品上门维护服务。</w:t>
            </w:r>
          </w:p>
          <w:p w14:paraId="02C72AF9">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（2）质量保证期过后，需方需要继续由供方提供售后服务的，供方应以优惠价格提供售后服务。</w:t>
            </w:r>
          </w:p>
          <w:p w14:paraId="5845BEC1">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（三）供方提供完善的培训体系和售后服务体系，并提供详细的培训方案和售后服务内容经供方培训后，需方需求部门能熟练掌握各系统的操作并用于教学、科研。</w:t>
            </w:r>
          </w:p>
          <w:p w14:paraId="460B8EB4">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（四）备品备件及易损件</w:t>
            </w:r>
          </w:p>
          <w:p w14:paraId="2042185D">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rPr>
              <w:t>供方售后服务中，维修使用的备品备件及易损件应为原厂配件，未经需方同意不得使用非原厂配件。</w:t>
            </w:r>
          </w:p>
        </w:tc>
      </w:tr>
      <w:tr w14:paraId="1B4C9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03446129">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bCs/>
                <w:sz w:val="24"/>
                <w:szCs w:val="24"/>
                <w:lang w:val="zh-TW" w:eastAsia="zh-TW"/>
              </w:rPr>
            </w:pPr>
            <w:r>
              <w:rPr>
                <w:rFonts w:hint="default" w:ascii="Times New Roman" w:hAnsi="Times New Roman" w:eastAsia="宋体" w:cs="Times New Roman"/>
                <w:b/>
                <w:bCs/>
                <w:sz w:val="24"/>
                <w:szCs w:val="24"/>
                <w:lang w:val="zh-TW" w:eastAsia="zh-TW"/>
              </w:rPr>
              <w:t>二、随机备品、附件、工具数量及供应方法</w:t>
            </w:r>
          </w:p>
          <w:p w14:paraId="724F178C">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以厂家规定的产品包装和随机标准附件为准。</w:t>
            </w:r>
          </w:p>
        </w:tc>
      </w:tr>
      <w:tr w14:paraId="2828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3BF0E502">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bCs/>
                <w:sz w:val="24"/>
                <w:szCs w:val="24"/>
                <w:lang w:val="zh-TW" w:eastAsia="zh-TW"/>
              </w:rPr>
            </w:pPr>
            <w:r>
              <w:rPr>
                <w:rFonts w:hint="default" w:ascii="Times New Roman" w:hAnsi="Times New Roman" w:eastAsia="宋体" w:cs="Times New Roman"/>
                <w:b/>
                <w:bCs/>
                <w:sz w:val="24"/>
                <w:szCs w:val="24"/>
                <w:lang w:val="zh-TW" w:eastAsia="zh-TW"/>
              </w:rPr>
              <w:t>三、交提货方式、</w:t>
            </w:r>
            <w:r>
              <w:rPr>
                <w:rFonts w:hint="default" w:ascii="Times New Roman" w:hAnsi="Times New Roman" w:eastAsia="宋体" w:cs="Times New Roman"/>
                <w:b/>
                <w:bCs/>
                <w:sz w:val="24"/>
                <w:szCs w:val="24"/>
                <w:lang w:val="zh-TW"/>
              </w:rPr>
              <w:t>时间、地点</w:t>
            </w:r>
          </w:p>
          <w:p w14:paraId="5227A82B">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rPr>
            </w:pPr>
            <w:r>
              <w:rPr>
                <w:rFonts w:hint="default" w:ascii="Times New Roman" w:hAnsi="Times New Roman" w:eastAsia="宋体" w:cs="Times New Roman"/>
                <w:sz w:val="24"/>
                <w:szCs w:val="24"/>
                <w:lang w:val="zh-TW"/>
              </w:rPr>
              <w:t>1.交货方式：供方送货至需方指定地点并完成安装调试，运输费用由供方负责。</w:t>
            </w:r>
          </w:p>
          <w:p w14:paraId="2C257BAB">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rPr>
            </w:pPr>
            <w:r>
              <w:rPr>
                <w:rFonts w:hint="default" w:ascii="Times New Roman" w:hAnsi="Times New Roman" w:eastAsia="宋体" w:cs="Times New Roman"/>
                <w:sz w:val="24"/>
                <w:szCs w:val="24"/>
                <w:lang w:val="zh-TW"/>
              </w:rPr>
              <w:t>2.交货时间：</w:t>
            </w:r>
            <w:r>
              <w:rPr>
                <w:rFonts w:hint="eastAsia" w:cs="Times New Roman"/>
                <w:sz w:val="24"/>
                <w:szCs w:val="24"/>
                <w:lang w:val="en-US" w:eastAsia="zh-CN"/>
              </w:rPr>
              <w:t>结果公示且无异议</w:t>
            </w:r>
            <w:r>
              <w:rPr>
                <w:rFonts w:hint="default" w:ascii="Times New Roman" w:hAnsi="Times New Roman" w:eastAsia="宋体" w:cs="Times New Roman"/>
                <w:sz w:val="24"/>
                <w:szCs w:val="24"/>
                <w:lang w:val="zh-TW"/>
              </w:rPr>
              <w:t>后</w:t>
            </w:r>
            <w:r>
              <w:rPr>
                <w:rFonts w:hint="eastAsia" w:cs="Times New Roman"/>
                <w:sz w:val="24"/>
                <w:szCs w:val="24"/>
                <w:lang w:val="en-US" w:eastAsia="zh-CN"/>
              </w:rPr>
              <w:t>50</w:t>
            </w:r>
            <w:r>
              <w:rPr>
                <w:rFonts w:hint="default" w:ascii="Times New Roman" w:hAnsi="Times New Roman" w:eastAsia="宋体" w:cs="Times New Roman"/>
                <w:sz w:val="24"/>
                <w:szCs w:val="24"/>
                <w:lang w:val="zh-TW"/>
              </w:rPr>
              <w:t>天内完成安装并交付需方。</w:t>
            </w:r>
          </w:p>
          <w:p w14:paraId="33024DC1">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lang w:val="zh-TW" w:eastAsia="zh-TW"/>
              </w:rPr>
              <w:t>交货地点：重庆工商大学茶园校区需方指定地点。</w:t>
            </w:r>
          </w:p>
        </w:tc>
      </w:tr>
      <w:tr w14:paraId="31C63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7BD4DD49">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bCs/>
                <w:sz w:val="24"/>
                <w:szCs w:val="24"/>
                <w:lang w:val="zh-TW" w:eastAsia="zh-TW"/>
              </w:rPr>
            </w:pPr>
            <w:r>
              <w:rPr>
                <w:rFonts w:hint="default" w:ascii="Times New Roman" w:hAnsi="Times New Roman" w:eastAsia="宋体" w:cs="Times New Roman"/>
                <w:b/>
                <w:bCs/>
                <w:sz w:val="24"/>
                <w:szCs w:val="24"/>
                <w:lang w:val="zh-TW" w:eastAsia="zh-TW"/>
              </w:rPr>
              <w:t>四、验收标准、方法</w:t>
            </w:r>
          </w:p>
          <w:p w14:paraId="44160274">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1.批量生产安装前，供方须先现场复核窗帘的数量、尺寸、安装条件，和需方确定窗帘颜色、款式及安装方案等。需方可对部分产品的样式、颜色进行调整，产品中标综合单价不变。窗帘的颜色、 款式、安装方案、样品等实施细节经双方确认后，需方书面确认并通知供方进行产品制作，方可批量  生产安装。</w:t>
            </w:r>
          </w:p>
          <w:p w14:paraId="20EB33F0">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2.到货验收。货物到达现场后，需方需求部门应做好到货验收，严格按照合同</w:t>
            </w:r>
            <w:r>
              <w:rPr>
                <w:rFonts w:hint="eastAsia" w:cs="Times New Roman"/>
                <w:sz w:val="24"/>
                <w:szCs w:val="24"/>
                <w:lang w:val="en-US" w:eastAsia="zh-CN"/>
              </w:rPr>
              <w:t>以及竞价文件</w:t>
            </w:r>
            <w:r>
              <w:rPr>
                <w:rFonts w:hint="default" w:ascii="Times New Roman" w:hAnsi="Times New Roman" w:eastAsia="宋体" w:cs="Times New Roman"/>
                <w:sz w:val="24"/>
                <w:szCs w:val="24"/>
                <w:lang w:val="zh-TW" w:eastAsia="zh-TW"/>
              </w:rPr>
              <w:t>的产品清单核实查验到货产品的品牌、型号及规格参数，按国家有关规定以及</w:t>
            </w:r>
            <w:r>
              <w:rPr>
                <w:rFonts w:hint="eastAsia" w:cs="Times New Roman"/>
                <w:sz w:val="24"/>
                <w:szCs w:val="24"/>
                <w:lang w:val="en-US" w:eastAsia="zh-CN"/>
              </w:rPr>
              <w:t>竞价文件</w:t>
            </w:r>
            <w:r>
              <w:rPr>
                <w:rFonts w:hint="default" w:ascii="Times New Roman" w:hAnsi="Times New Roman" w:eastAsia="宋体" w:cs="Times New Roman"/>
                <w:sz w:val="24"/>
                <w:szCs w:val="24"/>
                <w:lang w:val="zh-TW" w:eastAsia="zh-TW"/>
              </w:rPr>
              <w:t>的质量要求和各项指标、供方的</w:t>
            </w:r>
            <w:r>
              <w:rPr>
                <w:rFonts w:hint="eastAsia" w:cs="Times New Roman"/>
                <w:sz w:val="24"/>
                <w:szCs w:val="24"/>
                <w:lang w:val="en-US" w:eastAsia="zh-CN"/>
              </w:rPr>
              <w:t>竞标</w:t>
            </w:r>
            <w:r>
              <w:rPr>
                <w:rFonts w:hint="default" w:ascii="Times New Roman" w:hAnsi="Times New Roman" w:eastAsia="宋体" w:cs="Times New Roman"/>
                <w:sz w:val="24"/>
                <w:szCs w:val="24"/>
                <w:lang w:val="zh-TW" w:eastAsia="zh-TW"/>
              </w:rPr>
              <w:t>文件及承诺和合同约定标准进行验收。供方应在需方需求部门在场情况下当面开箱，共同清点、检查外观，作出开箱记录，双方签字确认。若到货产品品牌、型号及规格参数等与合同及招标文件的规定不符的，供方不得进行设备安装，需方需求部门应及时告知需方归口管理部门与采购管理部门。供方应保证货物到达需方所在地完好无损，如有缺漏、损坏，由供方负责调换、补齐或赔偿。</w:t>
            </w:r>
          </w:p>
          <w:p w14:paraId="7AF6FFD0">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4.产品在安装调试并经过环保检测符合要求后，才能进行最终验收。货物安装调试完毕，产品经需方需求部门同意验收后</w:t>
            </w:r>
            <w:r>
              <w:rPr>
                <w:rFonts w:hint="default" w:ascii="Times New Roman" w:hAnsi="Times New Roman" w:eastAsia="宋体" w:cs="Times New Roman"/>
                <w:b/>
                <w:bCs/>
                <w:sz w:val="24"/>
                <w:szCs w:val="24"/>
                <w:lang w:val="zh-TW" w:eastAsia="zh-TW"/>
              </w:rPr>
              <w:t>，由需方资产管理处牵头，组织需方需求部门对遮光窗帘(产品含配件)随机抽取1副送至质量检验检测机构(或部门)(检验检测费用由供方承担)，检测检验范围包含产品技术要求中“窗帘材质清单”中相对应的</w:t>
            </w:r>
            <w:r>
              <w:rPr>
                <w:rFonts w:hint="eastAsia" w:cs="Times New Roman"/>
                <w:b/>
                <w:bCs/>
                <w:sz w:val="24"/>
                <w:szCs w:val="24"/>
                <w:lang w:val="zh-TW" w:eastAsia="zh-CN"/>
              </w:rPr>
              <w:t>“</w:t>
            </w:r>
            <w:r>
              <w:rPr>
                <w:rFonts w:hint="eastAsia" w:cs="Times New Roman"/>
                <w:b/>
                <w:bCs/>
                <w:sz w:val="24"/>
                <w:szCs w:val="24"/>
                <w:lang w:val="en-US" w:eastAsia="zh-CN"/>
              </w:rPr>
              <w:t>遮光窗帘</w:t>
            </w:r>
            <w:r>
              <w:rPr>
                <w:rFonts w:hint="eastAsia" w:cs="Times New Roman"/>
                <w:b/>
                <w:bCs/>
                <w:sz w:val="24"/>
                <w:szCs w:val="24"/>
                <w:lang w:val="zh-TW" w:eastAsia="zh-CN"/>
              </w:rPr>
              <w:t>”</w:t>
            </w:r>
            <w:r>
              <w:rPr>
                <w:rFonts w:hint="eastAsia" w:cs="Times New Roman"/>
                <w:b/>
                <w:bCs/>
                <w:sz w:val="24"/>
                <w:szCs w:val="24"/>
                <w:lang w:val="en-US" w:eastAsia="zh-CN"/>
              </w:rPr>
              <w:t>中序号：</w:t>
            </w:r>
            <w:r>
              <w:rPr>
                <w:rFonts w:hint="default" w:ascii="Times New Roman" w:hAnsi="Times New Roman" w:eastAsia="宋体" w:cs="Times New Roman"/>
                <w:b/>
                <w:bCs/>
                <w:sz w:val="24"/>
                <w:szCs w:val="24"/>
                <w:lang w:val="zh-TW" w:eastAsia="zh-TW"/>
              </w:rPr>
              <w:t>“</w:t>
            </w:r>
            <w:r>
              <w:rPr>
                <w:rFonts w:hint="eastAsia" w:cs="Times New Roman"/>
                <w:b/>
                <w:bCs/>
                <w:sz w:val="24"/>
                <w:szCs w:val="24"/>
                <w:lang w:val="en-US" w:eastAsia="zh-CN"/>
              </w:rPr>
              <w:t>1.1、1.2、1.4、1.6</w:t>
            </w:r>
            <w:r>
              <w:rPr>
                <w:rFonts w:hint="default" w:ascii="Times New Roman" w:hAnsi="Times New Roman" w:eastAsia="宋体" w:cs="Times New Roman"/>
                <w:b/>
                <w:bCs/>
                <w:sz w:val="24"/>
                <w:szCs w:val="24"/>
                <w:lang w:val="zh-TW" w:eastAsia="zh-TW"/>
              </w:rPr>
              <w:t>”</w:t>
            </w:r>
            <w:r>
              <w:rPr>
                <w:rFonts w:hint="eastAsia" w:cs="Times New Roman"/>
                <w:b/>
                <w:bCs/>
                <w:sz w:val="24"/>
                <w:szCs w:val="24"/>
                <w:lang w:val="en-US" w:eastAsia="zh-CN"/>
              </w:rPr>
              <w:t>和“窗帘布带”中序号“6”和“窗帘轨道”中序号“1、3”</w:t>
            </w:r>
            <w:r>
              <w:rPr>
                <w:rFonts w:hint="default" w:ascii="Times New Roman" w:hAnsi="Times New Roman" w:eastAsia="宋体" w:cs="Times New Roman"/>
                <w:b/>
                <w:bCs/>
                <w:sz w:val="24"/>
                <w:szCs w:val="24"/>
                <w:lang w:val="zh-TW" w:eastAsia="zh-TW"/>
              </w:rPr>
              <w:t>技术参数，检验检测结果应满足合同约定的技术参数要求。</w:t>
            </w:r>
            <w:r>
              <w:rPr>
                <w:rFonts w:hint="default" w:ascii="Times New Roman" w:hAnsi="Times New Roman" w:eastAsia="宋体" w:cs="Times New Roman"/>
                <w:sz w:val="24"/>
                <w:szCs w:val="24"/>
                <w:lang w:val="zh-TW" w:eastAsia="zh-TW"/>
              </w:rPr>
              <w:t>若检验检测不合格需方将拒收货物，且供方承担因货物不合格对需方造成的一切损失。因抽检破损的产品由供方补齐并承担相应费用。</w:t>
            </w:r>
          </w:p>
          <w:p w14:paraId="19F9DF03">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5.最终验收。供方以书面形式向需方资产处管理处提交正式验收申请，并同时提供设备验收报告 及相关资料等，才能进入验收程序，项目整体功能和技术参数指标须满足</w:t>
            </w:r>
            <w:r>
              <w:rPr>
                <w:rFonts w:hint="eastAsia" w:cs="Times New Roman"/>
                <w:sz w:val="24"/>
                <w:szCs w:val="24"/>
                <w:lang w:val="en-US" w:eastAsia="zh-CN"/>
              </w:rPr>
              <w:t>竞价</w:t>
            </w:r>
            <w:r>
              <w:rPr>
                <w:rFonts w:hint="default" w:ascii="Times New Roman" w:hAnsi="Times New Roman" w:eastAsia="宋体" w:cs="Times New Roman"/>
                <w:sz w:val="24"/>
                <w:szCs w:val="24"/>
                <w:lang w:val="zh-TW" w:eastAsia="zh-TW"/>
              </w:rPr>
              <w:t>文件、供方的</w:t>
            </w:r>
            <w:r>
              <w:rPr>
                <w:rFonts w:hint="eastAsia" w:cs="Times New Roman"/>
                <w:sz w:val="24"/>
                <w:szCs w:val="24"/>
                <w:lang w:val="en-US" w:eastAsia="zh-CN"/>
              </w:rPr>
              <w:t>竞标</w:t>
            </w:r>
            <w:r>
              <w:rPr>
                <w:rFonts w:hint="default" w:ascii="Times New Roman" w:hAnsi="Times New Roman" w:eastAsia="宋体" w:cs="Times New Roman"/>
                <w:sz w:val="24"/>
                <w:szCs w:val="24"/>
                <w:lang w:val="zh-TW" w:eastAsia="zh-TW"/>
              </w:rPr>
              <w:t>文件及承诺和采购合同的要求。验收合格条件如下：</w:t>
            </w:r>
          </w:p>
          <w:p w14:paraId="39DE42A8">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5.1产品品种、规格、数量、技术参数以及商品品牌、生产厂家等与采购合同一致，性能指标达 到招标文件规定的标准。</w:t>
            </w:r>
          </w:p>
          <w:p w14:paraId="0C19A1AF">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5.2货物技术资料、装箱单、合格证等资料齐全。</w:t>
            </w:r>
          </w:p>
          <w:p w14:paraId="23F2DF94">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5.3在系统试运行期间所出现的问题得到解决，并运行正常。</w:t>
            </w:r>
          </w:p>
          <w:p w14:paraId="21AD4C94">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5.4在规定时间内完成交货并验收，并经需方确认。</w:t>
            </w:r>
          </w:p>
          <w:p w14:paraId="06D3C88B">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6.供方提供的货物未达到招标文件规定要求，且对需方造成损失的，由供方承担一切责任，并赔 偿所造成的损失。</w:t>
            </w:r>
          </w:p>
          <w:p w14:paraId="57FD3AA8">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7.大型或者复杂的政府采购项目，需方应当邀请国家认可的质量检测机构参加验收工作。</w:t>
            </w:r>
          </w:p>
          <w:p w14:paraId="1E78115D">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8.需方需要制造商对供方交付的产品(包括质量、技术参数等)进行确认的，制造商应予以配合，并出具书面意见。</w:t>
            </w:r>
          </w:p>
          <w:p w14:paraId="61B4D97D">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9.供方须向需方提供所投产品的中文操作手册、中文维修手册，包括但不限于详细的维修技术资料等。</w:t>
            </w:r>
          </w:p>
          <w:p w14:paraId="5CC936CC">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10.项目完工后由供方负责清洁现场。</w:t>
            </w:r>
          </w:p>
          <w:p w14:paraId="2F17BABD">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eastAsia" w:cs="Times New Roman"/>
                <w:b w:val="0"/>
                <w:bCs w:val="0"/>
                <w:sz w:val="24"/>
                <w:szCs w:val="24"/>
                <w:lang w:val="en-US" w:eastAsia="zh-CN"/>
              </w:rPr>
              <w:t>11.</w:t>
            </w:r>
            <w:r>
              <w:rPr>
                <w:rFonts w:hint="default" w:ascii="Times New Roman" w:hAnsi="Times New Roman" w:eastAsia="宋体" w:cs="Times New Roman"/>
                <w:b w:val="0"/>
                <w:bCs w:val="0"/>
                <w:sz w:val="24"/>
                <w:szCs w:val="24"/>
                <w:lang w:val="zh-TW" w:eastAsia="zh-TW"/>
              </w:rPr>
              <w:t>资产入</w:t>
            </w:r>
            <w:r>
              <w:rPr>
                <w:rFonts w:hint="default" w:ascii="Times New Roman" w:hAnsi="Times New Roman" w:eastAsia="宋体" w:cs="Times New Roman"/>
                <w:sz w:val="24"/>
                <w:szCs w:val="24"/>
                <w:lang w:val="zh-TW" w:eastAsia="zh-TW"/>
              </w:rPr>
              <w:t>库咨询电话：023-62769051。</w:t>
            </w:r>
          </w:p>
        </w:tc>
      </w:tr>
      <w:tr w14:paraId="6ED49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2AFD1205">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val="en-US" w:eastAsia="zh-CN"/>
              </w:rPr>
              <w:t>五、</w:t>
            </w:r>
            <w:r>
              <w:rPr>
                <w:rFonts w:hint="default" w:ascii="Times New Roman" w:hAnsi="Times New Roman" w:eastAsia="宋体" w:cs="Times New Roman"/>
                <w:b/>
                <w:bCs/>
                <w:sz w:val="24"/>
                <w:szCs w:val="24"/>
              </w:rPr>
              <w:t>履约保证金</w:t>
            </w:r>
          </w:p>
          <w:p w14:paraId="5272072A">
            <w:pPr>
              <w:keepNext w:val="0"/>
              <w:keepLines w:val="0"/>
              <w:pageBreakBefore w:val="0"/>
              <w:widowControl w:val="0"/>
              <w:numPr>
                <w:ilvl w:val="0"/>
                <w:numId w:val="1"/>
              </w:numPr>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供方</w:t>
            </w:r>
            <w:r>
              <w:rPr>
                <w:rFonts w:hint="default" w:ascii="Times New Roman" w:hAnsi="Times New Roman" w:eastAsia="宋体" w:cs="Times New Roman"/>
                <w:sz w:val="24"/>
                <w:szCs w:val="24"/>
              </w:rPr>
              <w:t>须在</w:t>
            </w:r>
            <w:r>
              <w:rPr>
                <w:rFonts w:hint="eastAsia" w:cs="Times New Roman"/>
                <w:sz w:val="24"/>
                <w:szCs w:val="24"/>
                <w:lang w:val="en-US" w:eastAsia="zh-CN"/>
              </w:rPr>
              <w:t>合同签订前</w:t>
            </w:r>
            <w:r>
              <w:rPr>
                <w:rFonts w:hint="default" w:ascii="Times New Roman" w:hAnsi="Times New Roman" w:eastAsia="宋体" w:cs="Times New Roman"/>
                <w:sz w:val="24"/>
                <w:szCs w:val="24"/>
              </w:rPr>
              <w:t>向</w:t>
            </w:r>
            <w:r>
              <w:rPr>
                <w:rFonts w:hint="default" w:ascii="Times New Roman" w:hAnsi="Times New Roman" w:eastAsia="宋体" w:cs="Times New Roman"/>
                <w:sz w:val="24"/>
                <w:szCs w:val="24"/>
                <w:lang w:eastAsia="zh-CN"/>
              </w:rPr>
              <w:t>需方</w:t>
            </w:r>
            <w:r>
              <w:rPr>
                <w:rFonts w:hint="default" w:ascii="Times New Roman" w:hAnsi="Times New Roman" w:eastAsia="宋体" w:cs="Times New Roman"/>
                <w:sz w:val="24"/>
                <w:szCs w:val="24"/>
              </w:rPr>
              <w:t>开户银行汇入合同金额5%的履约保证金</w:t>
            </w:r>
            <w:r>
              <w:rPr>
                <w:rFonts w:hint="default" w:ascii="Times New Roman" w:hAnsi="Times New Roman" w:eastAsia="宋体" w:cs="Times New Roman"/>
                <w:sz w:val="24"/>
                <w:szCs w:val="24"/>
                <w:highlight w:val="yellow"/>
                <w:lang w:eastAsia="zh-CN"/>
              </w:rPr>
              <w:t>（？</w:t>
            </w:r>
            <w:r>
              <w:rPr>
                <w:rFonts w:hint="default" w:ascii="Times New Roman" w:hAnsi="Times New Roman" w:eastAsia="宋体" w:cs="Times New Roman"/>
                <w:sz w:val="24"/>
                <w:szCs w:val="24"/>
                <w:highlight w:val="yellow"/>
                <w:lang w:val="en-US" w:eastAsia="zh-CN"/>
              </w:rPr>
              <w:t>元</w:t>
            </w:r>
            <w:r>
              <w:rPr>
                <w:rFonts w:hint="default" w:ascii="Times New Roman" w:hAnsi="Times New Roman" w:eastAsia="宋体" w:cs="Times New Roman"/>
                <w:sz w:val="24"/>
                <w:szCs w:val="24"/>
                <w:highlight w:val="yellow"/>
                <w:lang w:eastAsia="zh-CN"/>
              </w:rPr>
              <w:t>）</w:t>
            </w:r>
            <w:r>
              <w:rPr>
                <w:rFonts w:hint="default" w:ascii="Times New Roman" w:hAnsi="Times New Roman" w:eastAsia="宋体" w:cs="Times New Roman"/>
                <w:sz w:val="24"/>
                <w:szCs w:val="24"/>
              </w:rPr>
              <w:t>，确保项目按期、按质进行。</w:t>
            </w:r>
            <w:r>
              <w:rPr>
                <w:rFonts w:hint="default" w:ascii="Times New Roman" w:hAnsi="Times New Roman" w:eastAsia="宋体" w:cs="Times New Roman"/>
                <w:sz w:val="24"/>
                <w:szCs w:val="24"/>
                <w:lang w:eastAsia="zh-CN"/>
              </w:rPr>
              <w:t>供方</w:t>
            </w:r>
            <w:r>
              <w:rPr>
                <w:rFonts w:hint="default" w:ascii="Times New Roman" w:hAnsi="Times New Roman" w:eastAsia="宋体" w:cs="Times New Roman"/>
                <w:sz w:val="24"/>
                <w:szCs w:val="24"/>
              </w:rPr>
              <w:t>若发生部分违约现象，</w:t>
            </w:r>
            <w:r>
              <w:rPr>
                <w:rFonts w:hint="default" w:ascii="Times New Roman" w:hAnsi="Times New Roman" w:eastAsia="宋体" w:cs="Times New Roman"/>
                <w:sz w:val="24"/>
                <w:szCs w:val="24"/>
                <w:lang w:eastAsia="zh-CN"/>
              </w:rPr>
              <w:t>需方</w:t>
            </w:r>
            <w:r>
              <w:rPr>
                <w:rFonts w:hint="default" w:ascii="Times New Roman" w:hAnsi="Times New Roman" w:eastAsia="宋体" w:cs="Times New Roman"/>
                <w:sz w:val="24"/>
                <w:szCs w:val="24"/>
              </w:rPr>
              <w:t>从履约保证金中扣除相应金额的违约金；若发现严重违约现象，</w:t>
            </w:r>
            <w:r>
              <w:rPr>
                <w:rFonts w:hint="default" w:ascii="Times New Roman" w:hAnsi="Times New Roman" w:eastAsia="宋体" w:cs="Times New Roman"/>
                <w:sz w:val="24"/>
                <w:szCs w:val="24"/>
                <w:lang w:eastAsia="zh-CN"/>
              </w:rPr>
              <w:t>需方</w:t>
            </w:r>
            <w:r>
              <w:rPr>
                <w:rFonts w:hint="default" w:ascii="Times New Roman" w:hAnsi="Times New Roman" w:eastAsia="宋体" w:cs="Times New Roman"/>
                <w:sz w:val="24"/>
                <w:szCs w:val="24"/>
              </w:rPr>
              <w:t>有充分理由没收其全额保证金。</w:t>
            </w:r>
          </w:p>
          <w:p w14:paraId="354DD4CF">
            <w:pPr>
              <w:keepNext w:val="0"/>
              <w:keepLines w:val="0"/>
              <w:pageBreakBefore w:val="0"/>
              <w:widowControl w:val="0"/>
              <w:numPr>
                <w:ilvl w:val="0"/>
                <w:numId w:val="1"/>
              </w:numPr>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履约保证金缴纳方式：以转账、电汇等方式到重庆工商大学指定的银行基本账户，不得以现金或其他方式划入任何个人账户，否则由此产生的所有损失由</w:t>
            </w:r>
            <w:r>
              <w:rPr>
                <w:rFonts w:hint="default" w:ascii="Times New Roman" w:hAnsi="Times New Roman" w:eastAsia="宋体" w:cs="Times New Roman"/>
                <w:sz w:val="24"/>
                <w:szCs w:val="24"/>
                <w:lang w:eastAsia="zh-CN"/>
              </w:rPr>
              <w:t>供方</w:t>
            </w:r>
            <w:r>
              <w:rPr>
                <w:rFonts w:hint="default" w:ascii="Times New Roman" w:hAnsi="Times New Roman" w:eastAsia="宋体" w:cs="Times New Roman"/>
                <w:sz w:val="24"/>
                <w:szCs w:val="24"/>
              </w:rPr>
              <w:t>自行承担。</w:t>
            </w:r>
            <w:r>
              <w:rPr>
                <w:rFonts w:hint="default" w:ascii="Times New Roman" w:hAnsi="Times New Roman" w:eastAsia="宋体" w:cs="Times New Roman"/>
                <w:sz w:val="24"/>
                <w:szCs w:val="24"/>
                <w:lang w:eastAsia="zh-CN"/>
              </w:rPr>
              <w:t>供方</w:t>
            </w:r>
            <w:r>
              <w:rPr>
                <w:rFonts w:hint="default" w:ascii="Times New Roman" w:hAnsi="Times New Roman" w:eastAsia="宋体" w:cs="Times New Roman"/>
                <w:sz w:val="24"/>
                <w:szCs w:val="24"/>
              </w:rPr>
              <w:t>务必在汇款凭证上注明项目编号</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202</w:t>
            </w:r>
            <w:r>
              <w:rPr>
                <w:rFonts w:hint="eastAsia" w:cs="Times New Roman"/>
                <w:sz w:val="24"/>
                <w:szCs w:val="24"/>
                <w:lang w:val="en-US" w:eastAsia="zh-CN"/>
              </w:rPr>
              <w:t>6002</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 xml:space="preserve">。 </w:t>
            </w:r>
          </w:p>
          <w:p w14:paraId="7CBB5BA6">
            <w:pPr>
              <w:keepNext w:val="0"/>
              <w:keepLines w:val="0"/>
              <w:pageBreakBefore w:val="0"/>
              <w:widowControl w:val="0"/>
              <w:numPr>
                <w:ilvl w:val="0"/>
                <w:numId w:val="1"/>
              </w:numPr>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履约保证金指定收取账户</w:t>
            </w:r>
          </w:p>
          <w:p w14:paraId="144127B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户名：重庆工商大学 </w:t>
            </w:r>
          </w:p>
          <w:p w14:paraId="42AC63C2">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开户行：工行重庆南岸学府支行 </w:t>
            </w:r>
          </w:p>
          <w:p w14:paraId="273502AA">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账 号：9558853100753300031 </w:t>
            </w:r>
          </w:p>
          <w:p w14:paraId="7D055DFF">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统一社会信用代码：125000007428748822 </w:t>
            </w:r>
          </w:p>
          <w:p w14:paraId="02A4C46C">
            <w:pPr>
              <w:keepNext w:val="0"/>
              <w:keepLines w:val="0"/>
              <w:pageBreakBefore w:val="0"/>
              <w:widowControl w:val="0"/>
              <w:numPr>
                <w:ilvl w:val="0"/>
                <w:numId w:val="1"/>
              </w:numPr>
              <w:kinsoku/>
              <w:wordWrap/>
              <w:overflowPunct/>
              <w:topLinePunct w:val="0"/>
              <w:autoSpaceDE/>
              <w:autoSpaceDN/>
              <w:bidi w:val="0"/>
              <w:adjustRightInd/>
              <w:snapToGrid/>
              <w:spacing w:line="40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履约保证金退还方式 </w:t>
            </w:r>
          </w:p>
          <w:p w14:paraId="104803AD">
            <w:pPr>
              <w:keepNext w:val="0"/>
              <w:keepLines w:val="0"/>
              <w:pageBreakBefore w:val="0"/>
              <w:kinsoku/>
              <w:wordWrap/>
              <w:overflowPunct/>
              <w:topLinePunct w:val="0"/>
              <w:autoSpaceDE/>
              <w:autoSpaceDN/>
              <w:bidi w:val="0"/>
              <w:adjustRightInd/>
              <w:snapToGrid/>
              <w:spacing w:line="440" w:lineRule="exact"/>
              <w:ind w:firstLine="240" w:firstLineChars="100"/>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rPr>
              <w:t>质保期满且无遗留问题的前提下，退还全额履约保证金（不计利息）。</w:t>
            </w:r>
            <w:r>
              <w:rPr>
                <w:rFonts w:hint="default" w:ascii="Times New Roman" w:hAnsi="Times New Roman" w:eastAsia="宋体" w:cs="Times New Roman"/>
                <w:sz w:val="24"/>
                <w:szCs w:val="24"/>
                <w:lang w:eastAsia="zh-CN"/>
              </w:rPr>
              <w:t>供方</w:t>
            </w:r>
            <w:r>
              <w:rPr>
                <w:rFonts w:hint="default" w:ascii="Times New Roman" w:hAnsi="Times New Roman" w:eastAsia="宋体" w:cs="Times New Roman"/>
                <w:sz w:val="24"/>
                <w:szCs w:val="24"/>
              </w:rPr>
              <w:t>申请退履约保证金时提供</w:t>
            </w:r>
            <w:r>
              <w:rPr>
                <w:rFonts w:hint="eastAsia" w:cs="Times New Roman"/>
                <w:sz w:val="24"/>
                <w:szCs w:val="24"/>
                <w:lang w:val="en-US" w:eastAsia="zh-CN"/>
              </w:rPr>
              <w:t>需求</w:t>
            </w:r>
            <w:r>
              <w:rPr>
                <w:rFonts w:hint="default" w:ascii="Times New Roman" w:hAnsi="Times New Roman" w:eastAsia="宋体" w:cs="Times New Roman"/>
                <w:sz w:val="24"/>
                <w:szCs w:val="24"/>
              </w:rPr>
              <w:t>部门、资产管理部门签署的《重庆工商大学货物及服务项目质量评估报告及履约保证金退还审核流程表》。</w:t>
            </w:r>
          </w:p>
        </w:tc>
      </w:tr>
      <w:tr w14:paraId="4CE37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7772F5F2">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en-US" w:eastAsia="zh-CN"/>
              </w:rPr>
              <w:t>六</w:t>
            </w:r>
            <w:r>
              <w:rPr>
                <w:rFonts w:hint="default" w:ascii="Times New Roman" w:hAnsi="Times New Roman" w:eastAsia="宋体" w:cs="Times New Roman"/>
                <w:sz w:val="24"/>
                <w:szCs w:val="24"/>
                <w:lang w:val="zh-TW" w:eastAsia="zh-TW"/>
              </w:rPr>
              <w:t>、付款方式</w:t>
            </w:r>
          </w:p>
          <w:p w14:paraId="3722D3E0">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zh-TW" w:eastAsia="zh-TW"/>
              </w:rPr>
              <w:t>1.</w:t>
            </w:r>
            <w:r>
              <w:rPr>
                <w:rFonts w:hint="default" w:ascii="Times New Roman" w:hAnsi="Times New Roman" w:eastAsia="宋体" w:cs="Times New Roman"/>
                <w:sz w:val="24"/>
                <w:szCs w:val="24"/>
                <w:lang w:val="en-US" w:eastAsia="zh-CN"/>
              </w:rPr>
              <w:t>本项目据实结算，</w:t>
            </w:r>
            <w:r>
              <w:rPr>
                <w:rFonts w:hint="default" w:ascii="Times New Roman" w:hAnsi="Times New Roman" w:eastAsia="宋体" w:cs="Times New Roman"/>
                <w:sz w:val="24"/>
                <w:szCs w:val="24"/>
              </w:rPr>
              <w:t>合同款项支付前，供方按采购合同完成交货并安装调试完成，经需方最终验收合格后出具项目验收合格的报告。实际结算金额=单价×需方确定的最终面积。</w:t>
            </w:r>
            <w:r>
              <w:rPr>
                <w:rFonts w:hint="eastAsia" w:ascii="Times New Roman" w:hAnsi="Times New Roman" w:eastAsia="宋体" w:cs="Times New Roman"/>
                <w:sz w:val="24"/>
                <w:szCs w:val="24"/>
                <w:lang w:val="en-US" w:eastAsia="zh-CN"/>
              </w:rPr>
              <w:t>需方</w:t>
            </w:r>
            <w:r>
              <w:rPr>
                <w:rFonts w:hint="default" w:ascii="Times New Roman" w:hAnsi="Times New Roman" w:eastAsia="宋体" w:cs="Times New Roman"/>
                <w:sz w:val="24"/>
                <w:szCs w:val="24"/>
              </w:rPr>
              <w:t>确定的最终面积以需方需求部门签字确认为准</w:t>
            </w:r>
            <w:r>
              <w:rPr>
                <w:rFonts w:hint="default" w:ascii="Times New Roman" w:hAnsi="Times New Roman" w:eastAsia="宋体" w:cs="Times New Roman"/>
                <w:sz w:val="24"/>
                <w:szCs w:val="24"/>
                <w:lang w:val="en-US" w:eastAsia="zh-CN"/>
              </w:rPr>
              <w:t>；</w:t>
            </w:r>
          </w:p>
          <w:p w14:paraId="652FDB13">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2.需方</w:t>
            </w:r>
            <w:r>
              <w:rPr>
                <w:rFonts w:hint="default" w:ascii="Times New Roman" w:hAnsi="Times New Roman" w:eastAsia="宋体" w:cs="Times New Roman"/>
                <w:sz w:val="24"/>
                <w:szCs w:val="24"/>
                <w:lang w:val="en-US" w:eastAsia="zh-CN"/>
              </w:rPr>
              <w:t>按</w:t>
            </w:r>
            <w:r>
              <w:rPr>
                <w:rFonts w:hint="default" w:ascii="Times New Roman" w:hAnsi="Times New Roman" w:eastAsia="宋体" w:cs="Times New Roman"/>
                <w:sz w:val="24"/>
                <w:szCs w:val="24"/>
                <w:lang w:val="zh-TW" w:eastAsia="zh-TW"/>
              </w:rPr>
              <w:t>相关要求进行项目验收，经验收合格后需方出具项目验收报告；</w:t>
            </w:r>
          </w:p>
          <w:p w14:paraId="55350753">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3.供方向需方开具增值税专用发票含抵扣联和发票联（若项目为硬件和软件一体的，应分别开具硬件、软件（服务）的发票），协助需方</w:t>
            </w:r>
            <w:r>
              <w:rPr>
                <w:rFonts w:hint="eastAsia" w:cs="Times New Roman"/>
                <w:sz w:val="24"/>
                <w:szCs w:val="24"/>
                <w:lang w:val="en-US" w:eastAsia="zh-CN"/>
              </w:rPr>
              <w:t>需求</w:t>
            </w:r>
            <w:r>
              <w:rPr>
                <w:rFonts w:hint="default" w:ascii="Times New Roman" w:hAnsi="Times New Roman" w:eastAsia="宋体" w:cs="Times New Roman"/>
                <w:sz w:val="24"/>
                <w:szCs w:val="24"/>
                <w:lang w:val="zh-TW" w:eastAsia="zh-TW"/>
              </w:rPr>
              <w:t>部门办理入库手续后，需方以转账方式向供方支付</w:t>
            </w:r>
            <w:r>
              <w:rPr>
                <w:rFonts w:hint="eastAsia" w:cs="Times New Roman"/>
                <w:sz w:val="24"/>
                <w:szCs w:val="24"/>
                <w:lang w:val="en-US" w:eastAsia="zh-CN"/>
              </w:rPr>
              <w:t>实际供货量的货款</w:t>
            </w:r>
            <w:r>
              <w:rPr>
                <w:rFonts w:hint="default" w:ascii="Times New Roman" w:hAnsi="Times New Roman" w:eastAsia="宋体" w:cs="Times New Roman"/>
                <w:sz w:val="24"/>
                <w:szCs w:val="24"/>
                <w:lang w:val="zh-TW" w:eastAsia="zh-TW"/>
              </w:rPr>
              <w:t>。</w:t>
            </w:r>
          </w:p>
        </w:tc>
      </w:tr>
      <w:tr w14:paraId="535C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4DE05582">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bCs/>
                <w:sz w:val="24"/>
                <w:szCs w:val="24"/>
                <w:lang w:val="zh-TW" w:eastAsia="zh-TW"/>
              </w:rPr>
            </w:pPr>
            <w:r>
              <w:rPr>
                <w:rFonts w:hint="default" w:ascii="Times New Roman" w:hAnsi="Times New Roman" w:eastAsia="宋体" w:cs="Times New Roman"/>
                <w:b/>
                <w:bCs/>
                <w:sz w:val="24"/>
                <w:szCs w:val="24"/>
                <w:lang w:val="en-US" w:eastAsia="zh-CN"/>
              </w:rPr>
              <w:t>七</w:t>
            </w:r>
            <w:r>
              <w:rPr>
                <w:rFonts w:hint="default" w:ascii="Times New Roman" w:hAnsi="Times New Roman" w:eastAsia="宋体" w:cs="Times New Roman"/>
                <w:b/>
                <w:bCs/>
                <w:sz w:val="24"/>
                <w:szCs w:val="24"/>
                <w:lang w:val="zh-TW" w:eastAsia="zh-TW"/>
              </w:rPr>
              <w:t>、违约责任</w:t>
            </w:r>
          </w:p>
          <w:p w14:paraId="5750E03D">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rPr>
              <w:t>1</w:t>
            </w:r>
            <w:r>
              <w:rPr>
                <w:rFonts w:hint="default" w:ascii="Times New Roman" w:hAnsi="Times New Roman" w:eastAsia="宋体" w:cs="Times New Roman"/>
                <w:sz w:val="24"/>
                <w:szCs w:val="24"/>
                <w:lang w:val="zh-TW" w:eastAsia="zh-TW"/>
              </w:rPr>
              <w:t>.需方可通过现场考察、函询等多种方式对供方的响应文件情况予以核查，供方须无条件配合并提供有关证明材料，证明其响应内容的真实有效性。需方若发现供方进行虚假响应或提供虚假材料的，有权取消供方的中标资格；若在合同签订后查实供方进行虚假响应或提供虚假材料的，需方有权单方面终止合同，</w:t>
            </w:r>
            <w:r>
              <w:rPr>
                <w:rFonts w:hint="default" w:ascii="Times New Roman" w:hAnsi="Times New Roman" w:eastAsia="宋体" w:cs="Times New Roman"/>
                <w:sz w:val="24"/>
                <w:szCs w:val="24"/>
                <w:lang w:val="en-US" w:eastAsia="zh-CN"/>
              </w:rPr>
              <w:t>供方需缴纳合同金额5%的</w:t>
            </w:r>
            <w:r>
              <w:rPr>
                <w:rFonts w:hint="default" w:ascii="Times New Roman" w:hAnsi="Times New Roman" w:eastAsia="宋体" w:cs="Times New Roman"/>
                <w:sz w:val="24"/>
                <w:szCs w:val="24"/>
                <w:lang w:val="zh-TW" w:eastAsia="zh-TW"/>
              </w:rPr>
              <w:t>违约金。</w:t>
            </w:r>
          </w:p>
          <w:p w14:paraId="548C61FD">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rPr>
              <w:t>2</w:t>
            </w:r>
            <w:r>
              <w:rPr>
                <w:rFonts w:hint="default" w:ascii="Times New Roman" w:hAnsi="Times New Roman" w:eastAsia="宋体" w:cs="Times New Roman"/>
                <w:sz w:val="24"/>
                <w:szCs w:val="24"/>
                <w:lang w:val="zh-TW" w:eastAsia="zh-TW"/>
              </w:rPr>
              <w:t>.若供方发生部分违约现象，</w:t>
            </w:r>
            <w:r>
              <w:rPr>
                <w:rFonts w:hint="default" w:ascii="Times New Roman" w:hAnsi="Times New Roman" w:eastAsia="宋体" w:cs="Times New Roman"/>
                <w:sz w:val="24"/>
                <w:szCs w:val="24"/>
                <w:lang w:val="en-US" w:eastAsia="zh-CN"/>
              </w:rPr>
              <w:t>供方需缴纳</w:t>
            </w:r>
            <w:r>
              <w:rPr>
                <w:rFonts w:hint="default" w:ascii="Times New Roman" w:hAnsi="Times New Roman" w:eastAsia="宋体" w:cs="Times New Roman"/>
                <w:sz w:val="24"/>
                <w:szCs w:val="24"/>
                <w:lang w:val="zh-TW" w:eastAsia="zh-TW"/>
              </w:rPr>
              <w:t>相应金额的违约金；若发现严重违约现象，</w:t>
            </w:r>
            <w:r>
              <w:rPr>
                <w:rFonts w:hint="default" w:ascii="Times New Roman" w:hAnsi="Times New Roman" w:eastAsia="宋体" w:cs="Times New Roman"/>
                <w:sz w:val="24"/>
                <w:szCs w:val="24"/>
                <w:lang w:val="en-US" w:eastAsia="zh-CN"/>
              </w:rPr>
              <w:t>供方需缴纳合同金额5%的</w:t>
            </w:r>
            <w:r>
              <w:rPr>
                <w:rFonts w:hint="default" w:ascii="Times New Roman" w:hAnsi="Times New Roman" w:eastAsia="宋体" w:cs="Times New Roman"/>
                <w:sz w:val="24"/>
                <w:szCs w:val="24"/>
                <w:lang w:val="zh-TW" w:eastAsia="zh-TW"/>
              </w:rPr>
              <w:t>违约金。</w:t>
            </w:r>
          </w:p>
          <w:p w14:paraId="614A2875">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rPr>
              <w:t>2</w:t>
            </w:r>
            <w:r>
              <w:rPr>
                <w:rFonts w:hint="default" w:ascii="Times New Roman" w:hAnsi="Times New Roman" w:eastAsia="宋体" w:cs="Times New Roman"/>
                <w:sz w:val="24"/>
                <w:szCs w:val="24"/>
                <w:lang w:val="zh-TW" w:eastAsia="zh-TW"/>
              </w:rPr>
              <w:t>.1非不可抗力情况下，因供方自身原因终止履行合同的，</w:t>
            </w:r>
            <w:r>
              <w:rPr>
                <w:rFonts w:hint="default" w:ascii="Times New Roman" w:hAnsi="Times New Roman" w:eastAsia="宋体" w:cs="Times New Roman"/>
                <w:sz w:val="24"/>
                <w:szCs w:val="24"/>
                <w:lang w:val="en-US" w:eastAsia="zh-CN"/>
              </w:rPr>
              <w:t>供方需缴纳合同金额5%的</w:t>
            </w:r>
            <w:r>
              <w:rPr>
                <w:rFonts w:hint="default" w:ascii="Times New Roman" w:hAnsi="Times New Roman" w:eastAsia="宋体" w:cs="Times New Roman"/>
                <w:sz w:val="24"/>
                <w:szCs w:val="24"/>
                <w:lang w:val="zh-TW" w:eastAsia="zh-TW"/>
              </w:rPr>
              <w:t>违约金；</w:t>
            </w:r>
          </w:p>
          <w:p w14:paraId="541F8CCF">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b w:val="0"/>
                <w:bCs w:val="0"/>
                <w:sz w:val="24"/>
                <w:szCs w:val="24"/>
                <w:lang w:val="zh-TW" w:eastAsia="zh-TW"/>
              </w:rPr>
            </w:pPr>
            <w:r>
              <w:rPr>
                <w:rFonts w:hint="default" w:ascii="Times New Roman" w:hAnsi="Times New Roman" w:eastAsia="宋体" w:cs="Times New Roman"/>
                <w:sz w:val="24"/>
                <w:szCs w:val="24"/>
                <w:lang w:val="zh-TW"/>
              </w:rPr>
              <w:t>2</w:t>
            </w:r>
            <w:r>
              <w:rPr>
                <w:rFonts w:hint="default" w:ascii="Times New Roman" w:hAnsi="Times New Roman" w:eastAsia="宋体" w:cs="Times New Roman"/>
                <w:sz w:val="24"/>
                <w:szCs w:val="24"/>
                <w:lang w:val="zh-TW" w:eastAsia="zh-TW"/>
              </w:rPr>
              <w:t>.2若供方未能按合同和</w:t>
            </w:r>
            <w:r>
              <w:rPr>
                <w:rFonts w:hint="default" w:ascii="Times New Roman" w:hAnsi="Times New Roman" w:eastAsia="宋体" w:cs="Times New Roman"/>
                <w:b w:val="0"/>
                <w:bCs w:val="0"/>
                <w:sz w:val="24"/>
                <w:szCs w:val="24"/>
                <w:lang w:val="zh-TW" w:eastAsia="zh-TW"/>
              </w:rPr>
              <w:t>采购文件要求供货或提供服务的（包含但不限于供方提供的产品与合同、投标文件的品牌规格型号不一致等情形），</w:t>
            </w:r>
            <w:r>
              <w:rPr>
                <w:rFonts w:hint="default" w:ascii="Times New Roman" w:hAnsi="Times New Roman" w:eastAsia="宋体" w:cs="Times New Roman"/>
                <w:sz w:val="24"/>
                <w:szCs w:val="24"/>
                <w:lang w:val="en-US" w:eastAsia="zh-CN"/>
              </w:rPr>
              <w:t>供方需缴纳合同金额5%的</w:t>
            </w:r>
            <w:r>
              <w:rPr>
                <w:rFonts w:hint="default" w:ascii="Times New Roman" w:hAnsi="Times New Roman" w:eastAsia="宋体" w:cs="Times New Roman"/>
                <w:sz w:val="24"/>
                <w:szCs w:val="24"/>
                <w:lang w:val="zh-TW" w:eastAsia="zh-TW"/>
              </w:rPr>
              <w:t>违约金</w:t>
            </w:r>
            <w:r>
              <w:rPr>
                <w:rFonts w:hint="default" w:ascii="Times New Roman" w:hAnsi="Times New Roman" w:eastAsia="宋体" w:cs="Times New Roman"/>
                <w:b w:val="0"/>
                <w:bCs w:val="0"/>
                <w:sz w:val="24"/>
                <w:szCs w:val="24"/>
                <w:lang w:val="zh-TW" w:eastAsia="zh-TW"/>
              </w:rPr>
              <w:t>；</w:t>
            </w:r>
          </w:p>
          <w:p w14:paraId="57DB6029">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b w:val="0"/>
                <w:bCs w:val="0"/>
                <w:sz w:val="24"/>
                <w:szCs w:val="24"/>
                <w:lang w:val="zh-TW"/>
              </w:rPr>
              <w:t>2</w:t>
            </w:r>
            <w:r>
              <w:rPr>
                <w:rFonts w:hint="default" w:ascii="Times New Roman" w:hAnsi="Times New Roman" w:eastAsia="宋体" w:cs="Times New Roman"/>
                <w:b w:val="0"/>
                <w:bCs w:val="0"/>
                <w:sz w:val="24"/>
                <w:szCs w:val="24"/>
                <w:lang w:val="zh-TW" w:eastAsia="zh-TW"/>
              </w:rPr>
              <w:t>.3非不可抗力情况下，因供方</w:t>
            </w:r>
            <w:r>
              <w:rPr>
                <w:rFonts w:hint="default" w:ascii="Times New Roman" w:hAnsi="Times New Roman" w:eastAsia="宋体" w:cs="Times New Roman"/>
                <w:sz w:val="24"/>
                <w:szCs w:val="24"/>
                <w:lang w:val="zh-TW" w:eastAsia="zh-TW"/>
              </w:rPr>
              <w:t>自身原因超过合同交货期限仍未送货安装调试达到验收要求的，超期1天，供方</w:t>
            </w:r>
            <w:r>
              <w:rPr>
                <w:rFonts w:hint="default" w:ascii="Times New Roman" w:hAnsi="Times New Roman" w:eastAsia="宋体" w:cs="Times New Roman"/>
                <w:sz w:val="24"/>
                <w:szCs w:val="24"/>
                <w:lang w:val="en-US" w:eastAsia="zh-CN"/>
              </w:rPr>
              <w:t>需缴纳合同金额的3%</w:t>
            </w:r>
            <w:r>
              <w:rPr>
                <w:rFonts w:hint="default" w:ascii="Times New Roman" w:hAnsi="Times New Roman" w:eastAsia="宋体" w:cs="Times New Roman"/>
                <w:sz w:val="24"/>
                <w:szCs w:val="24"/>
                <w:lang w:val="zh-TW" w:eastAsia="zh-TW"/>
              </w:rPr>
              <w:t>作为违约惩罚，以此类推；</w:t>
            </w:r>
          </w:p>
          <w:p w14:paraId="491FA342">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rPr>
              <w:t>2</w:t>
            </w:r>
            <w:r>
              <w:rPr>
                <w:rFonts w:hint="default" w:ascii="Times New Roman" w:hAnsi="Times New Roman" w:eastAsia="宋体" w:cs="Times New Roman"/>
                <w:sz w:val="24"/>
                <w:szCs w:val="24"/>
                <w:lang w:val="zh-TW" w:eastAsia="zh-TW"/>
              </w:rPr>
              <w:t>.4因不可抗力或</w:t>
            </w:r>
            <w:r>
              <w:rPr>
                <w:rFonts w:hint="default" w:ascii="Times New Roman" w:hAnsi="Times New Roman" w:eastAsia="宋体" w:cs="Times New Roman"/>
                <w:sz w:val="24"/>
                <w:szCs w:val="24"/>
                <w:lang w:val="zh-TW"/>
              </w:rPr>
              <w:t>需方</w:t>
            </w:r>
            <w:r>
              <w:rPr>
                <w:rFonts w:hint="default" w:ascii="Times New Roman" w:hAnsi="Times New Roman" w:eastAsia="宋体" w:cs="Times New Roman"/>
                <w:sz w:val="24"/>
                <w:szCs w:val="24"/>
                <w:lang w:val="zh-TW" w:eastAsia="zh-TW"/>
              </w:rPr>
              <w:t>自身原因，致使交货期限延后的，供方不承担相应违约责任。但供方须提供需方需求部门出具的同意延迟交货以及确定延迟交货期的书面情况说明，需方需求部门负责人签字并加盖部门公章。</w:t>
            </w:r>
          </w:p>
          <w:p w14:paraId="52711FF4">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若供方在投标过程中有虚假响应或履约过程中有违约行为的，或正式验收或使用过程中，若经需方或第三方检测机构验证不合格，除须承担相应的经济赔偿责任之外，需方有权终止合同，并报送至重庆市财政局和重庆市政府采购中心，将其列入云平台采购黑名单。</w:t>
            </w:r>
          </w:p>
          <w:p w14:paraId="50F652A8">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4.供方有下列情形之一的，列入需方采招供应商黑名单，需方视情况禁止供方及关联关系方（指单位负责人为同一人或存在直接控股、关联关系的不同供应商）6个月至3年内参加需方采招项目投标。</w:t>
            </w:r>
          </w:p>
          <w:p w14:paraId="5D85E58E">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4.1投标人在投标过程中有虚假投标、围标、串标行为的。</w:t>
            </w:r>
          </w:p>
          <w:p w14:paraId="5126F042">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4.2不按规定提交履约保证金。</w:t>
            </w:r>
          </w:p>
          <w:p w14:paraId="04DD8FAF">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4.3非不可抗力原因，供方无故放弃项目中标资格的、或不与需方签订合同的、或合同签订后拒绝履行合同义务的。</w:t>
            </w:r>
          </w:p>
          <w:p w14:paraId="54266115">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4.4供方在合同履约过程中有违约行为，整改后再次违约的。</w:t>
            </w:r>
          </w:p>
          <w:p w14:paraId="6877D1EA">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4.5供方因自身原因未按合同约定完成送货、安装调试达到验收要求，给需方造成负面影响的。</w:t>
            </w:r>
          </w:p>
          <w:p w14:paraId="43258453">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4.6其他违反采购与招投标法律法规和需方规则制度的。</w:t>
            </w:r>
          </w:p>
          <w:p w14:paraId="6060128F">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en-US" w:eastAsia="zh-CN"/>
              </w:rPr>
              <w:t>5.其他未尽事宜按《中华人民共和国民法典》《政府采购法》执行。</w:t>
            </w:r>
          </w:p>
        </w:tc>
      </w:tr>
      <w:tr w14:paraId="444AE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5A04895E">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八</w:t>
            </w:r>
            <w:r>
              <w:rPr>
                <w:rFonts w:hint="default" w:ascii="Times New Roman" w:hAnsi="Times New Roman" w:eastAsia="宋体" w:cs="Times New Roman"/>
                <w:b/>
                <w:bCs/>
                <w:sz w:val="24"/>
                <w:szCs w:val="24"/>
              </w:rPr>
              <w:t>、</w:t>
            </w:r>
            <w:r>
              <w:rPr>
                <w:rFonts w:hint="eastAsia" w:cs="Times New Roman"/>
                <w:b/>
                <w:bCs/>
                <w:sz w:val="24"/>
                <w:szCs w:val="24"/>
                <w:lang w:val="en-US" w:eastAsia="zh-CN"/>
              </w:rPr>
              <w:t>安装要求</w:t>
            </w:r>
          </w:p>
          <w:p w14:paraId="12D38AF8">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cs="Times New Roman"/>
                <w:sz w:val="24"/>
                <w:szCs w:val="24"/>
                <w:lang w:eastAsia="zh-CN"/>
              </w:rPr>
              <w:t>.</w:t>
            </w:r>
            <w:r>
              <w:rPr>
                <w:rFonts w:hint="eastAsia" w:cs="Times New Roman"/>
                <w:sz w:val="24"/>
                <w:szCs w:val="24"/>
                <w:lang w:val="en-US" w:eastAsia="zh-CN"/>
              </w:rPr>
              <w:t>供方</w:t>
            </w:r>
            <w:r>
              <w:rPr>
                <w:rFonts w:hint="default" w:ascii="Times New Roman" w:hAnsi="Times New Roman" w:eastAsia="宋体" w:cs="Times New Roman"/>
                <w:sz w:val="24"/>
                <w:szCs w:val="24"/>
              </w:rPr>
              <w:t>进校安装应遵守学校规章制度，合理安排安装进度，不得影响正常的教学、工作秩序；</w:t>
            </w:r>
          </w:p>
          <w:p w14:paraId="75F13524">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eastAsia" w:cs="Times New Roman"/>
                <w:sz w:val="24"/>
                <w:szCs w:val="24"/>
                <w:lang w:val="en-US" w:eastAsia="zh-CN"/>
              </w:rPr>
              <w:t>2</w:t>
            </w:r>
            <w:r>
              <w:rPr>
                <w:rFonts w:hint="eastAsia" w:cs="Times New Roman"/>
                <w:sz w:val="24"/>
                <w:szCs w:val="24"/>
                <w:lang w:eastAsia="zh-CN"/>
              </w:rPr>
              <w:t>.</w:t>
            </w:r>
            <w:r>
              <w:rPr>
                <w:rFonts w:hint="default" w:ascii="Times New Roman" w:hAnsi="Times New Roman" w:eastAsia="宋体" w:cs="Times New Roman"/>
                <w:sz w:val="24"/>
                <w:szCs w:val="24"/>
              </w:rPr>
              <w:t>如需安装的房间内已有窗帘，</w:t>
            </w:r>
            <w:r>
              <w:rPr>
                <w:rFonts w:hint="eastAsia" w:cs="Times New Roman"/>
                <w:sz w:val="24"/>
                <w:szCs w:val="24"/>
                <w:lang w:val="en-US" w:eastAsia="zh-CN"/>
              </w:rPr>
              <w:t>供方</w:t>
            </w:r>
            <w:r>
              <w:rPr>
                <w:rFonts w:hint="default" w:ascii="Times New Roman" w:hAnsi="Times New Roman" w:eastAsia="宋体" w:cs="Times New Roman"/>
                <w:sz w:val="24"/>
                <w:szCs w:val="24"/>
              </w:rPr>
              <w:t>应做好记录并及时联系房间管理部门沟通意见，如不需重复安装，则不计入最后收方面积；如需更换安装，</w:t>
            </w:r>
            <w:r>
              <w:rPr>
                <w:rFonts w:hint="eastAsia" w:cs="Times New Roman"/>
                <w:sz w:val="24"/>
                <w:szCs w:val="24"/>
                <w:lang w:val="en-US" w:eastAsia="zh-CN"/>
              </w:rPr>
              <w:t>供方</w:t>
            </w:r>
            <w:r>
              <w:rPr>
                <w:rFonts w:hint="default" w:ascii="Times New Roman" w:hAnsi="Times New Roman" w:eastAsia="宋体" w:cs="Times New Roman"/>
                <w:sz w:val="24"/>
                <w:szCs w:val="24"/>
              </w:rPr>
              <w:t>应负责拆换旧窗帘，并将旧窗帘及轨道放到校区内指定位置；</w:t>
            </w:r>
          </w:p>
          <w:p w14:paraId="249D60DA">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eastAsia" w:cs="Times New Roman"/>
                <w:sz w:val="24"/>
                <w:szCs w:val="24"/>
                <w:lang w:val="en-US" w:eastAsia="zh-CN"/>
              </w:rPr>
              <w:t>3</w:t>
            </w:r>
            <w:r>
              <w:rPr>
                <w:rFonts w:hint="eastAsia" w:cs="Times New Roman"/>
                <w:sz w:val="24"/>
                <w:szCs w:val="24"/>
                <w:lang w:eastAsia="zh-CN"/>
              </w:rPr>
              <w:t>.</w:t>
            </w:r>
            <w:r>
              <w:rPr>
                <w:rFonts w:hint="default" w:ascii="Times New Roman" w:hAnsi="Times New Roman" w:eastAsia="宋体" w:cs="Times New Roman"/>
                <w:sz w:val="24"/>
                <w:szCs w:val="24"/>
              </w:rPr>
              <w:t>安装完成后，施工过程中产生的垃圾由</w:t>
            </w:r>
            <w:r>
              <w:rPr>
                <w:rFonts w:hint="eastAsia" w:cs="Times New Roman"/>
                <w:sz w:val="24"/>
                <w:szCs w:val="24"/>
                <w:lang w:val="en-US" w:eastAsia="zh-CN"/>
              </w:rPr>
              <w:t>供方</w:t>
            </w:r>
            <w:r>
              <w:rPr>
                <w:rFonts w:hint="default" w:ascii="Times New Roman" w:hAnsi="Times New Roman" w:eastAsia="宋体" w:cs="Times New Roman"/>
                <w:sz w:val="24"/>
                <w:szCs w:val="24"/>
              </w:rPr>
              <w:t>清运出校，自行处置；</w:t>
            </w:r>
          </w:p>
          <w:p w14:paraId="53D19636">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eastAsia="宋体" w:cs="Times New Roman"/>
                <w:sz w:val="24"/>
                <w:szCs w:val="24"/>
                <w:lang w:eastAsia="zh-CN"/>
              </w:rPr>
            </w:pPr>
            <w:r>
              <w:rPr>
                <w:rFonts w:hint="eastAsia" w:cs="Times New Roman"/>
                <w:sz w:val="24"/>
                <w:szCs w:val="24"/>
                <w:lang w:val="en-US" w:eastAsia="zh-CN"/>
              </w:rPr>
              <w:t>4</w:t>
            </w:r>
            <w:r>
              <w:rPr>
                <w:rFonts w:hint="eastAsia" w:cs="Times New Roman"/>
                <w:sz w:val="24"/>
                <w:szCs w:val="24"/>
                <w:lang w:eastAsia="zh-CN"/>
              </w:rPr>
              <w:t>.</w:t>
            </w:r>
            <w:r>
              <w:rPr>
                <w:rFonts w:hint="eastAsia" w:cs="Times New Roman"/>
                <w:sz w:val="24"/>
                <w:szCs w:val="24"/>
                <w:lang w:val="en-US" w:eastAsia="zh-CN"/>
              </w:rPr>
              <w:t>供方</w:t>
            </w:r>
            <w:r>
              <w:rPr>
                <w:rFonts w:hint="default" w:ascii="Times New Roman" w:hAnsi="Times New Roman" w:eastAsia="宋体" w:cs="Times New Roman"/>
                <w:sz w:val="24"/>
                <w:szCs w:val="24"/>
              </w:rPr>
              <w:t>应保证安全施工，并承担施工过程中的全部安全责任</w:t>
            </w:r>
            <w:r>
              <w:rPr>
                <w:rFonts w:hint="eastAsia" w:cs="Times New Roman"/>
                <w:sz w:val="24"/>
                <w:szCs w:val="24"/>
                <w:lang w:eastAsia="zh-CN"/>
              </w:rPr>
              <w:t>；</w:t>
            </w:r>
          </w:p>
          <w:p w14:paraId="4C8BBB45">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eastAsia="宋体" w:cs="Times New Roman"/>
                <w:sz w:val="24"/>
                <w:szCs w:val="24"/>
                <w:lang w:eastAsia="zh-CN"/>
              </w:rPr>
            </w:pPr>
            <w:r>
              <w:rPr>
                <w:rFonts w:hint="eastAsia" w:cs="Times New Roman"/>
                <w:sz w:val="24"/>
                <w:szCs w:val="24"/>
                <w:lang w:val="en-US" w:eastAsia="zh-CN"/>
              </w:rPr>
              <w:t>5</w:t>
            </w:r>
            <w:r>
              <w:rPr>
                <w:rFonts w:hint="eastAsia" w:cs="Times New Roman"/>
                <w:sz w:val="24"/>
                <w:szCs w:val="24"/>
                <w:lang w:eastAsia="zh-CN"/>
              </w:rPr>
              <w:t>.</w:t>
            </w:r>
            <w:r>
              <w:rPr>
                <w:rFonts w:hint="default" w:ascii="Times New Roman" w:hAnsi="Times New Roman" w:eastAsia="宋体" w:cs="Times New Roman"/>
                <w:sz w:val="24"/>
                <w:szCs w:val="24"/>
              </w:rPr>
              <w:t>大窗台房间</w:t>
            </w:r>
            <w:r>
              <w:rPr>
                <w:rFonts w:hint="eastAsia" w:cs="Times New Roman"/>
                <w:sz w:val="24"/>
                <w:szCs w:val="24"/>
                <w:lang w:val="en-US" w:eastAsia="zh-CN"/>
              </w:rPr>
              <w:t>供方</w:t>
            </w:r>
            <w:r>
              <w:rPr>
                <w:rFonts w:hint="default" w:ascii="Times New Roman" w:hAnsi="Times New Roman" w:eastAsia="宋体" w:cs="Times New Roman"/>
                <w:sz w:val="24"/>
                <w:szCs w:val="24"/>
              </w:rPr>
              <w:t>应考虑需方使用方便，在与需方</w:t>
            </w:r>
            <w:r>
              <w:rPr>
                <w:rFonts w:hint="eastAsia" w:cs="Times New Roman"/>
                <w:sz w:val="24"/>
                <w:szCs w:val="24"/>
                <w:lang w:val="en-US" w:eastAsia="zh-CN"/>
              </w:rPr>
              <w:t>需求部门</w:t>
            </w:r>
            <w:r>
              <w:rPr>
                <w:rFonts w:hint="default" w:ascii="Times New Roman" w:hAnsi="Times New Roman" w:eastAsia="宋体" w:cs="Times New Roman"/>
                <w:sz w:val="24"/>
                <w:szCs w:val="24"/>
              </w:rPr>
              <w:t>充分沟通的情况下，配备撑杆或拉绳以满足使用需求</w:t>
            </w:r>
            <w:r>
              <w:rPr>
                <w:rFonts w:hint="eastAsia" w:cs="Times New Roman"/>
                <w:sz w:val="24"/>
                <w:szCs w:val="24"/>
                <w:lang w:eastAsia="zh-CN"/>
              </w:rPr>
              <w:t>。</w:t>
            </w:r>
          </w:p>
        </w:tc>
      </w:tr>
      <w:tr w14:paraId="4EB91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6DC76F99">
            <w:pPr>
              <w:pStyle w:val="16"/>
              <w:keepNext w:val="0"/>
              <w:keepLines w:val="0"/>
              <w:pageBreakBefore w:val="0"/>
              <w:kinsoku/>
              <w:wordWrap/>
              <w:overflowPunct/>
              <w:topLinePunct w:val="0"/>
              <w:autoSpaceDE/>
              <w:autoSpaceDN/>
              <w:bidi w:val="0"/>
              <w:adjustRightInd/>
              <w:snapToGrid/>
              <w:spacing w:before="118" w:line="440" w:lineRule="exact"/>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九</w:t>
            </w:r>
            <w:r>
              <w:rPr>
                <w:rFonts w:hint="default" w:ascii="Times New Roman" w:hAnsi="Times New Roman" w:eastAsia="宋体" w:cs="Times New Roman"/>
                <w:b/>
                <w:bCs/>
                <w:sz w:val="24"/>
                <w:szCs w:val="24"/>
              </w:rPr>
              <w:t>、</w:t>
            </w:r>
            <w:r>
              <w:rPr>
                <w:rFonts w:hint="default" w:ascii="Times New Roman" w:hAnsi="Times New Roman" w:eastAsia="宋体" w:cs="Times New Roman"/>
                <w:b/>
                <w:bCs/>
                <w:spacing w:val="-2"/>
                <w:sz w:val="24"/>
                <w:szCs w:val="24"/>
              </w:rPr>
              <w:t>项目其他要求</w:t>
            </w:r>
          </w:p>
          <w:p w14:paraId="32A2151B">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供方负责整个合同项目的安全管理。施工中人身及财产安全放在第一位。供方必须服从需方现场代表的质量监督要求和管理，文明施工，安全生产，按时完工。供方负责涉及工程的环境保护及恢复，竣工验收时做到“工完场清”。</w:t>
            </w:r>
          </w:p>
          <w:p w14:paraId="1228B423">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供方应保护好改造装修场所所有设施、设备、管网、物品及人员的安全。管理规范，措施到位，如因供方措施不力或管理不到位，对需方等造成损失进行赔偿，出现责任事故承担相应责任。在工程施工和设备安装过程中，施工安全、消防安全、治安安全、文明施工环境保护等方面责任全部由供方承担，需方不承担其它任何费用。</w:t>
            </w:r>
          </w:p>
        </w:tc>
      </w:tr>
      <w:tr w14:paraId="55319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9767" w:type="dxa"/>
            <w:gridSpan w:val="7"/>
            <w:vAlign w:val="center"/>
          </w:tcPr>
          <w:p w14:paraId="1FF63897">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bCs/>
                <w:sz w:val="24"/>
                <w:szCs w:val="24"/>
                <w:lang w:val="zh-TW" w:eastAsia="zh-TW"/>
              </w:rPr>
            </w:pPr>
            <w:r>
              <w:rPr>
                <w:rFonts w:hint="default" w:ascii="Times New Roman" w:hAnsi="Times New Roman" w:eastAsia="宋体" w:cs="Times New Roman"/>
                <w:b/>
                <w:bCs/>
                <w:sz w:val="24"/>
                <w:szCs w:val="24"/>
                <w:lang w:val="en-US" w:eastAsia="zh-CN"/>
              </w:rPr>
              <w:t>十</w:t>
            </w:r>
            <w:r>
              <w:rPr>
                <w:rFonts w:hint="default" w:ascii="Times New Roman" w:hAnsi="Times New Roman" w:eastAsia="宋体" w:cs="Times New Roman"/>
                <w:b/>
                <w:bCs/>
                <w:sz w:val="24"/>
                <w:szCs w:val="24"/>
                <w:lang w:val="zh-TW" w:eastAsia="zh-TW"/>
              </w:rPr>
              <w:t>、其他约定事项</w:t>
            </w:r>
          </w:p>
          <w:p w14:paraId="4F94E3DB">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1.采购文件及其补遗文件、响应文件和承诺是本合同不可分割的部分，共同构成合同文件。合同文件按以下顺序进行解释：合同、响应文件和承诺、采购文件及其补遗文件。</w:t>
            </w:r>
          </w:p>
          <w:p w14:paraId="1DD4E8C3">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2.本合同如发生争议由双方协商解决，协商不成向需方所在地人民法院提请诉讼。</w:t>
            </w:r>
          </w:p>
          <w:p w14:paraId="670969B2">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3.本合同一式</w:t>
            </w:r>
            <w:r>
              <w:rPr>
                <w:rFonts w:hint="default" w:ascii="Times New Roman" w:hAnsi="Times New Roman" w:eastAsia="宋体" w:cs="Times New Roman"/>
                <w:b/>
                <w:bCs/>
                <w:sz w:val="24"/>
                <w:szCs w:val="24"/>
                <w:u w:val="single"/>
              </w:rPr>
              <w:t>肆</w:t>
            </w:r>
            <w:r>
              <w:rPr>
                <w:rFonts w:hint="default" w:ascii="Times New Roman" w:hAnsi="Times New Roman" w:eastAsia="宋体" w:cs="Times New Roman"/>
                <w:sz w:val="24"/>
                <w:szCs w:val="24"/>
              </w:rPr>
              <w:t>份，需方</w:t>
            </w:r>
            <w:r>
              <w:rPr>
                <w:rFonts w:hint="default" w:ascii="Times New Roman" w:hAnsi="Times New Roman" w:eastAsia="宋体" w:cs="Times New Roman"/>
                <w:b/>
                <w:bCs/>
                <w:sz w:val="24"/>
                <w:szCs w:val="24"/>
                <w:u w:val="single"/>
              </w:rPr>
              <w:t>叁</w:t>
            </w:r>
            <w:r>
              <w:rPr>
                <w:rFonts w:hint="default" w:ascii="Times New Roman" w:hAnsi="Times New Roman" w:eastAsia="宋体" w:cs="Times New Roman"/>
                <w:sz w:val="24"/>
                <w:szCs w:val="24"/>
              </w:rPr>
              <w:t>份，供方</w:t>
            </w:r>
            <w:r>
              <w:rPr>
                <w:rFonts w:hint="default" w:ascii="Times New Roman" w:hAnsi="Times New Roman" w:eastAsia="宋体" w:cs="Times New Roman"/>
                <w:b/>
                <w:bCs/>
                <w:sz w:val="24"/>
                <w:szCs w:val="24"/>
                <w:u w:val="single"/>
              </w:rPr>
              <w:t>壹</w:t>
            </w:r>
            <w:r>
              <w:rPr>
                <w:rFonts w:hint="default" w:ascii="Times New Roman" w:hAnsi="Times New Roman" w:eastAsia="宋体" w:cs="Times New Roman"/>
                <w:sz w:val="24"/>
                <w:szCs w:val="24"/>
              </w:rPr>
              <w:t>份，均具有同等法律效力。</w:t>
            </w:r>
          </w:p>
          <w:p w14:paraId="16441EE6">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4.需方在中华人民共和国境内使用供方提供的货物及服务时免受第三方提出的侵犯其专利权或其它知识产权的起诉。如果第三方提出侵权指控，供方应承担由此而引起的一切法律责任和费用。</w:t>
            </w:r>
          </w:p>
          <w:p w14:paraId="4C9EE0A0">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5.供方须按需方要求提供对设备的操作培训，使需方相关使用人员能够正常操作相关设备。</w:t>
            </w:r>
          </w:p>
          <w:p w14:paraId="378E7206">
            <w:pPr>
              <w:pStyle w:val="7"/>
              <w:keepNext w:val="0"/>
              <w:keepLines w:val="0"/>
              <w:pageBreakBefore w:val="0"/>
              <w:widowControl/>
              <w:kinsoku/>
              <w:wordWrap/>
              <w:overflowPunct/>
              <w:topLinePunct w:val="0"/>
              <w:autoSpaceDE/>
              <w:autoSpaceDN/>
              <w:bidi w:val="0"/>
              <w:adjustRightInd/>
              <w:snapToGrid/>
              <w:spacing w:before="114"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highlight w:val="yellow"/>
                <w:lang w:val="zh-TW" w:eastAsia="zh-TW"/>
              </w:rPr>
              <w:t>6.供方联系人及电话</w:t>
            </w:r>
            <w:r>
              <w:rPr>
                <w:rFonts w:hint="default" w:ascii="Times New Roman" w:hAnsi="Times New Roman" w:eastAsia="宋体" w:cs="Times New Roman"/>
                <w:sz w:val="24"/>
                <w:szCs w:val="24"/>
                <w:highlight w:val="yellow"/>
                <w:lang w:val="zh-TW"/>
              </w:rPr>
              <w:t>，</w:t>
            </w:r>
            <w:r>
              <w:rPr>
                <w:rFonts w:hint="default" w:ascii="Times New Roman" w:hAnsi="Times New Roman" w:eastAsia="宋体" w:cs="Times New Roman"/>
                <w:sz w:val="24"/>
                <w:szCs w:val="24"/>
                <w:highlight w:val="yellow"/>
                <w:lang w:val="en-US" w:eastAsia="zh-CN"/>
              </w:rPr>
              <w:t xml:space="preserve">   </w:t>
            </w:r>
            <w:r>
              <w:rPr>
                <w:rFonts w:hint="default" w:ascii="Times New Roman" w:hAnsi="Times New Roman" w:eastAsia="宋体" w:cs="Times New Roman"/>
                <w:sz w:val="24"/>
                <w:szCs w:val="24"/>
                <w:highlight w:val="yellow"/>
                <w:lang w:val="zh-TW"/>
              </w:rPr>
              <w:t>：</w:t>
            </w:r>
            <w:r>
              <w:rPr>
                <w:rFonts w:hint="default" w:ascii="Times New Roman" w:hAnsi="Times New Roman" w:eastAsia="宋体" w:cs="Times New Roman"/>
                <w:sz w:val="24"/>
                <w:szCs w:val="24"/>
                <w:highlight w:val="yellow"/>
                <w:lang w:val="en-US" w:eastAsia="zh-CN"/>
              </w:rPr>
              <w:t xml:space="preserve">  </w:t>
            </w:r>
            <w:r>
              <w:rPr>
                <w:rFonts w:hint="default" w:ascii="Times New Roman" w:hAnsi="Times New Roman" w:eastAsia="宋体" w:cs="Times New Roman"/>
                <w:sz w:val="24"/>
                <w:szCs w:val="24"/>
                <w:lang w:val="zh-TW" w:eastAsia="zh-TW"/>
              </w:rPr>
              <w:t>；需方联系人及电话</w:t>
            </w:r>
            <w:r>
              <w:rPr>
                <w:rFonts w:hint="default" w:ascii="Times New Roman" w:hAnsi="Times New Roman" w:eastAsia="宋体" w:cs="Times New Roman"/>
                <w:sz w:val="24"/>
                <w:szCs w:val="24"/>
                <w:lang w:val="zh-TW"/>
              </w:rPr>
              <w:t>，</w:t>
            </w:r>
            <w:r>
              <w:rPr>
                <w:rFonts w:hint="eastAsia" w:cs="Times New Roman"/>
                <w:sz w:val="24"/>
                <w:szCs w:val="24"/>
                <w:lang w:val="en-US" w:eastAsia="zh-CN"/>
              </w:rPr>
              <w:t>魏勇：15923956916</w:t>
            </w:r>
            <w:r>
              <w:rPr>
                <w:rFonts w:hint="default" w:ascii="Times New Roman" w:hAnsi="Times New Roman" w:eastAsia="宋体" w:cs="Times New Roman"/>
                <w:sz w:val="24"/>
                <w:szCs w:val="24"/>
                <w:lang w:val="zh-TW" w:eastAsia="zh-TW"/>
              </w:rPr>
              <w:t>。</w:t>
            </w:r>
          </w:p>
        </w:tc>
      </w:tr>
      <w:tr w14:paraId="6487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4766" w:type="dxa"/>
            <w:gridSpan w:val="3"/>
          </w:tcPr>
          <w:p w14:paraId="6CE348A6">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需方：重庆工商大学</w:t>
            </w:r>
          </w:p>
          <w:p w14:paraId="3867E790">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地址：重庆市南岸区学府大道19号</w:t>
            </w:r>
          </w:p>
          <w:p w14:paraId="4747C4B7">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rPr>
            </w:pPr>
            <w:r>
              <w:rPr>
                <w:rFonts w:hint="default" w:ascii="Times New Roman" w:hAnsi="Times New Roman" w:eastAsia="宋体" w:cs="Times New Roman"/>
                <w:sz w:val="24"/>
                <w:szCs w:val="24"/>
                <w:lang w:val="zh-TW" w:eastAsia="zh-TW"/>
              </w:rPr>
              <w:t>联系电话：023-6276</w:t>
            </w:r>
            <w:r>
              <w:rPr>
                <w:rFonts w:hint="default" w:ascii="Times New Roman" w:hAnsi="Times New Roman" w:eastAsia="宋体" w:cs="Times New Roman"/>
                <w:sz w:val="24"/>
                <w:szCs w:val="24"/>
                <w:lang w:val="zh-TW"/>
              </w:rPr>
              <w:t>9774</w:t>
            </w:r>
          </w:p>
          <w:p w14:paraId="5EFBD57A">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开户行：工行重庆南岸学府支行</w:t>
            </w:r>
          </w:p>
          <w:p w14:paraId="2ACDFF02">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账号：3100027609024907533</w:t>
            </w:r>
          </w:p>
          <w:p w14:paraId="5916FDF1">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纳税人识别号：125000007428748822</w:t>
            </w:r>
          </w:p>
          <w:p w14:paraId="2AA3CC58">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法定代表人：</w:t>
            </w:r>
          </w:p>
          <w:p w14:paraId="5486F392">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p>
          <w:p w14:paraId="63C6C895">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授权代表：</w:t>
            </w:r>
          </w:p>
        </w:tc>
        <w:tc>
          <w:tcPr>
            <w:tcW w:w="5001" w:type="dxa"/>
            <w:gridSpan w:val="4"/>
          </w:tcPr>
          <w:p w14:paraId="1390CF4D">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CN"/>
              </w:rPr>
            </w:pPr>
            <w:r>
              <w:rPr>
                <w:rFonts w:hint="default" w:ascii="Times New Roman" w:hAnsi="Times New Roman" w:eastAsia="宋体" w:cs="Times New Roman"/>
                <w:sz w:val="24"/>
                <w:szCs w:val="24"/>
                <w:lang w:val="zh-TW" w:eastAsia="zh-TW"/>
              </w:rPr>
              <w:t>供方：</w:t>
            </w:r>
            <w:r>
              <w:rPr>
                <w:rFonts w:hint="default" w:ascii="Times New Roman" w:hAnsi="Times New Roman" w:eastAsia="宋体" w:cs="Times New Roman"/>
                <w:sz w:val="24"/>
                <w:szCs w:val="24"/>
                <w:lang w:val="en-US" w:eastAsia="zh-CN"/>
              </w:rPr>
              <w:t xml:space="preserve"> </w:t>
            </w:r>
          </w:p>
          <w:p w14:paraId="1326833E">
            <w:pPr>
              <w:keepNext w:val="0"/>
              <w:keepLines w:val="0"/>
              <w:pageBreakBefore w:val="0"/>
              <w:kinsoku/>
              <w:wordWrap/>
              <w:overflowPunct/>
              <w:topLinePunct w:val="0"/>
              <w:autoSpaceDE/>
              <w:autoSpaceDN/>
              <w:bidi w:val="0"/>
              <w:adjustRightInd/>
              <w:snapToGrid/>
              <w:spacing w:line="440" w:lineRule="exact"/>
              <w:ind w:left="720" w:hanging="720" w:hangingChars="300"/>
              <w:textAlignment w:val="auto"/>
              <w:rPr>
                <w:rFonts w:hint="default" w:ascii="Times New Roman" w:hAnsi="Times New Roman" w:eastAsia="宋体" w:cs="Times New Roman"/>
                <w:sz w:val="24"/>
                <w:szCs w:val="24"/>
                <w:lang w:val="zh-TW" w:eastAsia="zh-CN"/>
              </w:rPr>
            </w:pPr>
            <w:r>
              <w:rPr>
                <w:rFonts w:hint="default" w:ascii="Times New Roman" w:hAnsi="Times New Roman" w:eastAsia="宋体" w:cs="Times New Roman"/>
                <w:sz w:val="24"/>
                <w:szCs w:val="24"/>
                <w:lang w:val="zh-TW"/>
              </w:rPr>
              <w:t>地址：</w:t>
            </w:r>
            <w:r>
              <w:rPr>
                <w:rFonts w:hint="default" w:ascii="Times New Roman" w:hAnsi="Times New Roman" w:eastAsia="宋体" w:cs="Times New Roman"/>
                <w:sz w:val="24"/>
                <w:szCs w:val="24"/>
                <w:lang w:val="en-US" w:eastAsia="zh-CN"/>
              </w:rPr>
              <w:t xml:space="preserve"> </w:t>
            </w:r>
          </w:p>
          <w:p w14:paraId="1A830ED5">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CN"/>
              </w:rPr>
            </w:pPr>
            <w:r>
              <w:rPr>
                <w:rFonts w:hint="default" w:ascii="Times New Roman" w:hAnsi="Times New Roman" w:eastAsia="宋体" w:cs="Times New Roman"/>
                <w:sz w:val="24"/>
                <w:szCs w:val="24"/>
                <w:lang w:val="zh-TW"/>
              </w:rPr>
              <w:t>联系电话：</w:t>
            </w:r>
            <w:r>
              <w:rPr>
                <w:rFonts w:hint="default" w:ascii="Times New Roman" w:hAnsi="Times New Roman" w:eastAsia="宋体" w:cs="Times New Roman"/>
                <w:sz w:val="24"/>
                <w:szCs w:val="24"/>
                <w:lang w:val="en-US" w:eastAsia="zh-CN"/>
              </w:rPr>
              <w:t xml:space="preserve"> </w:t>
            </w:r>
          </w:p>
          <w:p w14:paraId="48340B9A">
            <w:pPr>
              <w:keepNext w:val="0"/>
              <w:keepLines w:val="0"/>
              <w:pageBreakBefore w:val="0"/>
              <w:kinsoku/>
              <w:wordWrap/>
              <w:overflowPunct/>
              <w:topLinePunct w:val="0"/>
              <w:autoSpaceDE/>
              <w:autoSpaceDN/>
              <w:bidi w:val="0"/>
              <w:adjustRightInd/>
              <w:snapToGrid/>
              <w:spacing w:line="440" w:lineRule="exact"/>
              <w:ind w:left="1200" w:hanging="1200" w:hangingChars="500"/>
              <w:textAlignment w:val="auto"/>
              <w:rPr>
                <w:rFonts w:hint="default" w:ascii="Times New Roman" w:hAnsi="Times New Roman" w:eastAsia="宋体" w:cs="Times New Roman"/>
                <w:sz w:val="24"/>
                <w:szCs w:val="24"/>
                <w:lang w:val="zh-TW" w:eastAsia="zh-CN"/>
              </w:rPr>
            </w:pPr>
            <w:r>
              <w:rPr>
                <w:rFonts w:hint="default" w:ascii="Times New Roman" w:hAnsi="Times New Roman" w:eastAsia="宋体" w:cs="Times New Roman"/>
                <w:sz w:val="24"/>
                <w:szCs w:val="24"/>
                <w:lang w:val="zh-TW"/>
              </w:rPr>
              <w:t>开户银行：</w:t>
            </w:r>
            <w:r>
              <w:rPr>
                <w:rFonts w:hint="default" w:ascii="Times New Roman" w:hAnsi="Times New Roman" w:eastAsia="宋体" w:cs="Times New Roman"/>
                <w:sz w:val="24"/>
                <w:szCs w:val="24"/>
                <w:lang w:val="en-US" w:eastAsia="zh-CN"/>
              </w:rPr>
              <w:t xml:space="preserve"> </w:t>
            </w:r>
          </w:p>
          <w:p w14:paraId="0AEEDC32">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CN"/>
              </w:rPr>
            </w:pPr>
            <w:r>
              <w:rPr>
                <w:rFonts w:hint="default" w:ascii="Times New Roman" w:hAnsi="Times New Roman" w:eastAsia="宋体" w:cs="Times New Roman"/>
                <w:sz w:val="24"/>
                <w:szCs w:val="24"/>
                <w:lang w:val="zh-TW"/>
              </w:rPr>
              <w:t>账号：</w:t>
            </w:r>
            <w:r>
              <w:rPr>
                <w:rFonts w:hint="default" w:ascii="Times New Roman" w:hAnsi="Times New Roman" w:eastAsia="宋体" w:cs="Times New Roman"/>
                <w:sz w:val="24"/>
                <w:szCs w:val="24"/>
                <w:lang w:val="en-US" w:eastAsia="zh-CN"/>
              </w:rPr>
              <w:t xml:space="preserve"> </w:t>
            </w:r>
          </w:p>
          <w:p w14:paraId="3D96EE52">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CN"/>
              </w:rPr>
            </w:pPr>
            <w:r>
              <w:rPr>
                <w:rFonts w:hint="default" w:ascii="Times New Roman" w:hAnsi="Times New Roman" w:eastAsia="宋体" w:cs="Times New Roman"/>
                <w:sz w:val="24"/>
                <w:szCs w:val="24"/>
                <w:lang w:val="zh-TW"/>
              </w:rPr>
              <w:t>纳税人识别号：</w:t>
            </w:r>
            <w:r>
              <w:rPr>
                <w:rFonts w:hint="default" w:ascii="Times New Roman" w:hAnsi="Times New Roman" w:eastAsia="宋体" w:cs="Times New Roman"/>
                <w:sz w:val="24"/>
                <w:szCs w:val="24"/>
                <w:lang w:val="en-US" w:eastAsia="zh-CN"/>
              </w:rPr>
              <w:t xml:space="preserve"> </w:t>
            </w:r>
          </w:p>
          <w:p w14:paraId="6B2AD6D0">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法定代表人：</w:t>
            </w:r>
          </w:p>
          <w:p w14:paraId="6D0FB66E">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p>
          <w:p w14:paraId="1524943D">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eastAsia="zh-TW"/>
              </w:rPr>
              <w:t>授权代表：</w:t>
            </w:r>
          </w:p>
        </w:tc>
      </w:tr>
      <w:tr w14:paraId="702CB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767" w:type="dxa"/>
            <w:gridSpan w:val="7"/>
            <w:vAlign w:val="center"/>
          </w:tcPr>
          <w:p w14:paraId="704B0B49">
            <w:pPr>
              <w:keepNext w:val="0"/>
              <w:keepLines w:val="0"/>
              <w:pageBreakBefore w:val="0"/>
              <w:kinsoku/>
              <w:wordWrap/>
              <w:overflowPunct/>
              <w:topLinePunct w:val="0"/>
              <w:autoSpaceDE/>
              <w:autoSpaceDN/>
              <w:bidi w:val="0"/>
              <w:adjustRightInd/>
              <w:spacing w:line="300" w:lineRule="exact"/>
              <w:jc w:val="left"/>
              <w:rPr>
                <w:rFonts w:hint="default" w:ascii="Times New Roman" w:hAnsi="Times New Roman" w:eastAsia="宋体" w:cs="Times New Roman"/>
                <w:sz w:val="24"/>
                <w:szCs w:val="24"/>
                <w:lang w:val="zh-TW" w:eastAsia="zh-TW"/>
              </w:rPr>
            </w:pPr>
            <w:r>
              <w:rPr>
                <w:rFonts w:hint="default" w:ascii="Times New Roman" w:hAnsi="Times New Roman" w:eastAsia="宋体" w:cs="Times New Roman"/>
                <w:sz w:val="24"/>
                <w:szCs w:val="24"/>
                <w:lang w:val="zh-TW"/>
              </w:rPr>
              <w:t>备注：</w:t>
            </w:r>
          </w:p>
        </w:tc>
      </w:tr>
    </w:tbl>
    <w:p w14:paraId="07A0953D">
      <w:pPr>
        <w:spacing w:line="380" w:lineRule="exact"/>
        <w:jc w:val="center"/>
        <w:rPr>
          <w:rFonts w:ascii="宋体" w:hAnsi="宋体" w:cs="宋体"/>
          <w:color w:val="000000"/>
          <w:sz w:val="24"/>
          <w:lang w:val="zh-TW" w:eastAsia="zh-TW"/>
        </w:rPr>
      </w:pPr>
      <w:r>
        <w:rPr>
          <w:rFonts w:ascii="宋体" w:hAnsi="宋体" w:cs="宋体"/>
          <w:color w:val="000000"/>
          <w:sz w:val="24"/>
          <w:lang w:val="zh-TW" w:eastAsia="zh-TW"/>
        </w:rPr>
        <w:t>签约时间：</w:t>
      </w:r>
      <w:r>
        <w:rPr>
          <w:rFonts w:hint="default" w:ascii="Times New Roman" w:hAnsi="Times New Roman" w:cs="Times New Roman"/>
          <w:color w:val="000000"/>
          <w:sz w:val="24"/>
          <w:lang w:val="zh-TW" w:eastAsia="zh-TW"/>
        </w:rPr>
        <w:t>20</w:t>
      </w:r>
      <w:r>
        <w:rPr>
          <w:rFonts w:hint="default" w:ascii="Times New Roman" w:hAnsi="Times New Roman" w:cs="Times New Roman"/>
          <w:color w:val="000000"/>
          <w:sz w:val="24"/>
        </w:rPr>
        <w:t>2</w:t>
      </w:r>
      <w:r>
        <w:rPr>
          <w:rFonts w:hint="eastAsia" w:cs="Times New Roman"/>
          <w:color w:val="000000"/>
          <w:sz w:val="24"/>
          <w:lang w:val="en-US" w:eastAsia="zh-CN"/>
        </w:rPr>
        <w:t>6</w:t>
      </w:r>
      <w:r>
        <w:rPr>
          <w:rFonts w:hint="default" w:ascii="Times New Roman" w:hAnsi="Times New Roman" w:cs="Times New Roman"/>
          <w:color w:val="000000"/>
          <w:sz w:val="24"/>
          <w:lang w:val="zh-TW" w:eastAsia="zh-TW"/>
        </w:rPr>
        <w:t>年</w:t>
      </w:r>
      <w:r>
        <w:rPr>
          <w:rFonts w:hint="default" w:ascii="Times New Roman" w:hAnsi="Times New Roman" w:eastAsia="PMingLiU" w:cs="Times New Roman"/>
          <w:color w:val="000000"/>
          <w:sz w:val="24"/>
          <w:lang w:val="zh-TW" w:eastAsia="zh-TW"/>
        </w:rPr>
        <w:t xml:space="preserve">   </w:t>
      </w:r>
      <w:r>
        <w:rPr>
          <w:rFonts w:hint="default" w:ascii="Times New Roman" w:hAnsi="Times New Roman" w:cs="Times New Roman"/>
          <w:color w:val="000000"/>
          <w:sz w:val="24"/>
          <w:lang w:val="zh-TW" w:eastAsia="zh-TW"/>
        </w:rPr>
        <w:t>月</w:t>
      </w:r>
      <w:r>
        <w:rPr>
          <w:rFonts w:hint="eastAsia" w:ascii="宋体" w:hAnsi="宋体" w:cs="宋体"/>
          <w:color w:val="000000"/>
          <w:sz w:val="24"/>
          <w:lang w:val="zh-TW"/>
        </w:rPr>
        <w:t xml:space="preserve"> </w:t>
      </w:r>
      <w:r>
        <w:rPr>
          <w:rFonts w:ascii="宋体" w:hAnsi="宋体" w:eastAsia="PMingLiU" w:cs="宋体"/>
          <w:color w:val="000000"/>
          <w:sz w:val="24"/>
          <w:lang w:val="zh-TW" w:eastAsia="zh-TW"/>
        </w:rPr>
        <w:t xml:space="preserve"> </w:t>
      </w:r>
      <w:r>
        <w:rPr>
          <w:rFonts w:ascii="宋体" w:hAnsi="宋体" w:cs="宋体"/>
          <w:color w:val="000000"/>
          <w:sz w:val="24"/>
          <w:lang w:val="zh-TW" w:eastAsia="zh-TW"/>
        </w:rPr>
        <w:t xml:space="preserve"> 日      </w:t>
      </w:r>
      <w:r>
        <w:rPr>
          <w:rFonts w:ascii="宋体" w:hAnsi="宋体" w:eastAsia="PMingLiU" w:cs="宋体"/>
          <w:color w:val="000000"/>
          <w:sz w:val="24"/>
          <w:lang w:val="zh-TW" w:eastAsia="zh-TW"/>
        </w:rPr>
        <w:t xml:space="preserve"> </w:t>
      </w:r>
      <w:r>
        <w:rPr>
          <w:rFonts w:ascii="宋体" w:hAnsi="宋体" w:cs="宋体"/>
          <w:color w:val="000000"/>
          <w:sz w:val="24"/>
          <w:lang w:val="zh-TW" w:eastAsia="zh-TW"/>
        </w:rPr>
        <w:t xml:space="preserve">      签约地点：重庆工商大学</w:t>
      </w:r>
    </w:p>
    <w:p w14:paraId="608D05C5">
      <w:pPr>
        <w:pStyle w:val="3"/>
        <w:rPr>
          <w:lang w:val="zh-TW" w:eastAsia="zh-TW"/>
        </w:rPr>
      </w:pPr>
      <w:r>
        <w:rPr>
          <w:lang w:val="zh-TW" w:eastAsia="zh-TW"/>
        </w:rPr>
        <w:br w:type="page"/>
      </w:r>
    </w:p>
    <w:p w14:paraId="7BFCCFB1">
      <w:pPr>
        <w:widowControl/>
        <w:spacing w:line="400" w:lineRule="exact"/>
        <w:rPr>
          <w:rFonts w:hint="eastAsia" w:ascii="宋体" w:hAnsi="宋体" w:cs="宋体"/>
          <w:b/>
          <w:sz w:val="24"/>
          <w:szCs w:val="24"/>
          <w:lang w:val="en-US" w:eastAsia="zh-CN"/>
        </w:rPr>
      </w:pPr>
      <w:r>
        <w:rPr>
          <w:rFonts w:hint="eastAsia" w:ascii="宋体" w:hAnsi="宋体" w:cs="宋体"/>
          <w:b/>
          <w:sz w:val="24"/>
          <w:szCs w:val="24"/>
          <w:lang w:val="en-US" w:eastAsia="zh-CN"/>
        </w:rPr>
        <w:t>附件：</w:t>
      </w:r>
    </w:p>
    <w:p w14:paraId="2E7B94DA">
      <w:pPr>
        <w:widowControl/>
        <w:spacing w:line="400" w:lineRule="exact"/>
        <w:jc w:val="center"/>
        <w:rPr>
          <w:rFonts w:ascii="宋体" w:hAnsi="宋体" w:cs="宋体"/>
          <w:color w:val="000000"/>
          <w:sz w:val="24"/>
          <w:szCs w:val="24"/>
        </w:rPr>
      </w:pPr>
      <w:r>
        <w:rPr>
          <w:rFonts w:hint="eastAsia" w:ascii="宋体" w:hAnsi="宋体" w:cs="宋体"/>
          <w:b/>
          <w:sz w:val="24"/>
          <w:szCs w:val="24"/>
        </w:rPr>
        <w:t>窗帘材质清单</w:t>
      </w:r>
    </w:p>
    <w:tbl>
      <w:tblPr>
        <w:tblStyle w:val="8"/>
        <w:tblW w:w="9615" w:type="dxa"/>
        <w:tblInd w:w="0" w:type="dxa"/>
        <w:tblLayout w:type="fixed"/>
        <w:tblCellMar>
          <w:top w:w="0" w:type="dxa"/>
          <w:left w:w="108" w:type="dxa"/>
          <w:bottom w:w="0" w:type="dxa"/>
          <w:right w:w="108" w:type="dxa"/>
        </w:tblCellMar>
      </w:tblPr>
      <w:tblGrid>
        <w:gridCol w:w="468"/>
        <w:gridCol w:w="721"/>
        <w:gridCol w:w="976"/>
        <w:gridCol w:w="7450"/>
      </w:tblGrid>
      <w:tr w14:paraId="6633C83B">
        <w:tblPrEx>
          <w:tblCellMar>
            <w:top w:w="0" w:type="dxa"/>
            <w:left w:w="108" w:type="dxa"/>
            <w:bottom w:w="0" w:type="dxa"/>
            <w:right w:w="108" w:type="dxa"/>
          </w:tblCellMar>
        </w:tblPrEx>
        <w:tc>
          <w:tcPr>
            <w:tcW w:w="468" w:type="dxa"/>
            <w:tcBorders>
              <w:top w:val="single" w:color="000000" w:sz="4" w:space="0"/>
              <w:left w:val="single" w:color="000000" w:sz="4" w:space="0"/>
              <w:bottom w:val="single" w:color="000000" w:sz="4" w:space="0"/>
              <w:right w:val="single" w:color="000000" w:sz="4" w:space="0"/>
            </w:tcBorders>
            <w:vAlign w:val="center"/>
          </w:tcPr>
          <w:p w14:paraId="00747C27">
            <w:pPr>
              <w:widowControl/>
              <w:spacing w:line="240" w:lineRule="auto"/>
              <w:jc w:val="center"/>
              <w:textAlignment w:val="center"/>
              <w:rPr>
                <w:rFonts w:ascii="宋体" w:hAnsi="宋体" w:cs="宋体"/>
                <w:b/>
                <w:bCs/>
                <w:sz w:val="24"/>
                <w:szCs w:val="24"/>
              </w:rPr>
            </w:pPr>
            <w:bookmarkStart w:id="0" w:name="_Toc10450"/>
            <w:bookmarkStart w:id="1" w:name="_Toc23984"/>
            <w:r>
              <w:rPr>
                <w:rFonts w:hint="eastAsia" w:ascii="宋体" w:hAnsi="宋体" w:cs="宋体"/>
                <w:b/>
                <w:bCs/>
                <w:kern w:val="0"/>
                <w:sz w:val="24"/>
                <w:szCs w:val="24"/>
                <w:lang w:bidi="ar"/>
              </w:rPr>
              <w:t>序号</w:t>
            </w:r>
          </w:p>
        </w:tc>
        <w:tc>
          <w:tcPr>
            <w:tcW w:w="721" w:type="dxa"/>
            <w:tcBorders>
              <w:top w:val="single" w:color="000000" w:sz="4" w:space="0"/>
              <w:left w:val="single" w:color="000000" w:sz="4" w:space="0"/>
              <w:bottom w:val="single" w:color="000000" w:sz="4" w:space="0"/>
              <w:right w:val="single" w:color="000000" w:sz="4" w:space="0"/>
            </w:tcBorders>
            <w:vAlign w:val="center"/>
          </w:tcPr>
          <w:p w14:paraId="28D725E2">
            <w:pPr>
              <w:widowControl/>
              <w:spacing w:line="240" w:lineRule="auto"/>
              <w:jc w:val="center"/>
              <w:textAlignment w:val="center"/>
              <w:rPr>
                <w:rFonts w:ascii="宋体" w:hAnsi="宋体" w:cs="宋体"/>
                <w:b/>
                <w:bCs/>
                <w:sz w:val="24"/>
                <w:szCs w:val="24"/>
              </w:rPr>
            </w:pPr>
            <w:r>
              <w:rPr>
                <w:rFonts w:hint="eastAsia" w:ascii="宋体" w:hAnsi="宋体" w:cs="宋体"/>
                <w:b/>
                <w:bCs/>
                <w:kern w:val="0"/>
                <w:sz w:val="24"/>
                <w:szCs w:val="24"/>
                <w:lang w:bidi="ar"/>
              </w:rPr>
              <w:t>产品</w:t>
            </w:r>
            <w:r>
              <w:rPr>
                <w:rFonts w:hint="eastAsia" w:ascii="宋体" w:hAnsi="宋体" w:cs="宋体"/>
                <w:b/>
                <w:bCs/>
                <w:kern w:val="0"/>
                <w:sz w:val="24"/>
                <w:szCs w:val="24"/>
                <w:lang w:bidi="ar"/>
              </w:rPr>
              <w:br w:type="textWrapping"/>
            </w:r>
            <w:r>
              <w:rPr>
                <w:rFonts w:hint="eastAsia" w:ascii="宋体" w:hAnsi="宋体" w:cs="宋体"/>
                <w:b/>
                <w:bCs/>
                <w:kern w:val="0"/>
                <w:sz w:val="24"/>
                <w:szCs w:val="24"/>
                <w:lang w:bidi="ar"/>
              </w:rPr>
              <w:t>名称</w:t>
            </w:r>
          </w:p>
        </w:tc>
        <w:tc>
          <w:tcPr>
            <w:tcW w:w="976" w:type="dxa"/>
            <w:tcBorders>
              <w:top w:val="single" w:color="000000" w:sz="4" w:space="0"/>
              <w:left w:val="single" w:color="000000" w:sz="4" w:space="0"/>
              <w:bottom w:val="single" w:color="000000" w:sz="4" w:space="0"/>
              <w:right w:val="single" w:color="000000" w:sz="4" w:space="0"/>
            </w:tcBorders>
            <w:vAlign w:val="center"/>
          </w:tcPr>
          <w:p w14:paraId="116157CA">
            <w:pPr>
              <w:widowControl/>
              <w:spacing w:line="240" w:lineRule="auto"/>
              <w:jc w:val="center"/>
              <w:textAlignment w:val="center"/>
              <w:rPr>
                <w:rFonts w:ascii="宋体" w:hAnsi="宋体" w:cs="宋体"/>
                <w:b/>
                <w:bCs/>
                <w:sz w:val="24"/>
                <w:szCs w:val="24"/>
              </w:rPr>
            </w:pPr>
            <w:r>
              <w:rPr>
                <w:rFonts w:hint="eastAsia" w:ascii="宋体" w:hAnsi="宋体" w:cs="宋体"/>
                <w:b/>
                <w:bCs/>
                <w:kern w:val="0"/>
                <w:sz w:val="24"/>
                <w:szCs w:val="24"/>
                <w:lang w:bidi="ar"/>
              </w:rPr>
              <w:t>产品</w:t>
            </w:r>
            <w:r>
              <w:rPr>
                <w:rFonts w:hint="eastAsia" w:ascii="宋体" w:hAnsi="宋体" w:cs="宋体"/>
                <w:b/>
                <w:bCs/>
                <w:kern w:val="0"/>
                <w:sz w:val="24"/>
                <w:szCs w:val="24"/>
                <w:lang w:bidi="ar"/>
              </w:rPr>
              <w:br w:type="textWrapping"/>
            </w:r>
            <w:r>
              <w:rPr>
                <w:rFonts w:hint="eastAsia" w:ascii="宋体" w:hAnsi="宋体" w:cs="宋体"/>
                <w:b/>
                <w:bCs/>
                <w:kern w:val="0"/>
                <w:sz w:val="24"/>
                <w:szCs w:val="24"/>
                <w:lang w:bidi="ar"/>
              </w:rPr>
              <w:t>规格</w:t>
            </w:r>
          </w:p>
        </w:tc>
        <w:tc>
          <w:tcPr>
            <w:tcW w:w="7450" w:type="dxa"/>
            <w:tcBorders>
              <w:top w:val="single" w:color="000000" w:sz="4" w:space="0"/>
              <w:left w:val="single" w:color="000000" w:sz="4" w:space="0"/>
              <w:bottom w:val="single" w:color="000000" w:sz="4" w:space="0"/>
              <w:right w:val="single" w:color="000000" w:sz="4" w:space="0"/>
            </w:tcBorders>
            <w:vAlign w:val="center"/>
          </w:tcPr>
          <w:p w14:paraId="27D03C88">
            <w:pPr>
              <w:widowControl/>
              <w:spacing w:line="240" w:lineRule="auto"/>
              <w:jc w:val="center"/>
              <w:textAlignment w:val="center"/>
              <w:rPr>
                <w:rFonts w:ascii="宋体" w:hAnsi="宋体" w:cs="宋体"/>
                <w:b/>
                <w:bCs/>
                <w:sz w:val="24"/>
                <w:szCs w:val="24"/>
              </w:rPr>
            </w:pPr>
            <w:r>
              <w:rPr>
                <w:rFonts w:hint="eastAsia" w:ascii="宋体" w:hAnsi="宋体" w:cs="宋体"/>
                <w:b/>
                <w:bCs/>
                <w:kern w:val="0"/>
                <w:sz w:val="24"/>
                <w:szCs w:val="24"/>
                <w:lang w:bidi="ar"/>
              </w:rPr>
              <w:t>技术参数及制作要求</w:t>
            </w:r>
          </w:p>
        </w:tc>
      </w:tr>
      <w:tr w14:paraId="547F6AE7">
        <w:tblPrEx>
          <w:tblCellMar>
            <w:top w:w="0" w:type="dxa"/>
            <w:left w:w="108" w:type="dxa"/>
            <w:bottom w:w="0" w:type="dxa"/>
            <w:right w:w="108" w:type="dxa"/>
          </w:tblCellMar>
        </w:tblPrEx>
        <w:tc>
          <w:tcPr>
            <w:tcW w:w="468" w:type="dxa"/>
            <w:tcBorders>
              <w:top w:val="single" w:color="000000" w:sz="4" w:space="0"/>
              <w:left w:val="single" w:color="000000" w:sz="4" w:space="0"/>
              <w:bottom w:val="single" w:color="000000" w:sz="4" w:space="0"/>
              <w:right w:val="single" w:color="000000" w:sz="4" w:space="0"/>
            </w:tcBorders>
            <w:noWrap/>
            <w:vAlign w:val="center"/>
          </w:tcPr>
          <w:p w14:paraId="47E92710">
            <w:pPr>
              <w:widowControl/>
              <w:spacing w:line="240" w:lineRule="auto"/>
              <w:jc w:val="center"/>
              <w:textAlignment w:val="center"/>
              <w:rPr>
                <w:rFonts w:ascii="宋体" w:hAnsi="宋体" w:cs="宋体"/>
                <w:sz w:val="24"/>
                <w:szCs w:val="24"/>
              </w:rPr>
            </w:pPr>
            <w:r>
              <w:rPr>
                <w:rFonts w:hint="eastAsia" w:ascii="宋体" w:hAnsi="宋体" w:cs="宋体"/>
                <w:kern w:val="0"/>
                <w:sz w:val="24"/>
                <w:szCs w:val="24"/>
                <w:lang w:bidi="ar"/>
              </w:rPr>
              <w:t>1</w:t>
            </w:r>
          </w:p>
        </w:tc>
        <w:tc>
          <w:tcPr>
            <w:tcW w:w="721" w:type="dxa"/>
            <w:tcBorders>
              <w:top w:val="single" w:color="000000" w:sz="4" w:space="0"/>
              <w:left w:val="single" w:color="000000" w:sz="4" w:space="0"/>
              <w:bottom w:val="single" w:color="000000" w:sz="4" w:space="0"/>
              <w:right w:val="single" w:color="000000" w:sz="4" w:space="0"/>
            </w:tcBorders>
            <w:vAlign w:val="center"/>
          </w:tcPr>
          <w:p w14:paraId="0AF1AB50">
            <w:pPr>
              <w:widowControl/>
              <w:spacing w:line="240" w:lineRule="auto"/>
              <w:jc w:val="center"/>
              <w:textAlignment w:val="center"/>
              <w:rPr>
                <w:rFonts w:ascii="宋体" w:hAnsi="宋体" w:cs="宋体"/>
                <w:sz w:val="24"/>
                <w:szCs w:val="24"/>
              </w:rPr>
            </w:pPr>
            <w:r>
              <w:rPr>
                <w:rFonts w:hint="eastAsia" w:ascii="宋体" w:hAnsi="宋体" w:cs="宋体"/>
                <w:sz w:val="24"/>
                <w:szCs w:val="24"/>
              </w:rPr>
              <w:t>遮光窗帘</w:t>
            </w:r>
          </w:p>
        </w:tc>
        <w:tc>
          <w:tcPr>
            <w:tcW w:w="976" w:type="dxa"/>
            <w:tcBorders>
              <w:top w:val="single" w:color="000000" w:sz="4" w:space="0"/>
              <w:left w:val="single" w:color="000000" w:sz="4" w:space="0"/>
              <w:bottom w:val="single" w:color="000000" w:sz="4" w:space="0"/>
              <w:right w:val="single" w:color="000000" w:sz="4" w:space="0"/>
            </w:tcBorders>
            <w:vAlign w:val="center"/>
          </w:tcPr>
          <w:p w14:paraId="5E2D6D7C">
            <w:pPr>
              <w:widowControl/>
              <w:spacing w:line="240" w:lineRule="auto"/>
              <w:jc w:val="center"/>
              <w:textAlignment w:val="center"/>
              <w:rPr>
                <w:rFonts w:ascii="宋体" w:hAnsi="宋体" w:cs="宋体"/>
                <w:sz w:val="24"/>
                <w:szCs w:val="24"/>
              </w:rPr>
            </w:pPr>
            <w:r>
              <w:rPr>
                <w:rFonts w:hint="eastAsia" w:ascii="宋体" w:hAnsi="宋体" w:cs="宋体"/>
                <w:kern w:val="0"/>
                <w:sz w:val="24"/>
                <w:szCs w:val="24"/>
                <w:lang w:bidi="ar"/>
              </w:rPr>
              <w:t>定制</w:t>
            </w:r>
          </w:p>
        </w:tc>
        <w:tc>
          <w:tcPr>
            <w:tcW w:w="7450" w:type="dxa"/>
            <w:tcBorders>
              <w:top w:val="single" w:color="000000" w:sz="4" w:space="0"/>
              <w:left w:val="single" w:color="000000" w:sz="4" w:space="0"/>
              <w:bottom w:val="single" w:color="000000" w:sz="4" w:space="0"/>
              <w:right w:val="single" w:color="000000" w:sz="4" w:space="0"/>
            </w:tcBorders>
            <w:vAlign w:val="center"/>
          </w:tcPr>
          <w:p w14:paraId="5E3AC5A1">
            <w:pPr>
              <w:widowControl/>
              <w:spacing w:line="240" w:lineRule="auto"/>
              <w:textAlignment w:val="center"/>
              <w:rPr>
                <w:rFonts w:ascii="宋体" w:hAnsi="宋体" w:cs="宋体"/>
                <w:b/>
                <w:bCs/>
                <w:kern w:val="0"/>
                <w:sz w:val="24"/>
                <w:szCs w:val="24"/>
                <w:highlight w:val="none"/>
                <w:u w:val="single"/>
                <w:lang w:bidi="ar"/>
              </w:rPr>
            </w:pPr>
            <w:r>
              <w:rPr>
                <w:rFonts w:hint="eastAsia" w:ascii="宋体" w:hAnsi="宋体" w:cs="宋体"/>
                <w:b/>
                <w:bCs/>
                <w:kern w:val="0"/>
                <w:sz w:val="24"/>
                <w:szCs w:val="24"/>
                <w:lang w:bidi="ar"/>
              </w:rPr>
              <w:t>窗帘：</w:t>
            </w:r>
            <w:r>
              <w:rPr>
                <w:rFonts w:hint="eastAsia" w:ascii="宋体" w:hAnsi="宋体" w:cs="宋体"/>
                <w:kern w:val="0"/>
                <w:sz w:val="24"/>
                <w:szCs w:val="24"/>
                <w:lang w:bidi="ar"/>
              </w:rPr>
              <w:br w:type="textWrapping"/>
            </w:r>
            <w:r>
              <w:rPr>
                <w:rFonts w:hint="eastAsia" w:ascii="宋体" w:hAnsi="宋体" w:cs="宋体"/>
                <w:kern w:val="0"/>
                <w:sz w:val="24"/>
                <w:szCs w:val="24"/>
                <w:lang w:bidi="ar"/>
              </w:rPr>
              <w:t>1.质量要求</w:t>
            </w:r>
            <w:r>
              <w:rPr>
                <w:rFonts w:hint="eastAsia" w:ascii="宋体" w:hAnsi="宋体" w:cs="宋体"/>
                <w:kern w:val="0"/>
                <w:sz w:val="24"/>
                <w:szCs w:val="24"/>
                <w:lang w:bidi="ar"/>
              </w:rPr>
              <w:br w:type="textWrapping"/>
            </w:r>
            <w:r>
              <w:rPr>
                <w:rFonts w:hint="eastAsia" w:ascii="宋体" w:hAnsi="宋体" w:cs="宋体"/>
                <w:b/>
                <w:bCs/>
                <w:kern w:val="0"/>
                <w:sz w:val="24"/>
                <w:szCs w:val="24"/>
                <w:highlight w:val="none"/>
                <w:u w:val="single"/>
                <w:lang w:val="en-US" w:eastAsia="zh-CN" w:bidi="ar"/>
              </w:rPr>
              <w:t>1.1</w:t>
            </w:r>
            <w:r>
              <w:rPr>
                <w:rFonts w:hint="eastAsia" w:ascii="宋体" w:hAnsi="宋体" w:cs="宋体"/>
                <w:b/>
                <w:bCs/>
                <w:kern w:val="0"/>
                <w:sz w:val="24"/>
                <w:szCs w:val="24"/>
                <w:highlight w:val="none"/>
                <w:u w:val="single"/>
                <w:lang w:bidi="ar"/>
              </w:rPr>
              <w:t>纤维成分：聚酯纤维≥96%；</w:t>
            </w:r>
          </w:p>
          <w:p w14:paraId="58000F6E">
            <w:pPr>
              <w:widowControl/>
              <w:spacing w:line="240" w:lineRule="auto"/>
              <w:textAlignment w:val="center"/>
              <w:rPr>
                <w:rFonts w:ascii="宋体" w:hAnsi="宋体" w:cs="宋体"/>
                <w:kern w:val="0"/>
                <w:sz w:val="24"/>
                <w:szCs w:val="24"/>
                <w:highlight w:val="none"/>
                <w:lang w:bidi="ar"/>
              </w:rPr>
            </w:pPr>
            <w:r>
              <w:rPr>
                <w:rFonts w:hint="eastAsia" w:ascii="宋体" w:hAnsi="宋体" w:cs="宋体"/>
                <w:b/>
                <w:bCs/>
                <w:kern w:val="0"/>
                <w:sz w:val="24"/>
                <w:szCs w:val="24"/>
                <w:highlight w:val="none"/>
                <w:u w:val="single"/>
                <w:lang w:val="en-US" w:eastAsia="zh-CN" w:bidi="ar"/>
              </w:rPr>
              <w:t>1.2</w:t>
            </w:r>
            <w:r>
              <w:rPr>
                <w:rFonts w:hint="eastAsia" w:ascii="宋体" w:hAnsi="宋体" w:cs="宋体"/>
                <w:b/>
                <w:bCs/>
                <w:kern w:val="0"/>
                <w:sz w:val="24"/>
                <w:szCs w:val="24"/>
                <w:highlight w:val="none"/>
                <w:u w:val="single"/>
                <w:lang w:bidi="ar"/>
              </w:rPr>
              <w:t>单位面积质量≥300g/㎡</w:t>
            </w:r>
            <w:r>
              <w:rPr>
                <w:rFonts w:hint="eastAsia" w:ascii="宋体" w:hAnsi="宋体" w:cs="宋体"/>
                <w:kern w:val="0"/>
                <w:sz w:val="24"/>
                <w:szCs w:val="24"/>
                <w:highlight w:val="none"/>
                <w:lang w:bidi="ar"/>
              </w:rPr>
              <w:t>；</w:t>
            </w:r>
          </w:p>
          <w:p w14:paraId="1A0A14C0">
            <w:pPr>
              <w:widowControl/>
              <w:spacing w:line="240" w:lineRule="auto"/>
              <w:textAlignment w:val="center"/>
              <w:rPr>
                <w:rFonts w:ascii="宋体" w:hAnsi="宋体" w:cs="宋体"/>
                <w:kern w:val="0"/>
                <w:sz w:val="24"/>
                <w:szCs w:val="24"/>
                <w:highlight w:val="none"/>
                <w:lang w:bidi="ar"/>
              </w:rPr>
            </w:pPr>
            <w:r>
              <w:rPr>
                <w:rFonts w:hint="eastAsia" w:ascii="宋体" w:hAnsi="宋体" w:cs="宋体"/>
                <w:kern w:val="0"/>
                <w:sz w:val="24"/>
                <w:szCs w:val="24"/>
                <w:highlight w:val="none"/>
                <w:lang w:val="en-US" w:eastAsia="zh-CN" w:bidi="ar"/>
              </w:rPr>
              <w:t>1.3</w:t>
            </w:r>
            <w:r>
              <w:rPr>
                <w:rFonts w:hint="eastAsia" w:ascii="宋体" w:hAnsi="宋体" w:cs="宋体"/>
                <w:kern w:val="0"/>
                <w:sz w:val="24"/>
                <w:szCs w:val="24"/>
                <w:highlight w:val="none"/>
                <w:lang w:bidi="ar"/>
              </w:rPr>
              <w:t>断裂强力经向≥2300N，纬向≥1430N，撕破强力经向≥40N，纬向≥125N；</w:t>
            </w:r>
          </w:p>
          <w:p w14:paraId="5342354E">
            <w:pPr>
              <w:widowControl/>
              <w:spacing w:line="240" w:lineRule="auto"/>
              <w:textAlignment w:val="center"/>
              <w:rPr>
                <w:rFonts w:ascii="宋体" w:hAnsi="宋体" w:cs="宋体"/>
                <w:b/>
                <w:bCs/>
                <w:kern w:val="0"/>
                <w:sz w:val="24"/>
                <w:szCs w:val="24"/>
                <w:highlight w:val="none"/>
                <w:u w:val="single"/>
                <w:lang w:bidi="ar"/>
              </w:rPr>
            </w:pPr>
            <w:r>
              <w:rPr>
                <w:rFonts w:hint="eastAsia" w:ascii="宋体" w:hAnsi="宋体" w:cs="宋体"/>
                <w:b/>
                <w:bCs/>
                <w:kern w:val="0"/>
                <w:sz w:val="24"/>
                <w:szCs w:val="24"/>
                <w:highlight w:val="none"/>
                <w:u w:val="single"/>
                <w:lang w:val="en-US" w:eastAsia="zh-CN" w:bidi="ar"/>
              </w:rPr>
              <w:t>1.4</w:t>
            </w:r>
            <w:r>
              <w:rPr>
                <w:rFonts w:hint="eastAsia" w:ascii="宋体" w:hAnsi="宋体" w:cs="宋体"/>
                <w:b/>
                <w:bCs/>
                <w:kern w:val="0"/>
                <w:sz w:val="24"/>
                <w:szCs w:val="24"/>
                <w:highlight w:val="none"/>
                <w:u w:val="single"/>
                <w:lang w:bidi="ar"/>
              </w:rPr>
              <w:t>遮光率≥95%；</w:t>
            </w:r>
          </w:p>
          <w:p w14:paraId="103E8C4E">
            <w:pPr>
              <w:widowControl/>
              <w:spacing w:line="240" w:lineRule="auto"/>
              <w:textAlignment w:val="center"/>
              <w:rPr>
                <w:rFonts w:ascii="宋体" w:hAnsi="宋体" w:cs="宋体"/>
                <w:kern w:val="0"/>
                <w:sz w:val="24"/>
                <w:szCs w:val="24"/>
                <w:lang w:bidi="ar"/>
              </w:rPr>
            </w:pPr>
            <w:r>
              <w:rPr>
                <w:rFonts w:hint="eastAsia" w:ascii="宋体" w:hAnsi="宋体" w:cs="宋体"/>
                <w:kern w:val="0"/>
                <w:sz w:val="24"/>
                <w:szCs w:val="24"/>
                <w:lang w:val="en-US" w:eastAsia="zh-CN" w:bidi="ar"/>
              </w:rPr>
              <w:t>1.5</w:t>
            </w:r>
            <w:r>
              <w:rPr>
                <w:rFonts w:hint="eastAsia" w:ascii="宋体" w:hAnsi="宋体" w:cs="宋体"/>
                <w:kern w:val="0"/>
                <w:sz w:val="24"/>
                <w:szCs w:val="24"/>
                <w:lang w:bidi="ar"/>
              </w:rPr>
              <w:t>抗污性能≥4级；</w:t>
            </w:r>
          </w:p>
          <w:p w14:paraId="0D2AFF07">
            <w:pPr>
              <w:widowControl/>
              <w:spacing w:line="240" w:lineRule="auto"/>
              <w:textAlignment w:val="center"/>
              <w:rPr>
                <w:rFonts w:ascii="宋体" w:hAnsi="宋体" w:cs="宋体"/>
                <w:kern w:val="0"/>
                <w:sz w:val="24"/>
                <w:szCs w:val="24"/>
                <w:lang w:bidi="ar"/>
              </w:rPr>
            </w:pPr>
            <w:r>
              <w:rPr>
                <w:rFonts w:hint="eastAsia" w:ascii="宋体" w:hAnsi="宋体" w:cs="宋体"/>
                <w:b/>
                <w:bCs/>
                <w:kern w:val="0"/>
                <w:sz w:val="24"/>
                <w:szCs w:val="24"/>
                <w:u w:val="single"/>
                <w:lang w:val="en-US" w:eastAsia="zh-CN" w:bidi="ar"/>
              </w:rPr>
              <w:t>1.6</w:t>
            </w:r>
            <w:r>
              <w:rPr>
                <w:rFonts w:hint="eastAsia" w:ascii="宋体" w:hAnsi="宋体" w:cs="宋体"/>
                <w:b/>
                <w:bCs/>
                <w:kern w:val="0"/>
                <w:sz w:val="24"/>
                <w:szCs w:val="24"/>
                <w:u w:val="single"/>
                <w:lang w:bidi="ar"/>
              </w:rPr>
              <w:t>水洗尺寸变化率经纬向-4%～+3%，干洗尺寸变化率经纬向-4%～+3%；</w:t>
            </w:r>
          </w:p>
          <w:p w14:paraId="6AD2C03F">
            <w:pPr>
              <w:widowControl/>
              <w:spacing w:line="240" w:lineRule="auto"/>
              <w:textAlignment w:val="center"/>
              <w:rPr>
                <w:rFonts w:hint="eastAsia" w:ascii="宋体" w:hAnsi="宋体" w:cs="宋体"/>
                <w:kern w:val="0"/>
                <w:sz w:val="24"/>
                <w:szCs w:val="24"/>
                <w:lang w:bidi="ar"/>
              </w:rPr>
            </w:pPr>
            <w:r>
              <w:rPr>
                <w:rFonts w:hint="eastAsia" w:ascii="宋体" w:hAnsi="宋体" w:cs="宋体"/>
                <w:kern w:val="0"/>
                <w:sz w:val="24"/>
                <w:szCs w:val="24"/>
                <w:lang w:val="en-US" w:eastAsia="zh-CN" w:bidi="ar"/>
              </w:rPr>
              <w:t>1.7</w:t>
            </w:r>
            <w:r>
              <w:rPr>
                <w:rFonts w:hint="eastAsia" w:ascii="宋体" w:hAnsi="宋体" w:cs="宋体"/>
                <w:kern w:val="0"/>
                <w:sz w:val="24"/>
                <w:szCs w:val="24"/>
                <w:lang w:bidi="ar"/>
              </w:rPr>
              <w:t>耐光色牢度≥</w:t>
            </w:r>
            <w:r>
              <w:rPr>
                <w:rFonts w:hint="eastAsia" w:ascii="宋体" w:hAnsi="宋体" w:cs="宋体"/>
                <w:kern w:val="0"/>
                <w:sz w:val="24"/>
                <w:szCs w:val="24"/>
                <w:lang w:val="en-US" w:eastAsia="zh-CN" w:bidi="ar"/>
              </w:rPr>
              <w:t>5</w:t>
            </w:r>
            <w:r>
              <w:rPr>
                <w:rFonts w:hint="eastAsia" w:ascii="宋体" w:hAnsi="宋体" w:cs="宋体"/>
                <w:kern w:val="0"/>
                <w:sz w:val="24"/>
                <w:szCs w:val="24"/>
                <w:lang w:bidi="ar"/>
              </w:rPr>
              <w:t>级，耐皂洗色牢度≥3级，耐热压色牢度≥3级。</w:t>
            </w:r>
          </w:p>
          <w:p w14:paraId="6637F306">
            <w:pPr>
              <w:widowControl/>
              <w:spacing w:line="240" w:lineRule="auto"/>
              <w:textAlignment w:val="center"/>
              <w:rPr>
                <w:rFonts w:ascii="宋体" w:hAnsi="宋体" w:cs="宋体"/>
                <w:kern w:val="0"/>
                <w:sz w:val="24"/>
                <w:szCs w:val="24"/>
                <w:lang w:bidi="ar"/>
              </w:rPr>
            </w:pPr>
            <w:r>
              <w:rPr>
                <w:rFonts w:hint="eastAsia" w:ascii="宋体" w:hAnsi="宋体" w:cs="宋体"/>
                <w:kern w:val="0"/>
                <w:sz w:val="24"/>
                <w:szCs w:val="24"/>
                <w:lang w:bidi="ar"/>
              </w:rPr>
              <w:br w:type="textWrapping"/>
            </w:r>
            <w:r>
              <w:rPr>
                <w:rFonts w:hint="eastAsia" w:ascii="宋体" w:hAnsi="宋体" w:cs="宋体"/>
                <w:b/>
                <w:bCs/>
                <w:kern w:val="0"/>
                <w:sz w:val="24"/>
                <w:szCs w:val="24"/>
                <w:u w:val="single"/>
                <w:lang w:bidi="ar"/>
              </w:rPr>
              <w:t>2.阻燃要求：符合GB 8624-2012 B1级。</w:t>
            </w:r>
            <w:r>
              <w:rPr>
                <w:rFonts w:hint="eastAsia" w:ascii="宋体" w:hAnsi="宋体" w:cs="宋体"/>
                <w:b/>
                <w:bCs/>
                <w:kern w:val="0"/>
                <w:sz w:val="24"/>
                <w:szCs w:val="24"/>
                <w:u w:val="single"/>
                <w:lang w:bidi="ar"/>
              </w:rPr>
              <w:br w:type="textWrapping"/>
            </w:r>
            <w:r>
              <w:rPr>
                <w:rFonts w:hint="eastAsia" w:ascii="宋体" w:hAnsi="宋体" w:cs="宋体"/>
                <w:b/>
                <w:bCs/>
                <w:kern w:val="0"/>
                <w:sz w:val="24"/>
                <w:szCs w:val="24"/>
                <w:u w:val="single"/>
                <w:lang w:bidi="ar"/>
              </w:rPr>
              <w:t>3.绿色环保要求：甲醛含量≤20mg/kg，</w:t>
            </w:r>
            <w:r>
              <w:rPr>
                <w:rFonts w:hint="eastAsia" w:ascii="宋体" w:hAnsi="宋体" w:cs="宋体"/>
                <w:b/>
                <w:bCs/>
                <w:kern w:val="0"/>
                <w:sz w:val="24"/>
                <w:szCs w:val="24"/>
                <w:u w:val="single"/>
                <w:lang w:val="en-US" w:eastAsia="zh-CN" w:bidi="ar"/>
              </w:rPr>
              <w:t>其它参数达到</w:t>
            </w:r>
            <w:r>
              <w:rPr>
                <w:rFonts w:hint="eastAsia" w:ascii="宋体" w:hAnsi="宋体" w:cs="宋体"/>
                <w:b/>
                <w:bCs/>
                <w:kern w:val="0"/>
                <w:sz w:val="24"/>
                <w:szCs w:val="24"/>
                <w:u w:val="single"/>
                <w:lang w:bidi="ar"/>
              </w:rPr>
              <w:t>符合GB 18401-2010 C类</w:t>
            </w:r>
            <w:r>
              <w:rPr>
                <w:rFonts w:hint="eastAsia" w:ascii="宋体" w:hAnsi="宋体" w:cs="宋体"/>
                <w:b/>
                <w:bCs/>
                <w:kern w:val="0"/>
                <w:sz w:val="24"/>
                <w:szCs w:val="24"/>
                <w:u w:val="single"/>
                <w:lang w:val="en-US" w:eastAsia="zh-CN" w:bidi="ar"/>
              </w:rPr>
              <w:t>标准</w:t>
            </w:r>
            <w:r>
              <w:rPr>
                <w:rFonts w:hint="eastAsia" w:ascii="宋体" w:hAnsi="宋体" w:cs="宋体"/>
                <w:b/>
                <w:bCs/>
                <w:kern w:val="0"/>
                <w:sz w:val="24"/>
                <w:szCs w:val="24"/>
                <w:u w:val="single"/>
                <w:lang w:bidi="ar"/>
              </w:rPr>
              <w:t>；</w:t>
            </w:r>
            <w:r>
              <w:rPr>
                <w:rFonts w:hint="eastAsia" w:ascii="宋体" w:hAnsi="宋体" w:cs="宋体"/>
                <w:kern w:val="0"/>
                <w:sz w:val="24"/>
                <w:szCs w:val="24"/>
                <w:lang w:bidi="ar"/>
              </w:rPr>
              <w:br w:type="textWrapping"/>
            </w:r>
            <w:r>
              <w:rPr>
                <w:rFonts w:hint="eastAsia" w:ascii="宋体" w:hAnsi="宋体" w:cs="宋体"/>
                <w:kern w:val="0"/>
                <w:sz w:val="24"/>
                <w:szCs w:val="24"/>
                <w:lang w:val="en-US" w:eastAsia="zh-CN" w:bidi="ar"/>
              </w:rPr>
              <w:t>4</w:t>
            </w:r>
            <w:r>
              <w:rPr>
                <w:rFonts w:hint="eastAsia" w:ascii="宋体" w:hAnsi="宋体" w:cs="宋体"/>
                <w:kern w:val="0"/>
                <w:sz w:val="24"/>
                <w:szCs w:val="24"/>
                <w:lang w:bidi="ar"/>
              </w:rPr>
              <w:t>.工艺制作要求</w:t>
            </w:r>
            <w:r>
              <w:rPr>
                <w:rFonts w:hint="eastAsia" w:ascii="宋体" w:hAnsi="宋体" w:cs="宋体"/>
                <w:kern w:val="0"/>
                <w:sz w:val="24"/>
                <w:szCs w:val="24"/>
                <w:lang w:bidi="ar"/>
              </w:rPr>
              <w:br w:type="textWrapping"/>
            </w:r>
            <w:r>
              <w:rPr>
                <w:rFonts w:hint="eastAsia" w:ascii="宋体" w:hAnsi="宋体" w:cs="宋体"/>
                <w:kern w:val="0"/>
                <w:sz w:val="24"/>
                <w:szCs w:val="24"/>
                <w:lang w:val="en-US" w:eastAsia="zh-CN" w:bidi="ar"/>
              </w:rPr>
              <w:t>4</w:t>
            </w:r>
            <w:r>
              <w:rPr>
                <w:rFonts w:hint="eastAsia" w:ascii="宋体" w:hAnsi="宋体" w:cs="宋体"/>
                <w:kern w:val="0"/>
                <w:sz w:val="24"/>
                <w:szCs w:val="24"/>
                <w:lang w:bidi="ar"/>
              </w:rPr>
              <w:t>.1.针迹大小一致，缝纫线条笔直流畅，无跳针、漏针现象。</w:t>
            </w:r>
          </w:p>
          <w:p w14:paraId="36CBD049">
            <w:pPr>
              <w:widowControl/>
              <w:spacing w:line="240" w:lineRule="auto"/>
              <w:textAlignment w:val="center"/>
              <w:rPr>
                <w:rFonts w:ascii="宋体" w:hAnsi="宋体" w:cs="宋体"/>
                <w:kern w:val="0"/>
                <w:sz w:val="24"/>
                <w:szCs w:val="24"/>
                <w:lang w:bidi="ar"/>
              </w:rPr>
            </w:pPr>
            <w:r>
              <w:rPr>
                <w:rFonts w:hint="eastAsia" w:ascii="宋体" w:hAnsi="宋体" w:cs="宋体"/>
                <w:kern w:val="0"/>
                <w:sz w:val="24"/>
                <w:szCs w:val="24"/>
                <w:lang w:val="en-US" w:eastAsia="zh-CN" w:bidi="ar"/>
              </w:rPr>
              <w:t>4</w:t>
            </w:r>
            <w:r>
              <w:rPr>
                <w:rFonts w:hint="eastAsia" w:ascii="宋体" w:hAnsi="宋体" w:cs="宋体"/>
                <w:kern w:val="0"/>
                <w:sz w:val="24"/>
                <w:szCs w:val="24"/>
                <w:lang w:bidi="ar"/>
              </w:rPr>
              <w:t>.2.</w:t>
            </w:r>
            <w:r>
              <w:rPr>
                <w:rFonts w:hint="eastAsia" w:ascii="宋体" w:hAnsi="宋体" w:cs="宋体"/>
                <w:kern w:val="0"/>
                <w:sz w:val="24"/>
                <w:szCs w:val="24"/>
                <w:highlight w:val="none"/>
                <w:lang w:bidi="ar"/>
              </w:rPr>
              <w:t>褶皱按照1:1.8倍，</w:t>
            </w:r>
            <w:r>
              <w:rPr>
                <w:rFonts w:hint="eastAsia" w:ascii="宋体" w:hAnsi="宋体" w:cs="宋体"/>
                <w:kern w:val="0"/>
                <w:sz w:val="24"/>
                <w:szCs w:val="24"/>
                <w:lang w:bidi="ar"/>
              </w:rPr>
              <w:t>顶部卷边双层约10cm，底部卷边双层约10cm ，左右卷边各约3cm。</w:t>
            </w:r>
          </w:p>
          <w:p w14:paraId="31D932E8">
            <w:pPr>
              <w:widowControl/>
              <w:spacing w:line="240" w:lineRule="auto"/>
              <w:textAlignment w:val="center"/>
              <w:rPr>
                <w:rFonts w:ascii="宋体" w:hAnsi="宋体" w:cs="宋体"/>
                <w:kern w:val="0"/>
                <w:sz w:val="24"/>
                <w:szCs w:val="24"/>
                <w:lang w:bidi="ar"/>
              </w:rPr>
            </w:pPr>
            <w:r>
              <w:rPr>
                <w:rFonts w:hint="eastAsia" w:ascii="宋体" w:hAnsi="宋体" w:cs="宋体"/>
                <w:kern w:val="0"/>
                <w:sz w:val="24"/>
                <w:szCs w:val="24"/>
                <w:lang w:val="en-US" w:eastAsia="zh-CN" w:bidi="ar"/>
              </w:rPr>
              <w:t>4</w:t>
            </w:r>
            <w:r>
              <w:rPr>
                <w:rFonts w:hint="eastAsia" w:ascii="宋体" w:hAnsi="宋体" w:cs="宋体"/>
                <w:kern w:val="0"/>
                <w:sz w:val="24"/>
                <w:szCs w:val="24"/>
                <w:lang w:bidi="ar"/>
              </w:rPr>
              <w:t>.3.挂钩采用不锈钢S型挂钩，布帘须在锅炉内进行高温杀菌及真空定型处理，经过高温整烫定型。</w:t>
            </w:r>
          </w:p>
          <w:p w14:paraId="37FEF3E3">
            <w:pPr>
              <w:widowControl/>
              <w:spacing w:line="240" w:lineRule="auto"/>
              <w:textAlignment w:val="center"/>
              <w:rPr>
                <w:rFonts w:ascii="宋体" w:hAnsi="宋体" w:cs="宋体"/>
                <w:kern w:val="0"/>
                <w:sz w:val="24"/>
                <w:szCs w:val="24"/>
                <w:lang w:bidi="ar"/>
              </w:rPr>
            </w:pPr>
            <w:r>
              <w:rPr>
                <w:rFonts w:hint="eastAsia" w:ascii="宋体" w:hAnsi="宋体" w:cs="宋体"/>
                <w:kern w:val="0"/>
                <w:sz w:val="24"/>
                <w:szCs w:val="24"/>
                <w:lang w:bidi="ar"/>
              </w:rPr>
              <w:br w:type="textWrapping"/>
            </w:r>
            <w:r>
              <w:rPr>
                <w:rFonts w:hint="eastAsia" w:ascii="宋体" w:hAnsi="宋体" w:cs="宋体"/>
                <w:b/>
                <w:bCs/>
                <w:kern w:val="0"/>
                <w:sz w:val="24"/>
                <w:szCs w:val="24"/>
                <w:lang w:bidi="ar"/>
              </w:rPr>
              <w:t>窗帘布带：</w:t>
            </w:r>
            <w:r>
              <w:rPr>
                <w:rFonts w:hint="eastAsia" w:ascii="宋体" w:hAnsi="宋体" w:cs="宋体"/>
                <w:kern w:val="0"/>
                <w:sz w:val="24"/>
                <w:szCs w:val="24"/>
                <w:lang w:bidi="ar"/>
              </w:rPr>
              <w:br w:type="textWrapping"/>
            </w:r>
            <w:r>
              <w:rPr>
                <w:rFonts w:hint="eastAsia" w:ascii="宋体" w:hAnsi="宋体" w:cs="宋体"/>
                <w:kern w:val="0"/>
                <w:sz w:val="24"/>
                <w:szCs w:val="24"/>
                <w:lang w:bidi="ar"/>
              </w:rPr>
              <w:t>1.成分：100%聚酯纤维；</w:t>
            </w:r>
          </w:p>
          <w:p w14:paraId="4144085D">
            <w:pPr>
              <w:widowControl/>
              <w:spacing w:line="240" w:lineRule="auto"/>
              <w:textAlignment w:val="center"/>
              <w:rPr>
                <w:rFonts w:ascii="宋体" w:hAnsi="宋体" w:cs="宋体"/>
                <w:kern w:val="0"/>
                <w:sz w:val="24"/>
                <w:szCs w:val="24"/>
                <w:lang w:bidi="ar"/>
              </w:rPr>
            </w:pPr>
            <w:r>
              <w:rPr>
                <w:rFonts w:hint="eastAsia" w:ascii="宋体" w:hAnsi="宋体" w:cs="宋体"/>
                <w:kern w:val="0"/>
                <w:sz w:val="24"/>
                <w:szCs w:val="24"/>
                <w:lang w:bidi="ar"/>
              </w:rPr>
              <w:t>２.单位面积质量≥300g/㎡；</w:t>
            </w:r>
          </w:p>
          <w:p w14:paraId="697E1A2E">
            <w:pPr>
              <w:widowControl/>
              <w:spacing w:line="240" w:lineRule="auto"/>
              <w:textAlignment w:val="center"/>
              <w:rPr>
                <w:rFonts w:ascii="宋体" w:hAnsi="宋体" w:cs="宋体"/>
                <w:kern w:val="0"/>
                <w:sz w:val="24"/>
                <w:szCs w:val="24"/>
                <w:lang w:bidi="ar"/>
              </w:rPr>
            </w:pPr>
            <w:r>
              <w:rPr>
                <w:rFonts w:hint="eastAsia" w:ascii="宋体" w:hAnsi="宋体" w:cs="宋体"/>
                <w:kern w:val="0"/>
                <w:sz w:val="24"/>
                <w:szCs w:val="24"/>
                <w:lang w:bidi="ar"/>
              </w:rPr>
              <w:t>3.耐热压色牢度≥3级；</w:t>
            </w:r>
          </w:p>
          <w:p w14:paraId="36199A95">
            <w:pPr>
              <w:widowControl/>
              <w:spacing w:line="240" w:lineRule="auto"/>
              <w:textAlignment w:val="center"/>
              <w:rPr>
                <w:rFonts w:ascii="宋体" w:hAnsi="宋体" w:cs="宋体"/>
                <w:kern w:val="0"/>
                <w:sz w:val="24"/>
                <w:szCs w:val="24"/>
                <w:lang w:bidi="ar"/>
              </w:rPr>
            </w:pPr>
            <w:r>
              <w:rPr>
                <w:rFonts w:hint="eastAsia" w:ascii="宋体" w:hAnsi="宋体" w:cs="宋体"/>
                <w:kern w:val="0"/>
                <w:sz w:val="24"/>
                <w:szCs w:val="24"/>
                <w:lang w:bidi="ar"/>
              </w:rPr>
              <w:t>4.水洗尺寸变化率（%）：+2.0～-3.0；</w:t>
            </w:r>
          </w:p>
          <w:p w14:paraId="3A0ED9B9">
            <w:pPr>
              <w:widowControl/>
              <w:spacing w:line="240" w:lineRule="auto"/>
              <w:textAlignment w:val="center"/>
              <w:rPr>
                <w:rFonts w:ascii="宋体" w:hAnsi="宋体" w:cs="宋体"/>
                <w:kern w:val="0"/>
                <w:sz w:val="24"/>
                <w:szCs w:val="24"/>
                <w:lang w:bidi="ar"/>
              </w:rPr>
            </w:pPr>
            <w:r>
              <w:rPr>
                <w:rFonts w:hint="eastAsia" w:ascii="宋体" w:hAnsi="宋体" w:cs="宋体"/>
                <w:kern w:val="0"/>
                <w:sz w:val="24"/>
                <w:szCs w:val="24"/>
                <w:lang w:bidi="ar"/>
              </w:rPr>
              <w:t>5.断裂强力（N）：≥1600；</w:t>
            </w:r>
          </w:p>
          <w:p w14:paraId="7D1BE2D6">
            <w:pPr>
              <w:widowControl/>
              <w:spacing w:line="240" w:lineRule="auto"/>
              <w:textAlignment w:val="center"/>
              <w:rPr>
                <w:lang w:bidi="ar"/>
              </w:rPr>
            </w:pPr>
            <w:r>
              <w:rPr>
                <w:rFonts w:hint="eastAsia" w:ascii="宋体" w:hAnsi="宋体" w:cs="宋体"/>
                <w:b/>
                <w:bCs/>
                <w:kern w:val="0"/>
                <w:sz w:val="24"/>
                <w:szCs w:val="24"/>
                <w:u w:val="single"/>
                <w:lang w:bidi="ar"/>
              </w:rPr>
              <w:t>6.阻燃要求：符合GB 8624-2012 B1级。</w:t>
            </w:r>
          </w:p>
        </w:tc>
      </w:tr>
      <w:tr w14:paraId="09740DAB">
        <w:tblPrEx>
          <w:tblCellMar>
            <w:top w:w="0" w:type="dxa"/>
            <w:left w:w="108" w:type="dxa"/>
            <w:bottom w:w="0" w:type="dxa"/>
            <w:right w:w="108" w:type="dxa"/>
          </w:tblCellMar>
        </w:tblPrEx>
        <w:tc>
          <w:tcPr>
            <w:tcW w:w="468" w:type="dxa"/>
            <w:tcBorders>
              <w:top w:val="single" w:color="000000" w:sz="4" w:space="0"/>
              <w:left w:val="single" w:color="000000" w:sz="4" w:space="0"/>
              <w:bottom w:val="single" w:color="000000" w:sz="4" w:space="0"/>
              <w:right w:val="single" w:color="000000" w:sz="4" w:space="0"/>
            </w:tcBorders>
            <w:noWrap/>
            <w:vAlign w:val="center"/>
          </w:tcPr>
          <w:p w14:paraId="6EF8263C">
            <w:pPr>
              <w:widowControl/>
              <w:spacing w:line="240" w:lineRule="auto"/>
              <w:jc w:val="center"/>
              <w:textAlignment w:val="center"/>
              <w:rPr>
                <w:rFonts w:ascii="宋体" w:hAnsi="宋体" w:cs="宋体"/>
                <w:sz w:val="24"/>
                <w:szCs w:val="24"/>
              </w:rPr>
            </w:pPr>
            <w:r>
              <w:rPr>
                <w:rFonts w:ascii="宋体" w:hAnsi="宋体" w:cs="宋体"/>
                <w:kern w:val="0"/>
                <w:sz w:val="24"/>
                <w:szCs w:val="24"/>
                <w:lang w:bidi="ar"/>
              </w:rPr>
              <w:t>2</w:t>
            </w:r>
          </w:p>
        </w:tc>
        <w:tc>
          <w:tcPr>
            <w:tcW w:w="721" w:type="dxa"/>
            <w:tcBorders>
              <w:top w:val="single" w:color="000000" w:sz="4" w:space="0"/>
              <w:left w:val="single" w:color="000000" w:sz="4" w:space="0"/>
              <w:bottom w:val="single" w:color="000000" w:sz="4" w:space="0"/>
              <w:right w:val="single" w:color="000000" w:sz="4" w:space="0"/>
            </w:tcBorders>
            <w:vAlign w:val="center"/>
          </w:tcPr>
          <w:p w14:paraId="6D691C1A">
            <w:pPr>
              <w:widowControl/>
              <w:spacing w:line="240" w:lineRule="auto"/>
              <w:jc w:val="center"/>
              <w:textAlignment w:val="center"/>
              <w:rPr>
                <w:rFonts w:ascii="宋体" w:hAnsi="宋体" w:cs="宋体"/>
                <w:sz w:val="24"/>
                <w:szCs w:val="24"/>
              </w:rPr>
            </w:pPr>
            <w:r>
              <w:rPr>
                <w:rFonts w:hint="eastAsia" w:ascii="宋体" w:hAnsi="宋体" w:cs="宋体"/>
                <w:kern w:val="0"/>
                <w:sz w:val="24"/>
                <w:szCs w:val="24"/>
                <w:lang w:bidi="ar"/>
              </w:rPr>
              <w:t>窗帘轨道</w:t>
            </w:r>
          </w:p>
        </w:tc>
        <w:tc>
          <w:tcPr>
            <w:tcW w:w="976" w:type="dxa"/>
            <w:tcBorders>
              <w:top w:val="single" w:color="000000" w:sz="4" w:space="0"/>
              <w:left w:val="single" w:color="000000" w:sz="4" w:space="0"/>
              <w:bottom w:val="single" w:color="000000" w:sz="4" w:space="0"/>
              <w:right w:val="single" w:color="000000" w:sz="4" w:space="0"/>
            </w:tcBorders>
            <w:vAlign w:val="center"/>
          </w:tcPr>
          <w:p w14:paraId="7BD3B56B">
            <w:pPr>
              <w:widowControl/>
              <w:spacing w:line="240" w:lineRule="auto"/>
              <w:jc w:val="center"/>
              <w:textAlignment w:val="center"/>
              <w:rPr>
                <w:rFonts w:ascii="宋体" w:hAnsi="宋体" w:cs="宋体"/>
                <w:sz w:val="24"/>
                <w:szCs w:val="24"/>
              </w:rPr>
            </w:pPr>
            <w:r>
              <w:rPr>
                <w:rFonts w:hint="eastAsia" w:ascii="宋体" w:hAnsi="宋体" w:cs="宋体"/>
                <w:kern w:val="0"/>
                <w:sz w:val="24"/>
                <w:szCs w:val="24"/>
                <w:lang w:bidi="ar"/>
              </w:rPr>
              <w:t>常规</w:t>
            </w:r>
          </w:p>
        </w:tc>
        <w:tc>
          <w:tcPr>
            <w:tcW w:w="7450" w:type="dxa"/>
            <w:tcBorders>
              <w:top w:val="single" w:color="000000" w:sz="4" w:space="0"/>
              <w:left w:val="single" w:color="000000" w:sz="4" w:space="0"/>
              <w:bottom w:val="single" w:color="000000" w:sz="4" w:space="0"/>
              <w:right w:val="single" w:color="000000" w:sz="4" w:space="0"/>
            </w:tcBorders>
            <w:vAlign w:val="center"/>
          </w:tcPr>
          <w:p w14:paraId="0E392A03">
            <w:pPr>
              <w:widowControl/>
              <w:spacing w:line="240" w:lineRule="auto"/>
              <w:textAlignment w:val="center"/>
              <w:rPr>
                <w:rFonts w:ascii="宋体" w:hAnsi="宋体" w:cs="宋体"/>
                <w:kern w:val="0"/>
                <w:sz w:val="24"/>
                <w:szCs w:val="24"/>
                <w:lang w:bidi="ar"/>
              </w:rPr>
            </w:pPr>
            <w:r>
              <w:rPr>
                <w:rFonts w:hint="eastAsia" w:ascii="宋体" w:hAnsi="宋体" w:cs="宋体"/>
                <w:b/>
                <w:bCs/>
                <w:kern w:val="0"/>
                <w:sz w:val="24"/>
                <w:szCs w:val="24"/>
                <w:u w:val="single"/>
                <w:lang w:bidi="ar"/>
              </w:rPr>
              <w:t>1.采用铝合金轨道：抗拉强度≥160N，规定非比例延伸强度≥110N，断后伸长率（%）≥8。</w:t>
            </w:r>
            <w:r>
              <w:rPr>
                <w:rFonts w:hint="eastAsia" w:ascii="宋体" w:hAnsi="宋体" w:cs="宋体"/>
                <w:kern w:val="0"/>
                <w:sz w:val="24"/>
                <w:szCs w:val="24"/>
                <w:lang w:bidi="ar"/>
              </w:rPr>
              <w:t xml:space="preserve"> </w:t>
            </w:r>
          </w:p>
          <w:p w14:paraId="79AD957D">
            <w:pPr>
              <w:widowControl/>
              <w:spacing w:line="240" w:lineRule="auto"/>
              <w:textAlignment w:val="center"/>
              <w:rPr>
                <w:rFonts w:ascii="宋体" w:hAnsi="宋体" w:cs="宋体"/>
                <w:kern w:val="0"/>
                <w:sz w:val="24"/>
                <w:szCs w:val="24"/>
                <w:lang w:bidi="ar"/>
              </w:rPr>
            </w:pPr>
            <w:r>
              <w:rPr>
                <w:rFonts w:hint="eastAsia" w:ascii="宋体" w:hAnsi="宋体" w:cs="宋体"/>
                <w:kern w:val="0"/>
                <w:sz w:val="24"/>
                <w:szCs w:val="24"/>
                <w:lang w:bidi="ar"/>
              </w:rPr>
              <w:t xml:space="preserve">2.外观要求：轨道表面膜层均匀，无皱纹、裂纹、鼓泡、流痕、发粘、凹陷、暗斑、针孔、划伤、凸包等可视缺陷。 </w:t>
            </w:r>
          </w:p>
          <w:p w14:paraId="26E45044">
            <w:pPr>
              <w:widowControl/>
              <w:spacing w:line="240" w:lineRule="auto"/>
              <w:textAlignment w:val="center"/>
              <w:rPr>
                <w:rFonts w:ascii="宋体" w:hAnsi="宋体" w:cs="宋体"/>
                <w:kern w:val="0"/>
                <w:sz w:val="24"/>
                <w:szCs w:val="24"/>
                <w:lang w:bidi="ar"/>
              </w:rPr>
            </w:pPr>
            <w:r>
              <w:rPr>
                <w:rFonts w:hint="eastAsia" w:ascii="宋体" w:hAnsi="宋体" w:cs="宋体"/>
                <w:b/>
                <w:bCs/>
                <w:kern w:val="0"/>
                <w:sz w:val="24"/>
                <w:szCs w:val="24"/>
                <w:u w:val="single"/>
                <w:lang w:bidi="ar"/>
              </w:rPr>
              <w:t>3.规格尺寸要求：轨道壁厚≥1.2mm；高度≥26mm；宽度≥32mm。轨道承重≥40kg，走珠滑轮承重≥8kg。注：符合GB/T 5237.1-2017。</w:t>
            </w:r>
          </w:p>
          <w:p w14:paraId="69218904">
            <w:pPr>
              <w:widowControl/>
              <w:spacing w:line="240" w:lineRule="auto"/>
              <w:textAlignment w:val="center"/>
              <w:rPr>
                <w:rFonts w:ascii="宋体" w:hAnsi="宋体" w:cs="宋体"/>
                <w:sz w:val="24"/>
                <w:szCs w:val="24"/>
              </w:rPr>
            </w:pPr>
            <w:r>
              <w:rPr>
                <w:rFonts w:hint="eastAsia" w:ascii="宋体" w:hAnsi="宋体" w:cs="宋体"/>
                <w:kern w:val="0"/>
                <w:sz w:val="24"/>
                <w:szCs w:val="24"/>
                <w:lang w:bidi="ar"/>
              </w:rPr>
              <w:t>4.安装要求：轨道每米不低于8个走珠，安装码间距不高于80cm。</w:t>
            </w:r>
          </w:p>
        </w:tc>
      </w:tr>
      <w:bookmarkEnd w:id="0"/>
      <w:bookmarkEnd w:id="1"/>
    </w:tbl>
    <w:p w14:paraId="4834A50D">
      <w:pPr>
        <w:rPr>
          <w:rFonts w:hint="eastAsia"/>
          <w:b/>
          <w:bCs/>
          <w:sz w:val="32"/>
          <w:szCs w:val="32"/>
        </w:rPr>
      </w:pPr>
      <w:r>
        <w:rPr>
          <w:rFonts w:hint="eastAsia"/>
          <w:b/>
          <w:bCs/>
          <w:sz w:val="32"/>
          <w:szCs w:val="32"/>
        </w:rPr>
        <w:br w:type="page"/>
      </w:r>
    </w:p>
    <w:p w14:paraId="47AA2ACC">
      <w:pPr>
        <w:pStyle w:val="2"/>
        <w:jc w:val="center"/>
        <w:rPr>
          <w:b/>
          <w:bCs/>
          <w:sz w:val="32"/>
          <w:szCs w:val="32"/>
        </w:rPr>
      </w:pPr>
      <w:r>
        <w:rPr>
          <w:rFonts w:hint="eastAsia"/>
          <w:b/>
          <w:bCs/>
          <w:sz w:val="32"/>
          <w:szCs w:val="32"/>
        </w:rPr>
        <w:t>重庆工商大学货物服务类采购廉洁协议</w:t>
      </w:r>
    </w:p>
    <w:p w14:paraId="3C6F8035">
      <w:pPr>
        <w:pStyle w:val="2"/>
        <w:jc w:val="center"/>
      </w:pPr>
      <w:r>
        <w:rPr>
          <w:rFonts w:hint="eastAsia"/>
        </w:rPr>
        <w:t>（项目名称：</w:t>
      </w:r>
      <w:bookmarkStart w:id="2" w:name="_GoBack"/>
      <w:r>
        <w:rPr>
          <w:rFonts w:hint="eastAsia"/>
        </w:rPr>
        <w:t>茶园校区（一期）窗帘（第二批）采购项目</w:t>
      </w:r>
      <w:bookmarkEnd w:id="2"/>
      <w:r>
        <w:rPr>
          <w:rFonts w:hint="eastAsia"/>
        </w:rPr>
        <w:t>）</w:t>
      </w:r>
    </w:p>
    <w:p w14:paraId="281162B0">
      <w:pPr>
        <w:pStyle w:val="2"/>
        <w:jc w:val="center"/>
      </w:pPr>
      <w:r>
        <w:rPr>
          <w:rFonts w:hint="eastAsia"/>
        </w:rPr>
        <w:t>（采购计划编号：无，采购项目编号：CTBU-JZ202</w:t>
      </w:r>
      <w:r>
        <w:rPr>
          <w:rFonts w:hint="eastAsia"/>
          <w:lang w:val="en-US" w:eastAsia="zh-CN"/>
        </w:rPr>
        <w:t>6002</w:t>
      </w:r>
      <w:r>
        <w:rPr>
          <w:rFonts w:hint="eastAsia"/>
        </w:rPr>
        <w:t>）</w:t>
      </w:r>
    </w:p>
    <w:p w14:paraId="14D753BC">
      <w:pPr>
        <w:pStyle w:val="2"/>
        <w:spacing w:line="400" w:lineRule="exact"/>
      </w:pPr>
    </w:p>
    <w:p w14:paraId="0CA93D4B">
      <w:pPr>
        <w:pStyle w:val="2"/>
        <w:spacing w:line="400" w:lineRule="exact"/>
      </w:pPr>
      <w:r>
        <w:rPr>
          <w:rFonts w:hint="eastAsia"/>
        </w:rPr>
        <w:t xml:space="preserve">需方：重庆工商大学         </w:t>
      </w:r>
      <w:r>
        <w:rPr>
          <w:rFonts w:hint="eastAsia"/>
          <w:lang w:val="en-US" w:eastAsia="zh-CN"/>
        </w:rPr>
        <w:t xml:space="preserve">     </w:t>
      </w:r>
      <w:r>
        <w:rPr>
          <w:rFonts w:hint="eastAsia"/>
        </w:rPr>
        <w:t xml:space="preserve">        供方：</w:t>
      </w:r>
      <w:r>
        <w:rPr>
          <w:rFonts w:hint="eastAsia"/>
          <w:lang w:val="en-US" w:eastAsia="zh-CN"/>
        </w:rPr>
        <w:t xml:space="preserve"> </w:t>
      </w:r>
      <w:r>
        <w:rPr>
          <w:rFonts w:hint="eastAsia"/>
        </w:rPr>
        <w:t xml:space="preserve">  </w:t>
      </w:r>
    </w:p>
    <w:p w14:paraId="662DF296">
      <w:pPr>
        <w:pStyle w:val="2"/>
        <w:spacing w:line="400" w:lineRule="exact"/>
      </w:pPr>
    </w:p>
    <w:p w14:paraId="3B034517">
      <w:pPr>
        <w:pStyle w:val="2"/>
        <w:spacing w:line="400" w:lineRule="exact"/>
      </w:pPr>
      <w:r>
        <w:rPr>
          <w:rFonts w:hint="eastAsia"/>
        </w:rPr>
        <w:t>为认真贯彻落实党中央、国务院关于从源头上预防和治理腐败的精神，加强采购活动 全过程的管理和廉政建设，保证采购活动公开、公平、公正，保护国家、集体和当事人的 合法利益，防止发生各种谋取不正当利益的违法违纪行为。经双方同意，在签订采购合同的同时，自愿签订本廉洁协议。</w:t>
      </w:r>
    </w:p>
    <w:p w14:paraId="11CCD364">
      <w:pPr>
        <w:pStyle w:val="2"/>
        <w:spacing w:line="400" w:lineRule="exact"/>
      </w:pPr>
      <w:r>
        <w:rPr>
          <w:rFonts w:hint="eastAsia"/>
        </w:rPr>
        <w:t>（一）需供双方应当自觉遵守国家有关廉政建设的法律法规，杜绝商业贿赂和不正当竞争。</w:t>
      </w:r>
    </w:p>
    <w:p w14:paraId="4876C0EA">
      <w:pPr>
        <w:pStyle w:val="2"/>
        <w:spacing w:line="400" w:lineRule="exact"/>
      </w:pPr>
      <w:r>
        <w:rPr>
          <w:rFonts w:hint="eastAsia"/>
        </w:rPr>
        <w:t>（二）需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14:paraId="4E4BA5A5">
      <w:pPr>
        <w:pStyle w:val="2"/>
        <w:spacing w:line="400" w:lineRule="exact"/>
      </w:pPr>
      <w:r>
        <w:rPr>
          <w:rFonts w:hint="eastAsia"/>
        </w:rPr>
        <w:t>（三）需方采购部门应严格按照政府采购相关法律法规组织开评标，加强评审过程的 规范性管理，客观公正对待评审结果，按照依法推荐的中标（成交）候选供应商顺序确定中标（成交）供应商。供需双方应依法合规签订合同，并严控合同变更，不得对招标（采购）文件和供方的投标（响应）文件作实质性修改，不得私下订立背离合同实质性内容的协议。</w:t>
      </w:r>
    </w:p>
    <w:p w14:paraId="01D5F0BB">
      <w:pPr>
        <w:pStyle w:val="2"/>
        <w:spacing w:line="400" w:lineRule="exact"/>
      </w:pPr>
      <w:r>
        <w:rPr>
          <w:rFonts w:hint="eastAsia"/>
        </w:rPr>
        <w:t>（四）需方需求部门应加强采购项目的后续履约管理，做好到货验收，积极为供方进场履约提供相应保障，积极配合供方进行安装调试。若到货产品品牌、型号、质量、样式及规格参数等与合同、采购文件的规定不符的，供方不得进行设备安装。需方资产管理部门或考核牵头部门应严格按照合同与招标（采购）文件内容进行验收或考核，双方不得出现未达到验收或考核条件弄虚作假以致验收考核虚假通过等情形。</w:t>
      </w:r>
    </w:p>
    <w:p w14:paraId="31C4B0C0">
      <w:pPr>
        <w:pStyle w:val="2"/>
        <w:spacing w:line="400" w:lineRule="exact"/>
      </w:pPr>
      <w:r>
        <w:rPr>
          <w:rFonts w:hint="eastAsia"/>
        </w:rPr>
        <w:t>（五）需方相关人员及其近亲属不得参加供方和相关单位的宴请、健身和娱乐活动，不得向供方索贿或变相索贿，不得以任何借口向供方和相关单位索要或接受回扣、礼金、有价证券、贵重物品和好处费、感谢费等，不得要求供方报销应由需方或个人支付的费用。</w:t>
      </w:r>
    </w:p>
    <w:p w14:paraId="288C839F">
      <w:pPr>
        <w:pStyle w:val="2"/>
        <w:spacing w:line="400" w:lineRule="exact"/>
      </w:pPr>
      <w:r>
        <w:rPr>
          <w:rFonts w:hint="eastAsia"/>
        </w:rPr>
        <w:t>（六）供方不得邀请需方相关人员及其近亲属参加宴请、健身和娱乐活动，不得赠送回扣、礼金、有价证券、贵重物品和好处费、感谢费等，不得代为报销应由需方或个人支付的费用。</w:t>
      </w:r>
    </w:p>
    <w:p w14:paraId="681F6A0C">
      <w:pPr>
        <w:pStyle w:val="2"/>
        <w:spacing w:line="400" w:lineRule="exact"/>
      </w:pPr>
      <w:r>
        <w:rPr>
          <w:rFonts w:hint="eastAsia"/>
        </w:rPr>
        <w:t>（七）若需方出现违反本廉洁协议之行为的，依据相关法律法规和学校制度给予党纪、政纪处分或组织处理，涉嫌犯罪的，移交司法机关追究刑事责任；若供方出现违反本廉洁协议之行为的，需方有权直接终止合同，并将供方记入需方采购与招投标工作黑名单，同时供方应承担给需方造成的一切损失。</w:t>
      </w:r>
    </w:p>
    <w:p w14:paraId="3F14C314">
      <w:pPr>
        <w:pStyle w:val="2"/>
        <w:spacing w:line="400" w:lineRule="exact"/>
      </w:pPr>
      <w:r>
        <w:rPr>
          <w:rFonts w:hint="eastAsia"/>
        </w:rPr>
        <w:t>（八）供需双方均应分别加强对相关人员廉洁教育，强化人员法纪意识，杜绝行贿、受贿、索贿（变相索贿）等违法乱纪行为发生，坚守纪律红线、法律准线、道德底线、责任钢线。</w:t>
      </w:r>
    </w:p>
    <w:p w14:paraId="4128542A">
      <w:pPr>
        <w:pStyle w:val="2"/>
        <w:spacing w:line="400" w:lineRule="exact"/>
      </w:pPr>
      <w:r>
        <w:rPr>
          <w:rFonts w:hint="eastAsia"/>
        </w:rPr>
        <w:t>（九）需方相关人员包含但不限于需方需求部门、归口部门、考核牵头部门、采购部门、资产管理部门等相关人员。</w:t>
      </w:r>
    </w:p>
    <w:p w14:paraId="2130C0D1">
      <w:pPr>
        <w:pStyle w:val="2"/>
        <w:spacing w:line="400" w:lineRule="exact"/>
      </w:pPr>
      <w:r>
        <w:rPr>
          <w:rFonts w:hint="eastAsia"/>
        </w:rPr>
        <w:t>（十）本协议作为采购合同的组成部分，具有同等法律效力。此协议一式叁份，需方贰份，供方壹份，自双方签字、盖章后生效。</w:t>
      </w:r>
    </w:p>
    <w:p w14:paraId="51F81718">
      <w:pPr>
        <w:pStyle w:val="2"/>
        <w:spacing w:line="400" w:lineRule="exact"/>
      </w:pPr>
    </w:p>
    <w:p w14:paraId="16B376DE">
      <w:pPr>
        <w:pStyle w:val="2"/>
        <w:spacing w:line="400" w:lineRule="exact"/>
        <w:ind w:firstLine="0"/>
        <w:rPr>
          <w:rFonts w:hint="eastAsia" w:eastAsia="宋体"/>
          <w:lang w:eastAsia="zh-CN"/>
        </w:rPr>
      </w:pPr>
      <w:r>
        <w:rPr>
          <w:rFonts w:hint="eastAsia"/>
        </w:rPr>
        <w:t>需方：重庆工商大学                    供方：</w:t>
      </w:r>
      <w:r>
        <w:rPr>
          <w:rFonts w:hint="eastAsia"/>
          <w:lang w:val="en-US" w:eastAsia="zh-CN"/>
        </w:rPr>
        <w:t xml:space="preserve"> </w:t>
      </w:r>
    </w:p>
    <w:p w14:paraId="1ABF3D4E">
      <w:pPr>
        <w:pStyle w:val="2"/>
        <w:spacing w:line="400" w:lineRule="exact"/>
      </w:pPr>
    </w:p>
    <w:p w14:paraId="52CA4876">
      <w:pPr>
        <w:pStyle w:val="2"/>
        <w:spacing w:line="400" w:lineRule="exact"/>
        <w:ind w:firstLine="0"/>
      </w:pPr>
      <w:r>
        <w:rPr>
          <w:rFonts w:hint="eastAsia"/>
        </w:rPr>
        <w:t>采购与招投标管理中心（签字）：        法定代表人（签字）：</w:t>
      </w:r>
    </w:p>
    <w:p w14:paraId="78F9E568">
      <w:pPr>
        <w:pStyle w:val="2"/>
        <w:spacing w:line="400" w:lineRule="exact"/>
      </w:pPr>
    </w:p>
    <w:p w14:paraId="16AAB70E">
      <w:pPr>
        <w:pStyle w:val="2"/>
        <w:spacing w:line="400" w:lineRule="exact"/>
        <w:ind w:firstLine="4560" w:firstLineChars="1900"/>
      </w:pPr>
      <w:r>
        <w:rPr>
          <w:rFonts w:hint="eastAsia"/>
        </w:rPr>
        <w:t>授权代表（签字）：</w:t>
      </w:r>
    </w:p>
    <w:sectPr>
      <w:headerReference r:id="rId3" w:type="default"/>
      <w:footerReference r:id="rId4" w:type="default"/>
      <w:pgSz w:w="11906" w:h="16838"/>
      <w:pgMar w:top="1440" w:right="1588" w:bottom="1440" w:left="1588"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rial Unicode MS">
    <w:panose1 w:val="020B0604020202020204"/>
    <w:charset w:val="86"/>
    <w:family w:val="swiss"/>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30029">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1AD6B8">
                          <w:pPr>
                            <w:pStyle w:val="2"/>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9</w:t>
                          </w:r>
                          <w:r>
                            <w:rPr>
                              <w:sz w:val="21"/>
                              <w:szCs w:val="21"/>
                            </w:rPr>
                            <w:fldChar w:fldCharType="end"/>
                          </w:r>
                          <w:r>
                            <w:rPr>
                              <w:sz w:val="21"/>
                              <w:szCs w:val="21"/>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31AD6B8">
                    <w:pPr>
                      <w:pStyle w:val="2"/>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1</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9</w:t>
                    </w:r>
                    <w:r>
                      <w:rPr>
                        <w:sz w:val="21"/>
                        <w:szCs w:val="21"/>
                      </w:rPr>
                      <w:fldChar w:fldCharType="end"/>
                    </w:r>
                    <w:r>
                      <w:rPr>
                        <w:sz w:val="21"/>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423A6">
    <w:pPr>
      <w:pStyle w:val="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764A9A"/>
    <w:multiLevelType w:val="singleLevel"/>
    <w:tmpl w:val="3D764A9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zNWRmMzdhZjdkNjQ3ZTY0ZDRiYjhhZWI4YzhiZTYifQ=="/>
  </w:docVars>
  <w:rsids>
    <w:rsidRoot w:val="00BC2AEC"/>
    <w:rsid w:val="00095181"/>
    <w:rsid w:val="001A14FB"/>
    <w:rsid w:val="001E25D9"/>
    <w:rsid w:val="0021250A"/>
    <w:rsid w:val="00272DED"/>
    <w:rsid w:val="002F7BD0"/>
    <w:rsid w:val="00341051"/>
    <w:rsid w:val="003E4ACB"/>
    <w:rsid w:val="00444ABF"/>
    <w:rsid w:val="005377E8"/>
    <w:rsid w:val="00570A1A"/>
    <w:rsid w:val="006361A6"/>
    <w:rsid w:val="006D199B"/>
    <w:rsid w:val="007A2DB8"/>
    <w:rsid w:val="007F5E4A"/>
    <w:rsid w:val="00871DBB"/>
    <w:rsid w:val="008D6940"/>
    <w:rsid w:val="00AB3EC4"/>
    <w:rsid w:val="00B761C6"/>
    <w:rsid w:val="00BC2AEC"/>
    <w:rsid w:val="00BE53AE"/>
    <w:rsid w:val="00C37777"/>
    <w:rsid w:val="00C7252B"/>
    <w:rsid w:val="00CC3EA1"/>
    <w:rsid w:val="00D26E71"/>
    <w:rsid w:val="00D8253F"/>
    <w:rsid w:val="00DE203C"/>
    <w:rsid w:val="00F25263"/>
    <w:rsid w:val="00F26A25"/>
    <w:rsid w:val="00F83E5A"/>
    <w:rsid w:val="00FA265E"/>
    <w:rsid w:val="016C090A"/>
    <w:rsid w:val="023E50CB"/>
    <w:rsid w:val="097525CD"/>
    <w:rsid w:val="0ABB49A2"/>
    <w:rsid w:val="0E4571CA"/>
    <w:rsid w:val="1537321C"/>
    <w:rsid w:val="16E77655"/>
    <w:rsid w:val="1C270194"/>
    <w:rsid w:val="1E6B3C68"/>
    <w:rsid w:val="1ED146E2"/>
    <w:rsid w:val="23270BDF"/>
    <w:rsid w:val="265845E1"/>
    <w:rsid w:val="26AA426C"/>
    <w:rsid w:val="28FA1C2D"/>
    <w:rsid w:val="2BAA1E71"/>
    <w:rsid w:val="2DBE000D"/>
    <w:rsid w:val="35424BEE"/>
    <w:rsid w:val="3C721741"/>
    <w:rsid w:val="3F043070"/>
    <w:rsid w:val="41521279"/>
    <w:rsid w:val="45264590"/>
    <w:rsid w:val="49871A6D"/>
    <w:rsid w:val="4C831D73"/>
    <w:rsid w:val="572752C4"/>
    <w:rsid w:val="58EB6ABD"/>
    <w:rsid w:val="5C9303F1"/>
    <w:rsid w:val="5D720862"/>
    <w:rsid w:val="63CB4253"/>
    <w:rsid w:val="673F447C"/>
    <w:rsid w:val="6BE55C49"/>
    <w:rsid w:val="6D5B3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qFormat/>
    <w:uiPriority w:val="0"/>
    <w:pPr>
      <w:adjustRightInd w:val="0"/>
      <w:snapToGrid w:val="0"/>
      <w:spacing w:line="360" w:lineRule="auto"/>
      <w:ind w:firstLine="420"/>
    </w:pPr>
    <w:rPr>
      <w:sz w:val="24"/>
    </w:rPr>
  </w:style>
  <w:style w:type="paragraph" w:styleId="3">
    <w:name w:val="Body Text"/>
    <w:basedOn w:val="1"/>
    <w:link w:val="12"/>
    <w:autoRedefine/>
    <w:unhideWhenUsed/>
    <w:qFormat/>
    <w:uiPriority w:val="99"/>
    <w:pPr>
      <w:spacing w:after="120"/>
    </w:pPr>
  </w:style>
  <w:style w:type="paragraph" w:styleId="4">
    <w:name w:val="Balloon Text"/>
    <w:basedOn w:val="1"/>
    <w:link w:val="17"/>
    <w:autoRedefine/>
    <w:semiHidden/>
    <w:unhideWhenUsed/>
    <w:qFormat/>
    <w:uiPriority w:val="99"/>
    <w:rPr>
      <w:sz w:val="18"/>
      <w:szCs w:val="18"/>
    </w:rPr>
  </w:style>
  <w:style w:type="paragraph" w:styleId="5">
    <w:name w:val="footer"/>
    <w:basedOn w:val="1"/>
    <w:link w:val="14"/>
    <w:autoRedefine/>
    <w:unhideWhenUsed/>
    <w:qFormat/>
    <w:uiPriority w:val="99"/>
    <w:pPr>
      <w:tabs>
        <w:tab w:val="center" w:pos="4153"/>
        <w:tab w:val="right" w:pos="8306"/>
      </w:tabs>
      <w:snapToGrid w:val="0"/>
      <w:jc w:val="left"/>
    </w:pPr>
    <w:rPr>
      <w:sz w:val="18"/>
      <w:szCs w:val="18"/>
    </w:rPr>
  </w:style>
  <w:style w:type="paragraph" w:styleId="6">
    <w:name w:val="header"/>
    <w:basedOn w:val="1"/>
    <w:link w:val="1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semiHidden/>
    <w:unhideWhenUsed/>
    <w:qFormat/>
    <w:uiPriority w:val="99"/>
    <w:rPr>
      <w:sz w:val="24"/>
    </w:rPr>
  </w:style>
  <w:style w:type="table" w:styleId="9">
    <w:name w:val="Table Grid"/>
    <w:basedOn w:val="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
    <w:name w:val="Table Normal1"/>
    <w:autoRedefine/>
    <w:qFormat/>
    <w:uiPriority w:val="0"/>
    <w:rPr>
      <w:rFonts w:ascii="Calibri" w:hAnsi="Calibri"/>
    </w:rPr>
    <w:tblPr>
      <w:tblCellMar>
        <w:top w:w="0" w:type="dxa"/>
        <w:left w:w="0" w:type="dxa"/>
        <w:bottom w:w="0" w:type="dxa"/>
        <w:right w:w="0" w:type="dxa"/>
      </w:tblCellMar>
    </w:tblPr>
  </w:style>
  <w:style w:type="character" w:customStyle="1" w:styleId="12">
    <w:name w:val="正文文本 Char"/>
    <w:basedOn w:val="10"/>
    <w:link w:val="3"/>
    <w:autoRedefine/>
    <w:qFormat/>
    <w:uiPriority w:val="99"/>
    <w:rPr>
      <w:rFonts w:ascii="Times New Roman" w:hAnsi="Times New Roman" w:eastAsia="宋体" w:cs="Times New Roman"/>
      <w:szCs w:val="24"/>
    </w:rPr>
  </w:style>
  <w:style w:type="character" w:customStyle="1" w:styleId="13">
    <w:name w:val="页眉 Char"/>
    <w:basedOn w:val="10"/>
    <w:link w:val="6"/>
    <w:autoRedefine/>
    <w:qFormat/>
    <w:uiPriority w:val="99"/>
    <w:rPr>
      <w:rFonts w:ascii="Times New Roman" w:hAnsi="Times New Roman" w:eastAsia="宋体" w:cs="Times New Roman"/>
      <w:sz w:val="18"/>
      <w:szCs w:val="18"/>
    </w:rPr>
  </w:style>
  <w:style w:type="character" w:customStyle="1" w:styleId="14">
    <w:name w:val="页脚 Char"/>
    <w:basedOn w:val="10"/>
    <w:link w:val="5"/>
    <w:autoRedefine/>
    <w:qFormat/>
    <w:uiPriority w:val="99"/>
    <w:rPr>
      <w:rFonts w:ascii="Times New Roman" w:hAnsi="Times New Roman" w:eastAsia="宋体" w:cs="Times New Roman"/>
      <w:sz w:val="18"/>
      <w:szCs w:val="18"/>
    </w:rPr>
  </w:style>
  <w:style w:type="table" w:customStyle="1" w:styleId="15">
    <w:name w:val="Table Normal"/>
    <w:autoRedefine/>
    <w:semiHidden/>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paragraph" w:customStyle="1" w:styleId="16">
    <w:name w:val="Table Text"/>
    <w:basedOn w:val="1"/>
    <w:autoRedefine/>
    <w:semiHidden/>
    <w:qFormat/>
    <w:uiPriority w:val="0"/>
    <w:rPr>
      <w:rFonts w:ascii="宋体" w:hAnsi="宋体" w:cs="宋体"/>
      <w:sz w:val="24"/>
    </w:rPr>
  </w:style>
  <w:style w:type="character" w:customStyle="1" w:styleId="17">
    <w:name w:val="批注框文本 Char"/>
    <w:basedOn w:val="10"/>
    <w:link w:val="4"/>
    <w:autoRedefine/>
    <w:semiHidden/>
    <w:qFormat/>
    <w:uiPriority w:val="99"/>
    <w:rPr>
      <w:kern w:val="2"/>
      <w:sz w:val="18"/>
      <w:szCs w:val="18"/>
    </w:rPr>
  </w:style>
  <w:style w:type="character" w:customStyle="1" w:styleId="18">
    <w:name w:val="font51"/>
    <w:basedOn w:val="10"/>
    <w:qFormat/>
    <w:uiPriority w:val="0"/>
    <w:rPr>
      <w:rFonts w:hint="eastAsia" w:ascii="宋体" w:hAnsi="宋体" w:eastAsia="宋体" w:cs="宋体"/>
      <w:color w:val="000000"/>
      <w:sz w:val="24"/>
      <w:szCs w:val="24"/>
      <w:u w:val="none"/>
    </w:rPr>
  </w:style>
  <w:style w:type="character" w:customStyle="1" w:styleId="19">
    <w:name w:val="font31"/>
    <w:basedOn w:val="10"/>
    <w:qFormat/>
    <w:uiPriority w:val="0"/>
    <w:rPr>
      <w:rFonts w:hint="default" w:ascii="Times New Roman" w:hAnsi="Times New Roman" w:cs="Times New Roman"/>
      <w:color w:val="000000"/>
      <w:sz w:val="24"/>
      <w:szCs w:val="24"/>
      <w:u w:val="none"/>
    </w:rPr>
  </w:style>
  <w:style w:type="character" w:customStyle="1" w:styleId="20">
    <w:name w:val="font41"/>
    <w:basedOn w:val="10"/>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10</Pages>
  <Words>7000</Words>
  <Characters>7409</Characters>
  <Lines>48</Lines>
  <Paragraphs>13</Paragraphs>
  <TotalTime>0</TotalTime>
  <ScaleCrop>false</ScaleCrop>
  <LinksUpToDate>false</LinksUpToDate>
  <CharactersWithSpaces>7534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2024-03-04T09:38:00Z</dcterms:created>
  <dc:creator>yangxy</dc:creator>
  <cp:lastModifiedBy>杨婷</cp:lastModifiedBy>
  <dcterms:modified xsi:type="dcterms:W3CDTF">2026-02-03T06:47:43Z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A95A29E264054ABC83A3FBA2285AAF50_13</vt:lpwstr>
  </property>
  <property fmtid="{D5CDD505-2E9C-101B-9397-08002B2CF9AE}" pid="4" name="KSOTemplateDocerSaveRecord">
    <vt:lpwstr>eyJoZGlkIjoiNWMzNWRmMzdhZjdkNjQ3ZTY0ZDRiYjhhZWI4YzhiZTYiLCJ1c2VySWQiOiI5OTMzMTkyODkifQ==</vt:lpwstr>
  </property>
</Properties>
</file>