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0DEB2A">
      <w:pPr>
        <w:spacing w:line="1600" w:lineRule="exact"/>
        <w:jc w:val="center"/>
        <w:outlineLvl w:val="0"/>
        <w:rPr>
          <w:rFonts w:ascii="方正仿宋_GBK" w:hAnsi="方正仿宋_GBK" w:eastAsia="方正仿宋_GBK" w:cs="方正仿宋_GBK"/>
          <w:color w:val="auto"/>
          <w:sz w:val="100"/>
          <w:highlight w:val="none"/>
        </w:rPr>
      </w:pPr>
      <w:r>
        <w:rPr>
          <w:rFonts w:hint="eastAsia" w:ascii="方正仿宋_GBK" w:hAnsi="方正仿宋_GBK" w:eastAsia="方正仿宋_GBK" w:cs="方正仿宋_GBK"/>
          <w:color w:val="auto"/>
          <w:sz w:val="100"/>
          <w:highlight w:val="none"/>
        </w:rPr>
        <w:t>政府采购</w:t>
      </w:r>
    </w:p>
    <w:p w14:paraId="473FC705">
      <w:pPr>
        <w:spacing w:line="1600" w:lineRule="exact"/>
        <w:jc w:val="center"/>
        <w:outlineLvl w:val="0"/>
        <w:rPr>
          <w:rFonts w:ascii="方正仿宋_GBK" w:hAnsi="方正仿宋_GBK" w:eastAsia="方正仿宋_GBK" w:cs="方正仿宋_GBK"/>
          <w:color w:val="auto"/>
          <w:sz w:val="130"/>
          <w:szCs w:val="130"/>
          <w:highlight w:val="none"/>
        </w:rPr>
      </w:pPr>
      <w:r>
        <w:rPr>
          <w:rFonts w:hint="eastAsia" w:ascii="方正仿宋_GBK" w:hAnsi="方正仿宋_GBK" w:eastAsia="方正仿宋_GBK" w:cs="方正仿宋_GBK"/>
          <w:color w:val="auto"/>
          <w:sz w:val="130"/>
          <w:szCs w:val="130"/>
          <w:highlight w:val="none"/>
        </w:rPr>
        <w:t>招 标 文 件</w:t>
      </w:r>
    </w:p>
    <w:p w14:paraId="46170604">
      <w:pPr>
        <w:pStyle w:val="7"/>
        <w:spacing w:line="500" w:lineRule="exact"/>
        <w:ind w:left="0"/>
        <w:jc w:val="left"/>
        <w:rPr>
          <w:rFonts w:ascii="方正仿宋_GBK" w:hAnsi="方正仿宋_GBK" w:eastAsia="方正仿宋_GBK" w:cs="方正仿宋_GBK"/>
          <w:color w:val="auto"/>
          <w:sz w:val="32"/>
          <w:highlight w:val="none"/>
        </w:rPr>
      </w:pPr>
    </w:p>
    <w:p w14:paraId="31F160C1">
      <w:pPr>
        <w:pStyle w:val="7"/>
        <w:spacing w:line="500" w:lineRule="exact"/>
        <w:ind w:left="0"/>
        <w:jc w:val="left"/>
        <w:rPr>
          <w:rFonts w:ascii="方正仿宋_GBK" w:hAnsi="方正仿宋_GBK" w:eastAsia="方正仿宋_GBK" w:cs="方正仿宋_GBK"/>
          <w:color w:val="auto"/>
          <w:sz w:val="32"/>
          <w:highlight w:val="none"/>
        </w:rPr>
      </w:pPr>
    </w:p>
    <w:p w14:paraId="4087931D">
      <w:pPr>
        <w:pStyle w:val="7"/>
        <w:spacing w:line="500" w:lineRule="exact"/>
        <w:ind w:left="0"/>
        <w:jc w:val="center"/>
        <w:rPr>
          <w:rFonts w:ascii="方正仿宋_GBK" w:hAnsi="方正仿宋_GBK" w:eastAsia="方正仿宋_GBK" w:cs="方正仿宋_GBK"/>
          <w:color w:val="auto"/>
          <w:sz w:val="32"/>
          <w:highlight w:val="none"/>
        </w:rPr>
      </w:pPr>
    </w:p>
    <w:p w14:paraId="2149EDB3">
      <w:pPr>
        <w:pStyle w:val="7"/>
        <w:spacing w:line="500" w:lineRule="exact"/>
        <w:ind w:left="0"/>
        <w:jc w:val="center"/>
        <w:rPr>
          <w:rFonts w:ascii="方正仿宋_GBK" w:hAnsi="方正仿宋_GBK" w:eastAsia="方正仿宋_GBK" w:cs="方正仿宋_GBK"/>
          <w:color w:val="auto"/>
          <w:sz w:val="32"/>
          <w:highlight w:val="none"/>
        </w:rPr>
      </w:pPr>
    </w:p>
    <w:p w14:paraId="71942CC8">
      <w:pPr>
        <w:spacing w:line="360" w:lineRule="auto"/>
        <w:ind w:firstLine="2340" w:firstLineChars="650"/>
        <w:outlineLvl w:val="0"/>
        <w:rPr>
          <w:rFonts w:cs="方正仿宋_GBK" w:asciiTheme="minorEastAsia" w:hAnsiTheme="minorEastAsia" w:eastAsiaTheme="minorEastAsia"/>
          <w:color w:val="auto"/>
          <w:sz w:val="36"/>
          <w:szCs w:val="36"/>
          <w:highlight w:val="none"/>
        </w:rPr>
      </w:pPr>
    </w:p>
    <w:p w14:paraId="0C48EFA3">
      <w:pPr>
        <w:spacing w:line="360" w:lineRule="auto"/>
        <w:ind w:firstLine="2340" w:firstLineChars="650"/>
        <w:outlineLvl w:val="0"/>
        <w:rPr>
          <w:rFonts w:cs="方正仿宋_GBK" w:asciiTheme="minorEastAsia" w:hAnsiTheme="minorEastAsia" w:eastAsiaTheme="minorEastAsia"/>
          <w:color w:val="auto"/>
          <w:sz w:val="36"/>
          <w:szCs w:val="36"/>
          <w:highlight w:val="none"/>
        </w:rPr>
      </w:pPr>
    </w:p>
    <w:p w14:paraId="73BEC841">
      <w:pPr>
        <w:spacing w:line="360" w:lineRule="auto"/>
        <w:ind w:firstLine="2340" w:firstLineChars="650"/>
        <w:outlineLvl w:val="0"/>
        <w:rPr>
          <w:rFonts w:cs="方正仿宋_GBK" w:asciiTheme="minorEastAsia" w:hAnsiTheme="minorEastAsia" w:eastAsiaTheme="minorEastAsia"/>
          <w:color w:val="auto"/>
          <w:sz w:val="36"/>
          <w:szCs w:val="36"/>
          <w:highlight w:val="none"/>
        </w:rPr>
      </w:pPr>
      <w:r>
        <w:rPr>
          <w:rFonts w:hint="eastAsia" w:cs="方正仿宋_GBK" w:asciiTheme="minorEastAsia" w:hAnsiTheme="minorEastAsia" w:eastAsiaTheme="minorEastAsia"/>
          <w:color w:val="auto"/>
          <w:sz w:val="36"/>
          <w:szCs w:val="36"/>
          <w:highlight w:val="none"/>
        </w:rPr>
        <w:t>项  目  号：CQS25A04186</w:t>
      </w:r>
    </w:p>
    <w:p w14:paraId="1B6F93B4">
      <w:pPr>
        <w:spacing w:line="360" w:lineRule="auto"/>
        <w:ind w:left="4861" w:leftChars="836" w:hanging="2520" w:hangingChars="700"/>
        <w:outlineLvl w:val="0"/>
        <w:rPr>
          <w:rFonts w:hint="eastAsia" w:cs="方正仿宋_GBK" w:asciiTheme="minorEastAsia" w:hAnsiTheme="minorEastAsia" w:eastAsiaTheme="minorEastAsia"/>
          <w:color w:val="auto"/>
          <w:sz w:val="36"/>
          <w:szCs w:val="36"/>
          <w:highlight w:val="none"/>
          <w:lang w:eastAsia="zh-CN"/>
        </w:rPr>
      </w:pPr>
      <w:r>
        <w:rPr>
          <w:rFonts w:hint="eastAsia" w:cs="方正仿宋_GBK" w:asciiTheme="minorEastAsia" w:hAnsiTheme="minorEastAsia" w:eastAsiaTheme="minorEastAsia"/>
          <w:color w:val="auto"/>
          <w:sz w:val="36"/>
          <w:szCs w:val="36"/>
          <w:highlight w:val="none"/>
        </w:rPr>
        <w:t>招标项目名称：</w:t>
      </w:r>
      <w:bookmarkStart w:id="0" w:name="OLE_LINK59"/>
      <w:bookmarkStart w:id="1" w:name="OLE_LINK60"/>
      <w:r>
        <w:rPr>
          <w:rFonts w:hint="eastAsia" w:cs="方正仿宋_GBK" w:asciiTheme="minorEastAsia" w:hAnsiTheme="minorEastAsia" w:eastAsiaTheme="minorEastAsia"/>
          <w:color w:val="auto"/>
          <w:sz w:val="36"/>
          <w:szCs w:val="36"/>
          <w:highlight w:val="none"/>
        </w:rPr>
        <w:t>重庆工商大学食品科学与工程学院现代食品加工与原料分析表征平台</w:t>
      </w:r>
      <w:r>
        <w:rPr>
          <w:rFonts w:hint="eastAsia" w:cs="方正仿宋_GBK" w:asciiTheme="minorEastAsia" w:hAnsiTheme="minorEastAsia" w:eastAsiaTheme="minorEastAsia"/>
          <w:color w:val="auto"/>
          <w:sz w:val="36"/>
          <w:szCs w:val="36"/>
          <w:highlight w:val="none"/>
          <w:lang w:val="en-US" w:eastAsia="zh-CN"/>
        </w:rPr>
        <w:t>-包1</w:t>
      </w:r>
      <w:r>
        <w:rPr>
          <w:rFonts w:hint="eastAsia" w:cs="方正仿宋_GBK" w:asciiTheme="minorEastAsia" w:hAnsiTheme="minorEastAsia" w:eastAsiaTheme="minorEastAsia"/>
          <w:color w:val="auto"/>
          <w:sz w:val="36"/>
          <w:szCs w:val="36"/>
          <w:highlight w:val="none"/>
          <w:lang w:eastAsia="zh-CN"/>
        </w:rPr>
        <w:t>（</w:t>
      </w:r>
      <w:r>
        <w:rPr>
          <w:rFonts w:hint="eastAsia" w:cs="方正仿宋_GBK" w:asciiTheme="minorEastAsia" w:hAnsiTheme="minorEastAsia" w:eastAsiaTheme="minorEastAsia"/>
          <w:color w:val="auto"/>
          <w:sz w:val="36"/>
          <w:szCs w:val="36"/>
          <w:highlight w:val="none"/>
          <w:lang w:val="en-US" w:eastAsia="zh-CN"/>
        </w:rPr>
        <w:t>3次</w:t>
      </w:r>
      <w:r>
        <w:rPr>
          <w:rFonts w:hint="eastAsia" w:cs="方正仿宋_GBK" w:asciiTheme="minorEastAsia" w:hAnsiTheme="minorEastAsia" w:eastAsiaTheme="minorEastAsia"/>
          <w:color w:val="auto"/>
          <w:sz w:val="36"/>
          <w:szCs w:val="36"/>
          <w:highlight w:val="none"/>
          <w:lang w:eastAsia="zh-CN"/>
        </w:rPr>
        <w:t>）</w:t>
      </w:r>
    </w:p>
    <w:p w14:paraId="495ABC60">
      <w:pPr>
        <w:pStyle w:val="4"/>
        <w:rPr>
          <w:color w:val="auto"/>
          <w:highlight w:val="none"/>
        </w:rPr>
      </w:pPr>
    </w:p>
    <w:bookmarkEnd w:id="0"/>
    <w:bookmarkEnd w:id="1"/>
    <w:p w14:paraId="0D0E13BC">
      <w:pPr>
        <w:pStyle w:val="7"/>
        <w:spacing w:line="360" w:lineRule="auto"/>
        <w:ind w:left="0"/>
        <w:jc w:val="center"/>
        <w:rPr>
          <w:rFonts w:cs="方正仿宋_GBK" w:asciiTheme="minorEastAsia" w:hAnsiTheme="minorEastAsia" w:eastAsiaTheme="minorEastAsia"/>
          <w:color w:val="auto"/>
          <w:sz w:val="32"/>
          <w:highlight w:val="none"/>
        </w:rPr>
      </w:pPr>
    </w:p>
    <w:p w14:paraId="416B63EA">
      <w:pPr>
        <w:pStyle w:val="7"/>
        <w:spacing w:line="360" w:lineRule="auto"/>
        <w:ind w:left="0"/>
        <w:jc w:val="center"/>
        <w:rPr>
          <w:rFonts w:cs="方正仿宋_GBK" w:asciiTheme="minorEastAsia" w:hAnsiTheme="minorEastAsia" w:eastAsiaTheme="minorEastAsia"/>
          <w:color w:val="auto"/>
          <w:sz w:val="32"/>
          <w:highlight w:val="none"/>
        </w:rPr>
      </w:pPr>
    </w:p>
    <w:p w14:paraId="3E5E2C03">
      <w:pPr>
        <w:spacing w:line="360" w:lineRule="auto"/>
        <w:jc w:val="center"/>
        <w:rPr>
          <w:rFonts w:cs="方正仿宋_GBK" w:asciiTheme="minorEastAsia" w:hAnsiTheme="minorEastAsia" w:eastAsiaTheme="minorEastAsia"/>
          <w:color w:val="auto"/>
          <w:sz w:val="36"/>
          <w:szCs w:val="36"/>
          <w:highlight w:val="none"/>
        </w:rPr>
      </w:pPr>
    </w:p>
    <w:p w14:paraId="5F56EE07">
      <w:pPr>
        <w:spacing w:line="360" w:lineRule="auto"/>
        <w:jc w:val="center"/>
        <w:outlineLvl w:val="0"/>
        <w:rPr>
          <w:rFonts w:cs="方正仿宋_GBK" w:asciiTheme="minorEastAsia" w:hAnsiTheme="minorEastAsia" w:eastAsiaTheme="minorEastAsia"/>
          <w:color w:val="auto"/>
          <w:sz w:val="36"/>
          <w:szCs w:val="36"/>
          <w:highlight w:val="none"/>
        </w:rPr>
      </w:pPr>
      <w:r>
        <w:rPr>
          <w:rFonts w:hint="eastAsia" w:cs="方正仿宋_GBK" w:asciiTheme="minorEastAsia" w:hAnsiTheme="minorEastAsia" w:eastAsiaTheme="minorEastAsia"/>
          <w:color w:val="auto"/>
          <w:sz w:val="36"/>
          <w:szCs w:val="36"/>
          <w:highlight w:val="none"/>
        </w:rPr>
        <w:t>采购人：重庆工商大学</w:t>
      </w:r>
    </w:p>
    <w:p w14:paraId="707D9195">
      <w:pPr>
        <w:spacing w:line="360" w:lineRule="auto"/>
        <w:jc w:val="center"/>
        <w:outlineLvl w:val="0"/>
        <w:rPr>
          <w:rFonts w:cs="方正仿宋_GBK" w:asciiTheme="minorEastAsia" w:hAnsiTheme="minorEastAsia" w:eastAsiaTheme="minorEastAsia"/>
          <w:color w:val="auto"/>
          <w:sz w:val="36"/>
          <w:szCs w:val="36"/>
          <w:highlight w:val="none"/>
        </w:rPr>
      </w:pPr>
      <w:r>
        <w:rPr>
          <w:rFonts w:hint="eastAsia" w:cs="方正仿宋_GBK" w:asciiTheme="minorEastAsia" w:hAnsiTheme="minorEastAsia" w:eastAsiaTheme="minorEastAsia"/>
          <w:color w:val="auto"/>
          <w:sz w:val="36"/>
          <w:szCs w:val="36"/>
          <w:highlight w:val="none"/>
        </w:rPr>
        <w:t>采购代理机构：垚鑫工程项目管理有限公司</w:t>
      </w:r>
    </w:p>
    <w:p w14:paraId="462A330A">
      <w:pPr>
        <w:snapToGrid w:val="0"/>
        <w:spacing w:line="360" w:lineRule="auto"/>
        <w:jc w:val="center"/>
        <w:rPr>
          <w:rFonts w:cs="方正仿宋_GBK" w:asciiTheme="minorEastAsia" w:hAnsiTheme="minorEastAsia" w:eastAsiaTheme="minorEastAsia"/>
          <w:color w:val="auto"/>
          <w:sz w:val="36"/>
          <w:szCs w:val="36"/>
          <w:highlight w:val="none"/>
        </w:rPr>
      </w:pPr>
      <w:r>
        <w:rPr>
          <w:rFonts w:hint="eastAsia" w:cs="方正仿宋_GBK" w:asciiTheme="minorEastAsia" w:hAnsiTheme="minorEastAsia" w:eastAsiaTheme="minorEastAsia"/>
          <w:color w:val="auto"/>
          <w:sz w:val="36"/>
          <w:szCs w:val="36"/>
          <w:highlight w:val="none"/>
        </w:rPr>
        <w:t>二〇二</w:t>
      </w:r>
      <w:r>
        <w:rPr>
          <w:rFonts w:hint="eastAsia" w:cs="方正仿宋_GBK" w:asciiTheme="minorEastAsia" w:hAnsiTheme="minorEastAsia" w:eastAsiaTheme="minorEastAsia"/>
          <w:color w:val="auto"/>
          <w:sz w:val="36"/>
          <w:szCs w:val="36"/>
          <w:highlight w:val="none"/>
          <w:lang w:val="en-US" w:eastAsia="zh-CN"/>
        </w:rPr>
        <w:t>六</w:t>
      </w:r>
      <w:r>
        <w:rPr>
          <w:rFonts w:hint="eastAsia" w:cs="方正仿宋_GBK" w:asciiTheme="minorEastAsia" w:hAnsiTheme="minorEastAsia" w:eastAsiaTheme="minorEastAsia"/>
          <w:color w:val="auto"/>
          <w:sz w:val="36"/>
          <w:szCs w:val="36"/>
          <w:highlight w:val="none"/>
        </w:rPr>
        <w:t>年</w:t>
      </w:r>
      <w:r>
        <w:rPr>
          <w:rFonts w:hint="eastAsia" w:cs="方正仿宋_GBK" w:asciiTheme="minorEastAsia" w:hAnsiTheme="minorEastAsia" w:eastAsiaTheme="minorEastAsia"/>
          <w:color w:val="auto"/>
          <w:sz w:val="36"/>
          <w:szCs w:val="36"/>
          <w:highlight w:val="none"/>
          <w:lang w:val="en-US" w:eastAsia="zh-CN"/>
        </w:rPr>
        <w:t>五</w:t>
      </w:r>
      <w:r>
        <w:rPr>
          <w:rFonts w:hint="eastAsia" w:cs="方正仿宋_GBK" w:asciiTheme="minorEastAsia" w:hAnsiTheme="minorEastAsia" w:eastAsiaTheme="minorEastAsia"/>
          <w:color w:val="auto"/>
          <w:sz w:val="36"/>
          <w:szCs w:val="36"/>
          <w:highlight w:val="none"/>
        </w:rPr>
        <w:t>月</w:t>
      </w:r>
    </w:p>
    <w:p w14:paraId="77634171">
      <w:pPr>
        <w:snapToGrid w:val="0"/>
        <w:spacing w:line="500" w:lineRule="exact"/>
        <w:rPr>
          <w:rFonts w:ascii="方正仿宋_GBK" w:hAnsi="方正仿宋_GBK" w:eastAsia="方正仿宋_GBK" w:cs="方正仿宋_GBK"/>
          <w:color w:val="auto"/>
          <w:sz w:val="44"/>
          <w:highlight w:val="none"/>
        </w:rPr>
        <w:sectPr>
          <w:headerReference r:id="rId4"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14:paraId="32BF1164">
      <w:pPr>
        <w:snapToGrid w:val="0"/>
        <w:spacing w:line="500" w:lineRule="exact"/>
        <w:jc w:val="center"/>
        <w:rPr>
          <w:rFonts w:ascii="方正仿宋_GBK" w:hAnsi="方正仿宋_GBK" w:eastAsia="方正仿宋_GBK" w:cs="方正仿宋_GBK"/>
          <w:color w:val="auto"/>
          <w:sz w:val="44"/>
          <w:highlight w:val="none"/>
        </w:rPr>
      </w:pPr>
      <w:r>
        <w:rPr>
          <w:rFonts w:hint="eastAsia" w:ascii="方正仿宋_GBK" w:hAnsi="方正仿宋_GBK" w:eastAsia="方正仿宋_GBK" w:cs="方正仿宋_GBK"/>
          <w:color w:val="auto"/>
          <w:sz w:val="44"/>
          <w:highlight w:val="none"/>
        </w:rPr>
        <w:t>目  录</w:t>
      </w:r>
    </w:p>
    <w:p w14:paraId="19F64933">
      <w:pPr>
        <w:pStyle w:val="13"/>
        <w:tabs>
          <w:tab w:val="right" w:leader="dot" w:pos="9412"/>
          <w:tab w:val="clear" w:pos="1260"/>
          <w:tab w:val="clear" w:pos="1685"/>
          <w:tab w:val="clear" w:pos="8400"/>
        </w:tabs>
        <w:ind w:firstLine="211"/>
        <w:rPr>
          <w:color w:val="auto"/>
          <w:highlight w:val="none"/>
        </w:rPr>
      </w:pPr>
      <w:r>
        <w:rPr>
          <w:rFonts w:hint="eastAsia" w:ascii="方正仿宋_GBK" w:hAnsi="方正仿宋_GBK" w:eastAsia="方正仿宋_GBK" w:cs="方正仿宋_GBK"/>
          <w:color w:val="auto"/>
          <w:sz w:val="21"/>
          <w:szCs w:val="21"/>
          <w:highlight w:val="none"/>
        </w:rPr>
        <w:fldChar w:fldCharType="begin"/>
      </w:r>
      <w:r>
        <w:rPr>
          <w:rFonts w:hint="eastAsia" w:ascii="方正仿宋_GBK" w:hAnsi="方正仿宋_GBK" w:eastAsia="方正仿宋_GBK" w:cs="方正仿宋_GBK"/>
          <w:color w:val="auto"/>
          <w:sz w:val="21"/>
          <w:szCs w:val="21"/>
          <w:highlight w:val="none"/>
        </w:rPr>
        <w:instrText xml:space="preserve"> TOC \o "1-2" \h \z </w:instrText>
      </w:r>
      <w:r>
        <w:rPr>
          <w:rFonts w:hint="eastAsia" w:ascii="方正仿宋_GBK" w:hAnsi="方正仿宋_GBK" w:eastAsia="方正仿宋_GBK" w:cs="方正仿宋_GBK"/>
          <w:color w:val="auto"/>
          <w:sz w:val="21"/>
          <w:szCs w:val="21"/>
          <w:highlight w:val="none"/>
        </w:rPr>
        <w:fldChar w:fldCharType="separate"/>
      </w:r>
      <w:r>
        <w:rPr>
          <w:color w:val="auto"/>
          <w:highlight w:val="none"/>
        </w:rPr>
        <w:fldChar w:fldCharType="begin"/>
      </w:r>
      <w:r>
        <w:rPr>
          <w:color w:val="auto"/>
          <w:highlight w:val="none"/>
        </w:rPr>
        <w:instrText xml:space="preserve"> HYPERLINK \l "_Toc31483" </w:instrText>
      </w:r>
      <w:r>
        <w:rPr>
          <w:color w:val="auto"/>
          <w:highlight w:val="none"/>
        </w:rPr>
        <w:fldChar w:fldCharType="separate"/>
      </w:r>
      <w:r>
        <w:rPr>
          <w:rFonts w:hint="eastAsia" w:ascii="方正仿宋_GBK" w:hAnsi="方正仿宋_GBK" w:eastAsia="方正仿宋_GBK" w:cs="方正仿宋_GBK"/>
          <w:color w:val="auto"/>
          <w:highlight w:val="none"/>
        </w:rPr>
        <w:t>第一篇 投标邀请书</w:t>
      </w:r>
      <w:r>
        <w:rPr>
          <w:color w:val="auto"/>
          <w:highlight w:val="none"/>
        </w:rPr>
        <w:tab/>
      </w:r>
      <w:r>
        <w:rPr>
          <w:color w:val="auto"/>
          <w:highlight w:val="none"/>
        </w:rPr>
        <w:fldChar w:fldCharType="begin"/>
      </w:r>
      <w:r>
        <w:rPr>
          <w:color w:val="auto"/>
          <w:highlight w:val="none"/>
        </w:rPr>
        <w:instrText xml:space="preserve"> PAGEREF _Toc31483 \h </w:instrText>
      </w:r>
      <w:r>
        <w:rPr>
          <w:color w:val="auto"/>
          <w:highlight w:val="none"/>
        </w:rPr>
        <w:fldChar w:fldCharType="separate"/>
      </w:r>
      <w:r>
        <w:rPr>
          <w:color w:val="auto"/>
          <w:highlight w:val="none"/>
        </w:rPr>
        <w:t>- 3 -</w:t>
      </w:r>
      <w:r>
        <w:rPr>
          <w:color w:val="auto"/>
          <w:highlight w:val="none"/>
        </w:rPr>
        <w:fldChar w:fldCharType="end"/>
      </w:r>
      <w:r>
        <w:rPr>
          <w:color w:val="auto"/>
          <w:highlight w:val="none"/>
        </w:rPr>
        <w:fldChar w:fldCharType="end"/>
      </w:r>
    </w:p>
    <w:p w14:paraId="4DF0C832">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"_Toc16451" </w:instrText>
      </w:r>
      <w:r>
        <w:rPr>
          <w:color w:val="auto"/>
          <w:highlight w:val="none"/>
        </w:rPr>
        <w:fldChar w:fldCharType="separate"/>
      </w:r>
      <w:r>
        <w:rPr>
          <w:rFonts w:hint="eastAsia" w:cs="方正仿宋_GBK" w:asciiTheme="minorEastAsia" w:hAnsiTheme="minorEastAsia" w:eastAsiaTheme="minorEastAsia"/>
          <w:color w:val="auto"/>
          <w:highlight w:val="none"/>
        </w:rPr>
        <w:t>一、招标项目内容</w:t>
      </w:r>
      <w:r>
        <w:rPr>
          <w:color w:val="auto"/>
          <w:highlight w:val="none"/>
        </w:rPr>
        <w:tab/>
      </w:r>
      <w:r>
        <w:rPr>
          <w:color w:val="auto"/>
          <w:highlight w:val="none"/>
        </w:rPr>
        <w:fldChar w:fldCharType="begin"/>
      </w:r>
      <w:r>
        <w:rPr>
          <w:color w:val="auto"/>
          <w:highlight w:val="none"/>
        </w:rPr>
        <w:instrText xml:space="preserve"> PAGEREF _Toc16451 \h </w:instrText>
      </w:r>
      <w:r>
        <w:rPr>
          <w:color w:val="auto"/>
          <w:highlight w:val="none"/>
        </w:rPr>
        <w:fldChar w:fldCharType="separate"/>
      </w:r>
      <w:r>
        <w:rPr>
          <w:color w:val="auto"/>
          <w:highlight w:val="none"/>
        </w:rPr>
        <w:t>- 3 -</w:t>
      </w:r>
      <w:r>
        <w:rPr>
          <w:color w:val="auto"/>
          <w:highlight w:val="none"/>
        </w:rPr>
        <w:fldChar w:fldCharType="end"/>
      </w:r>
      <w:r>
        <w:rPr>
          <w:color w:val="auto"/>
          <w:highlight w:val="none"/>
        </w:rPr>
        <w:fldChar w:fldCharType="end"/>
      </w:r>
    </w:p>
    <w:p w14:paraId="1118E458">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"_Toc21427" </w:instrText>
      </w:r>
      <w:r>
        <w:rPr>
          <w:color w:val="auto"/>
          <w:highlight w:val="none"/>
        </w:rPr>
        <w:fldChar w:fldCharType="separate"/>
      </w:r>
      <w:r>
        <w:rPr>
          <w:rFonts w:hint="eastAsia" w:cs="方正仿宋_GBK" w:asciiTheme="minorEastAsia" w:hAnsiTheme="minorEastAsia" w:eastAsiaTheme="minorEastAsia"/>
          <w:color w:val="auto"/>
          <w:highlight w:val="none"/>
        </w:rPr>
        <w:t>二、资金来源</w:t>
      </w:r>
      <w:r>
        <w:rPr>
          <w:color w:val="auto"/>
          <w:highlight w:val="none"/>
        </w:rPr>
        <w:tab/>
      </w:r>
      <w:r>
        <w:rPr>
          <w:color w:val="auto"/>
          <w:highlight w:val="none"/>
        </w:rPr>
        <w:fldChar w:fldCharType="begin"/>
      </w:r>
      <w:r>
        <w:rPr>
          <w:color w:val="auto"/>
          <w:highlight w:val="none"/>
        </w:rPr>
        <w:instrText xml:space="preserve"> PAGEREF _Toc21427 \h </w:instrText>
      </w:r>
      <w:r>
        <w:rPr>
          <w:color w:val="auto"/>
          <w:highlight w:val="none"/>
        </w:rPr>
        <w:fldChar w:fldCharType="separate"/>
      </w:r>
      <w:r>
        <w:rPr>
          <w:color w:val="auto"/>
          <w:highlight w:val="none"/>
        </w:rPr>
        <w:t>- 3 -</w:t>
      </w:r>
      <w:r>
        <w:rPr>
          <w:color w:val="auto"/>
          <w:highlight w:val="none"/>
        </w:rPr>
        <w:fldChar w:fldCharType="end"/>
      </w:r>
      <w:r>
        <w:rPr>
          <w:color w:val="auto"/>
          <w:highlight w:val="none"/>
        </w:rPr>
        <w:fldChar w:fldCharType="end"/>
      </w:r>
    </w:p>
    <w:p w14:paraId="275C06F7">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"_Toc30074" </w:instrText>
      </w:r>
      <w:r>
        <w:rPr>
          <w:color w:val="auto"/>
          <w:highlight w:val="none"/>
        </w:rPr>
        <w:fldChar w:fldCharType="separate"/>
      </w:r>
      <w:r>
        <w:rPr>
          <w:rFonts w:hint="eastAsia" w:cs="方正仿宋_GBK" w:asciiTheme="minorEastAsia" w:hAnsiTheme="minorEastAsia" w:eastAsiaTheme="minorEastAsia"/>
          <w:color w:val="auto"/>
          <w:highlight w:val="none"/>
        </w:rPr>
        <w:t>三、投标人资格要求</w:t>
      </w:r>
      <w:r>
        <w:rPr>
          <w:color w:val="auto"/>
          <w:highlight w:val="none"/>
        </w:rPr>
        <w:tab/>
      </w:r>
      <w:r>
        <w:rPr>
          <w:color w:val="auto"/>
          <w:highlight w:val="none"/>
        </w:rPr>
        <w:fldChar w:fldCharType="begin"/>
      </w:r>
      <w:r>
        <w:rPr>
          <w:color w:val="auto"/>
          <w:highlight w:val="none"/>
        </w:rPr>
        <w:instrText xml:space="preserve"> PAGEREF _Toc30074 \h </w:instrText>
      </w:r>
      <w:r>
        <w:rPr>
          <w:color w:val="auto"/>
          <w:highlight w:val="none"/>
        </w:rPr>
        <w:fldChar w:fldCharType="separate"/>
      </w:r>
      <w:r>
        <w:rPr>
          <w:color w:val="auto"/>
          <w:highlight w:val="none"/>
        </w:rPr>
        <w:t>- 3 -</w:t>
      </w:r>
      <w:r>
        <w:rPr>
          <w:color w:val="auto"/>
          <w:highlight w:val="none"/>
        </w:rPr>
        <w:fldChar w:fldCharType="end"/>
      </w:r>
      <w:r>
        <w:rPr>
          <w:color w:val="auto"/>
          <w:highlight w:val="none"/>
        </w:rPr>
        <w:fldChar w:fldCharType="end"/>
      </w:r>
    </w:p>
    <w:p w14:paraId="59EC0F51">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"_Toc10771" </w:instrText>
      </w:r>
      <w:r>
        <w:rPr>
          <w:color w:val="auto"/>
          <w:highlight w:val="none"/>
        </w:rPr>
        <w:fldChar w:fldCharType="separate"/>
      </w:r>
      <w:r>
        <w:rPr>
          <w:rFonts w:hint="eastAsia" w:cs="方正仿宋_GBK" w:asciiTheme="minorEastAsia" w:hAnsiTheme="minorEastAsia" w:eastAsiaTheme="minorEastAsia"/>
          <w:color w:val="auto"/>
          <w:highlight w:val="none"/>
        </w:rPr>
        <w:t>四、投标、开标有关说明</w:t>
      </w:r>
      <w:r>
        <w:rPr>
          <w:color w:val="auto"/>
          <w:highlight w:val="none"/>
        </w:rPr>
        <w:tab/>
      </w:r>
      <w:r>
        <w:rPr>
          <w:color w:val="auto"/>
          <w:highlight w:val="none"/>
        </w:rPr>
        <w:fldChar w:fldCharType="begin"/>
      </w:r>
      <w:r>
        <w:rPr>
          <w:color w:val="auto"/>
          <w:highlight w:val="none"/>
        </w:rPr>
        <w:instrText xml:space="preserve"> PAGEREF _Toc10771 \h </w:instrText>
      </w:r>
      <w:r>
        <w:rPr>
          <w:color w:val="auto"/>
          <w:highlight w:val="none"/>
        </w:rPr>
        <w:fldChar w:fldCharType="separate"/>
      </w:r>
      <w:r>
        <w:rPr>
          <w:color w:val="auto"/>
          <w:highlight w:val="none"/>
        </w:rPr>
        <w:t>- 4 -</w:t>
      </w:r>
      <w:r>
        <w:rPr>
          <w:color w:val="auto"/>
          <w:highlight w:val="none"/>
        </w:rPr>
        <w:fldChar w:fldCharType="end"/>
      </w:r>
      <w:r>
        <w:rPr>
          <w:color w:val="auto"/>
          <w:highlight w:val="none"/>
        </w:rPr>
        <w:fldChar w:fldCharType="end"/>
      </w:r>
    </w:p>
    <w:p w14:paraId="4D13667E">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"_Toc29675" </w:instrText>
      </w:r>
      <w:r>
        <w:rPr>
          <w:color w:val="auto"/>
          <w:highlight w:val="none"/>
        </w:rPr>
        <w:fldChar w:fldCharType="separate"/>
      </w:r>
      <w:r>
        <w:rPr>
          <w:rFonts w:hint="eastAsia" w:cs="方正仿宋_GBK" w:asciiTheme="minorEastAsia" w:hAnsiTheme="minorEastAsia" w:eastAsiaTheme="minorEastAsia"/>
          <w:color w:val="auto"/>
          <w:highlight w:val="none"/>
        </w:rPr>
        <w:t>五、招标文件购买费及投标保证金</w:t>
      </w:r>
      <w:r>
        <w:rPr>
          <w:color w:val="auto"/>
          <w:highlight w:val="none"/>
        </w:rPr>
        <w:tab/>
      </w:r>
      <w:r>
        <w:rPr>
          <w:color w:val="auto"/>
          <w:highlight w:val="none"/>
        </w:rPr>
        <w:fldChar w:fldCharType="begin"/>
      </w:r>
      <w:r>
        <w:rPr>
          <w:color w:val="auto"/>
          <w:highlight w:val="none"/>
        </w:rPr>
        <w:instrText xml:space="preserve"> PAGEREF _Toc29675 \h </w:instrText>
      </w:r>
      <w:r>
        <w:rPr>
          <w:color w:val="auto"/>
          <w:highlight w:val="none"/>
        </w:rPr>
        <w:fldChar w:fldCharType="separate"/>
      </w:r>
      <w:r>
        <w:rPr>
          <w:color w:val="auto"/>
          <w:highlight w:val="none"/>
        </w:rPr>
        <w:t>- 4 -</w:t>
      </w:r>
      <w:r>
        <w:rPr>
          <w:color w:val="auto"/>
          <w:highlight w:val="none"/>
        </w:rPr>
        <w:fldChar w:fldCharType="end"/>
      </w:r>
      <w:r>
        <w:rPr>
          <w:color w:val="auto"/>
          <w:highlight w:val="none"/>
        </w:rPr>
        <w:fldChar w:fldCharType="end"/>
      </w:r>
    </w:p>
    <w:p w14:paraId="0B4DF079">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"_Toc32551" </w:instrText>
      </w:r>
      <w:r>
        <w:rPr>
          <w:color w:val="auto"/>
          <w:highlight w:val="none"/>
        </w:rPr>
        <w:fldChar w:fldCharType="separate"/>
      </w:r>
      <w:r>
        <w:rPr>
          <w:rFonts w:hint="eastAsia" w:cs="方正仿宋_GBK" w:asciiTheme="minorEastAsia" w:hAnsiTheme="minorEastAsia" w:eastAsiaTheme="minorEastAsia"/>
          <w:color w:val="auto"/>
          <w:highlight w:val="none"/>
        </w:rPr>
        <w:t>六、采购项目需落实的政府采购政策</w:t>
      </w:r>
      <w:r>
        <w:rPr>
          <w:color w:val="auto"/>
          <w:highlight w:val="none"/>
        </w:rPr>
        <w:tab/>
      </w:r>
      <w:r>
        <w:rPr>
          <w:color w:val="auto"/>
          <w:highlight w:val="none"/>
        </w:rPr>
        <w:fldChar w:fldCharType="begin"/>
      </w:r>
      <w:r>
        <w:rPr>
          <w:color w:val="auto"/>
          <w:highlight w:val="none"/>
        </w:rPr>
        <w:instrText xml:space="preserve"> PAGEREF _Toc32551 \h </w:instrText>
      </w:r>
      <w:r>
        <w:rPr>
          <w:color w:val="auto"/>
          <w:highlight w:val="none"/>
        </w:rPr>
        <w:fldChar w:fldCharType="separate"/>
      </w:r>
      <w:r>
        <w:rPr>
          <w:color w:val="auto"/>
          <w:highlight w:val="none"/>
        </w:rPr>
        <w:t>- 5 -</w:t>
      </w:r>
      <w:r>
        <w:rPr>
          <w:color w:val="auto"/>
          <w:highlight w:val="none"/>
        </w:rPr>
        <w:fldChar w:fldCharType="end"/>
      </w:r>
      <w:r>
        <w:rPr>
          <w:color w:val="auto"/>
          <w:highlight w:val="none"/>
        </w:rPr>
        <w:fldChar w:fldCharType="end"/>
      </w:r>
    </w:p>
    <w:p w14:paraId="6958F8EF">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"_Toc1050" </w:instrText>
      </w:r>
      <w:r>
        <w:rPr>
          <w:color w:val="auto"/>
          <w:highlight w:val="none"/>
        </w:rPr>
        <w:fldChar w:fldCharType="separate"/>
      </w:r>
      <w:r>
        <w:rPr>
          <w:rFonts w:hint="eastAsia" w:cs="方正仿宋_GBK" w:asciiTheme="minorEastAsia" w:hAnsiTheme="minorEastAsia" w:eastAsiaTheme="minorEastAsia"/>
          <w:color w:val="auto"/>
          <w:highlight w:val="none"/>
        </w:rPr>
        <w:t>七、投标有关规定</w:t>
      </w:r>
      <w:r>
        <w:rPr>
          <w:color w:val="auto"/>
          <w:highlight w:val="none"/>
        </w:rPr>
        <w:tab/>
      </w:r>
      <w:r>
        <w:rPr>
          <w:color w:val="auto"/>
          <w:highlight w:val="none"/>
        </w:rPr>
        <w:fldChar w:fldCharType="begin"/>
      </w:r>
      <w:r>
        <w:rPr>
          <w:color w:val="auto"/>
          <w:highlight w:val="none"/>
        </w:rPr>
        <w:instrText xml:space="preserve"> PAGEREF _Toc1050 \h </w:instrText>
      </w:r>
      <w:r>
        <w:rPr>
          <w:color w:val="auto"/>
          <w:highlight w:val="none"/>
        </w:rPr>
        <w:fldChar w:fldCharType="separate"/>
      </w:r>
      <w:r>
        <w:rPr>
          <w:color w:val="auto"/>
          <w:highlight w:val="none"/>
        </w:rPr>
        <w:t>- 6 -</w:t>
      </w:r>
      <w:r>
        <w:rPr>
          <w:color w:val="auto"/>
          <w:highlight w:val="none"/>
        </w:rPr>
        <w:fldChar w:fldCharType="end"/>
      </w:r>
      <w:r>
        <w:rPr>
          <w:color w:val="auto"/>
          <w:highlight w:val="none"/>
        </w:rPr>
        <w:fldChar w:fldCharType="end"/>
      </w:r>
    </w:p>
    <w:p w14:paraId="34F71417">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"_Toc7808" </w:instrText>
      </w:r>
      <w:r>
        <w:rPr>
          <w:color w:val="auto"/>
          <w:highlight w:val="none"/>
        </w:rPr>
        <w:fldChar w:fldCharType="separate"/>
      </w:r>
      <w:r>
        <w:rPr>
          <w:rFonts w:hint="eastAsia" w:cs="方正仿宋_GBK" w:asciiTheme="minorEastAsia" w:hAnsiTheme="minorEastAsia" w:eastAsiaTheme="minorEastAsia"/>
          <w:color w:val="auto"/>
          <w:highlight w:val="none"/>
        </w:rPr>
        <w:t>八、联系方式</w:t>
      </w:r>
      <w:r>
        <w:rPr>
          <w:color w:val="auto"/>
          <w:highlight w:val="none"/>
        </w:rPr>
        <w:tab/>
      </w:r>
      <w:r>
        <w:rPr>
          <w:color w:val="auto"/>
          <w:highlight w:val="none"/>
        </w:rPr>
        <w:fldChar w:fldCharType="begin"/>
      </w:r>
      <w:r>
        <w:rPr>
          <w:color w:val="auto"/>
          <w:highlight w:val="none"/>
        </w:rPr>
        <w:instrText xml:space="preserve"> PAGEREF _Toc7808 \h </w:instrText>
      </w:r>
      <w:r>
        <w:rPr>
          <w:color w:val="auto"/>
          <w:highlight w:val="none"/>
        </w:rPr>
        <w:fldChar w:fldCharType="separate"/>
      </w:r>
      <w:r>
        <w:rPr>
          <w:color w:val="auto"/>
          <w:highlight w:val="none"/>
        </w:rPr>
        <w:t>- 6 -</w:t>
      </w:r>
      <w:r>
        <w:rPr>
          <w:color w:val="auto"/>
          <w:highlight w:val="none"/>
        </w:rPr>
        <w:fldChar w:fldCharType="end"/>
      </w:r>
      <w:r>
        <w:rPr>
          <w:color w:val="auto"/>
          <w:highlight w:val="none"/>
        </w:rPr>
        <w:fldChar w:fldCharType="end"/>
      </w:r>
    </w:p>
    <w:p w14:paraId="1612AA45">
      <w:pPr>
        <w:pStyle w:val="13"/>
        <w:tabs>
          <w:tab w:val="right" w:leader="dot" w:pos="9412"/>
          <w:tab w:val="clear" w:pos="1260"/>
          <w:tab w:val="clear" w:pos="1685"/>
          <w:tab w:val="clear" w:pos="8400"/>
        </w:tabs>
        <w:ind w:firstLine="281"/>
        <w:rPr>
          <w:color w:val="auto"/>
          <w:highlight w:val="none"/>
        </w:rPr>
      </w:pPr>
      <w:r>
        <w:rPr>
          <w:color w:val="auto"/>
          <w:highlight w:val="none"/>
        </w:rPr>
        <w:fldChar w:fldCharType="begin"/>
      </w:r>
      <w:r>
        <w:rPr>
          <w:color w:val="auto"/>
          <w:highlight w:val="none"/>
        </w:rPr>
        <w:instrText xml:space="preserve"> HYPERLINK \l "_Toc15360" </w:instrText>
      </w:r>
      <w:r>
        <w:rPr>
          <w:color w:val="auto"/>
          <w:highlight w:val="none"/>
        </w:rPr>
        <w:fldChar w:fldCharType="separate"/>
      </w:r>
      <w:r>
        <w:rPr>
          <w:rFonts w:hint="eastAsia" w:cs="方正仿宋_GBK" w:asciiTheme="minorEastAsia" w:hAnsiTheme="minorEastAsia" w:eastAsiaTheme="minorEastAsia"/>
          <w:color w:val="auto"/>
          <w:highlight w:val="none"/>
        </w:rPr>
        <w:t>第二篇 项目技术（质量）需求</w:t>
      </w:r>
      <w:r>
        <w:rPr>
          <w:color w:val="auto"/>
          <w:highlight w:val="none"/>
        </w:rPr>
        <w:tab/>
      </w:r>
      <w:r>
        <w:rPr>
          <w:color w:val="auto"/>
          <w:highlight w:val="none"/>
        </w:rPr>
        <w:fldChar w:fldCharType="begin"/>
      </w:r>
      <w:r>
        <w:rPr>
          <w:color w:val="auto"/>
          <w:highlight w:val="none"/>
        </w:rPr>
        <w:instrText xml:space="preserve"> PAGEREF _Toc15360 \h </w:instrText>
      </w:r>
      <w:r>
        <w:rPr>
          <w:color w:val="auto"/>
          <w:highlight w:val="none"/>
        </w:rPr>
        <w:fldChar w:fldCharType="separate"/>
      </w:r>
      <w:r>
        <w:rPr>
          <w:color w:val="auto"/>
          <w:highlight w:val="none"/>
        </w:rPr>
        <w:t>- 7 -</w:t>
      </w:r>
      <w:r>
        <w:rPr>
          <w:color w:val="auto"/>
          <w:highlight w:val="none"/>
        </w:rPr>
        <w:fldChar w:fldCharType="end"/>
      </w:r>
      <w:r>
        <w:rPr>
          <w:color w:val="auto"/>
          <w:highlight w:val="none"/>
        </w:rPr>
        <w:fldChar w:fldCharType="end"/>
      </w:r>
    </w:p>
    <w:p w14:paraId="6522D565">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"_Toc9241" </w:instrText>
      </w:r>
      <w:r>
        <w:rPr>
          <w:color w:val="auto"/>
          <w:highlight w:val="none"/>
        </w:rPr>
        <w:fldChar w:fldCharType="separate"/>
      </w:r>
      <w:r>
        <w:rPr>
          <w:rFonts w:hint="eastAsia"/>
          <w:color w:val="auto"/>
          <w:highlight w:val="none"/>
        </w:rPr>
        <w:t>一、</w:t>
      </w:r>
      <w:r>
        <w:rPr>
          <w:rFonts w:hint="eastAsia"/>
          <w:color w:val="auto"/>
          <w:szCs w:val="24"/>
          <w:highlight w:val="none"/>
        </w:rPr>
        <w:t>招标项目一览表</w:t>
      </w:r>
      <w:r>
        <w:rPr>
          <w:color w:val="auto"/>
          <w:highlight w:val="none"/>
        </w:rPr>
        <w:tab/>
      </w:r>
      <w:r>
        <w:rPr>
          <w:color w:val="auto"/>
          <w:highlight w:val="none"/>
        </w:rPr>
        <w:fldChar w:fldCharType="begin"/>
      </w:r>
      <w:r>
        <w:rPr>
          <w:color w:val="auto"/>
          <w:highlight w:val="none"/>
        </w:rPr>
        <w:instrText xml:space="preserve"> PAGEREF _Toc9241 \h </w:instrText>
      </w:r>
      <w:r>
        <w:rPr>
          <w:color w:val="auto"/>
          <w:highlight w:val="none"/>
        </w:rPr>
        <w:fldChar w:fldCharType="separate"/>
      </w:r>
      <w:r>
        <w:rPr>
          <w:color w:val="auto"/>
          <w:highlight w:val="none"/>
        </w:rPr>
        <w:t>- 7 -</w:t>
      </w:r>
      <w:r>
        <w:rPr>
          <w:color w:val="auto"/>
          <w:highlight w:val="none"/>
        </w:rPr>
        <w:fldChar w:fldCharType="end"/>
      </w:r>
      <w:r>
        <w:rPr>
          <w:color w:val="auto"/>
          <w:highlight w:val="none"/>
        </w:rPr>
        <w:fldChar w:fldCharType="end"/>
      </w:r>
    </w:p>
    <w:p w14:paraId="1397F6BD">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"_Toc22000" </w:instrText>
      </w:r>
      <w:r>
        <w:rPr>
          <w:color w:val="auto"/>
          <w:highlight w:val="none"/>
        </w:rPr>
        <w:fldChar w:fldCharType="separate"/>
      </w:r>
      <w:r>
        <w:rPr>
          <w:rFonts w:hint="eastAsia"/>
          <w:color w:val="auto"/>
          <w:highlight w:val="none"/>
        </w:rPr>
        <w:t>二、</w:t>
      </w:r>
      <w:r>
        <w:rPr>
          <w:color w:val="auto"/>
          <w:highlight w:val="none"/>
        </w:rPr>
        <w:t>项目功能和质量要求</w:t>
      </w:r>
      <w:r>
        <w:rPr>
          <w:color w:val="auto"/>
          <w:highlight w:val="none"/>
        </w:rPr>
        <w:tab/>
      </w:r>
      <w:r>
        <w:rPr>
          <w:color w:val="auto"/>
          <w:highlight w:val="none"/>
        </w:rPr>
        <w:fldChar w:fldCharType="begin"/>
      </w:r>
      <w:r>
        <w:rPr>
          <w:color w:val="auto"/>
          <w:highlight w:val="none"/>
        </w:rPr>
        <w:instrText xml:space="preserve"> PAGEREF _Toc22000 \h </w:instrText>
      </w:r>
      <w:r>
        <w:rPr>
          <w:color w:val="auto"/>
          <w:highlight w:val="none"/>
        </w:rPr>
        <w:fldChar w:fldCharType="separate"/>
      </w:r>
      <w:r>
        <w:rPr>
          <w:color w:val="auto"/>
          <w:highlight w:val="none"/>
        </w:rPr>
        <w:t>- 7 -</w:t>
      </w:r>
      <w:r>
        <w:rPr>
          <w:color w:val="auto"/>
          <w:highlight w:val="none"/>
        </w:rPr>
        <w:fldChar w:fldCharType="end"/>
      </w:r>
      <w:r>
        <w:rPr>
          <w:color w:val="auto"/>
          <w:highlight w:val="none"/>
        </w:rPr>
        <w:fldChar w:fldCharType="end"/>
      </w:r>
    </w:p>
    <w:p w14:paraId="678692E5">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"_Toc15926" </w:instrText>
      </w:r>
      <w:r>
        <w:rPr>
          <w:color w:val="auto"/>
          <w:highlight w:val="none"/>
        </w:rPr>
        <w:fldChar w:fldCharType="separate"/>
      </w:r>
      <w:r>
        <w:rPr>
          <w:rFonts w:hint="eastAsia"/>
          <w:color w:val="auto"/>
          <w:highlight w:val="none"/>
        </w:rPr>
        <w:t>三、项目详细技术指标</w:t>
      </w:r>
      <w:r>
        <w:rPr>
          <w:color w:val="auto"/>
          <w:highlight w:val="none"/>
        </w:rPr>
        <w:tab/>
      </w:r>
      <w:r>
        <w:rPr>
          <w:color w:val="auto"/>
          <w:highlight w:val="none"/>
        </w:rPr>
        <w:fldChar w:fldCharType="begin"/>
      </w:r>
      <w:r>
        <w:rPr>
          <w:color w:val="auto"/>
          <w:highlight w:val="none"/>
        </w:rPr>
        <w:instrText xml:space="preserve"> PAGEREF _Toc15926 \h </w:instrText>
      </w:r>
      <w:r>
        <w:rPr>
          <w:color w:val="auto"/>
          <w:highlight w:val="none"/>
        </w:rPr>
        <w:fldChar w:fldCharType="separate"/>
      </w:r>
      <w:r>
        <w:rPr>
          <w:color w:val="auto"/>
          <w:highlight w:val="none"/>
        </w:rPr>
        <w:t>- 7 -</w:t>
      </w:r>
      <w:r>
        <w:rPr>
          <w:color w:val="auto"/>
          <w:highlight w:val="none"/>
        </w:rPr>
        <w:fldChar w:fldCharType="end"/>
      </w:r>
      <w:r>
        <w:rPr>
          <w:color w:val="auto"/>
          <w:highlight w:val="none"/>
        </w:rPr>
        <w:fldChar w:fldCharType="end"/>
      </w:r>
    </w:p>
    <w:p w14:paraId="6C337D6E">
      <w:pPr>
        <w:pStyle w:val="13"/>
        <w:tabs>
          <w:tab w:val="right" w:leader="dot" w:pos="9412"/>
          <w:tab w:val="clear" w:pos="1260"/>
          <w:tab w:val="clear" w:pos="1685"/>
          <w:tab w:val="clear" w:pos="8400"/>
        </w:tabs>
        <w:ind w:firstLine="281"/>
        <w:rPr>
          <w:color w:val="auto"/>
          <w:highlight w:val="none"/>
        </w:rPr>
      </w:pPr>
      <w:r>
        <w:rPr>
          <w:color w:val="auto"/>
          <w:highlight w:val="none"/>
        </w:rPr>
        <w:fldChar w:fldCharType="begin"/>
      </w:r>
      <w:r>
        <w:rPr>
          <w:color w:val="auto"/>
          <w:highlight w:val="none"/>
        </w:rPr>
        <w:instrText xml:space="preserve"> HYPERLINK \l "_Toc6000" </w:instrText>
      </w:r>
      <w:r>
        <w:rPr>
          <w:color w:val="auto"/>
          <w:highlight w:val="none"/>
        </w:rPr>
        <w:fldChar w:fldCharType="separate"/>
      </w:r>
      <w:r>
        <w:rPr>
          <w:rFonts w:hint="eastAsia" w:cs="方正仿宋_GBK" w:asciiTheme="minorEastAsia" w:hAnsiTheme="minorEastAsia" w:eastAsiaTheme="minorEastAsia"/>
          <w:color w:val="auto"/>
          <w:highlight w:val="none"/>
        </w:rPr>
        <w:t>第三篇  项目商务需求</w:t>
      </w:r>
      <w:r>
        <w:rPr>
          <w:color w:val="auto"/>
          <w:highlight w:val="none"/>
        </w:rPr>
        <w:tab/>
      </w:r>
      <w:r>
        <w:rPr>
          <w:color w:val="auto"/>
          <w:highlight w:val="none"/>
        </w:rPr>
        <w:fldChar w:fldCharType="begin"/>
      </w:r>
      <w:r>
        <w:rPr>
          <w:color w:val="auto"/>
          <w:highlight w:val="none"/>
        </w:rPr>
        <w:instrText xml:space="preserve"> PAGEREF _Toc6000 \h </w:instrText>
      </w:r>
      <w:r>
        <w:rPr>
          <w:color w:val="auto"/>
          <w:highlight w:val="none"/>
        </w:rPr>
        <w:fldChar w:fldCharType="separate"/>
      </w:r>
      <w:r>
        <w:rPr>
          <w:color w:val="auto"/>
          <w:highlight w:val="none"/>
        </w:rPr>
        <w:t>- 15 -</w:t>
      </w:r>
      <w:r>
        <w:rPr>
          <w:color w:val="auto"/>
          <w:highlight w:val="none"/>
        </w:rPr>
        <w:fldChar w:fldCharType="end"/>
      </w:r>
      <w:r>
        <w:rPr>
          <w:color w:val="auto"/>
          <w:highlight w:val="none"/>
        </w:rPr>
        <w:fldChar w:fldCharType="end"/>
      </w:r>
    </w:p>
    <w:p w14:paraId="4510F44A">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"_Toc29519" </w:instrText>
      </w:r>
      <w:r>
        <w:rPr>
          <w:color w:val="auto"/>
          <w:highlight w:val="none"/>
        </w:rPr>
        <w:fldChar w:fldCharType="separate"/>
      </w:r>
      <w:r>
        <w:rPr>
          <w:rFonts w:hint="eastAsia" w:cs="方正仿宋_GBK" w:asciiTheme="minorEastAsia" w:hAnsiTheme="minorEastAsia" w:eastAsiaTheme="minorEastAsia"/>
          <w:bCs/>
          <w:color w:val="auto"/>
          <w:kern w:val="0"/>
          <w:szCs w:val="24"/>
          <w:highlight w:val="none"/>
        </w:rPr>
        <w:t>一、交货期、交货地点及验收方式</w:t>
      </w:r>
      <w:r>
        <w:rPr>
          <w:color w:val="auto"/>
          <w:highlight w:val="none"/>
        </w:rPr>
        <w:tab/>
      </w:r>
      <w:r>
        <w:rPr>
          <w:color w:val="auto"/>
          <w:highlight w:val="none"/>
        </w:rPr>
        <w:fldChar w:fldCharType="begin"/>
      </w:r>
      <w:r>
        <w:rPr>
          <w:color w:val="auto"/>
          <w:highlight w:val="none"/>
        </w:rPr>
        <w:instrText xml:space="preserve"> PAGEREF _Toc29519 \h </w:instrText>
      </w:r>
      <w:r>
        <w:rPr>
          <w:color w:val="auto"/>
          <w:highlight w:val="none"/>
        </w:rPr>
        <w:fldChar w:fldCharType="separate"/>
      </w:r>
      <w:r>
        <w:rPr>
          <w:color w:val="auto"/>
          <w:highlight w:val="none"/>
        </w:rPr>
        <w:t>- 15 -</w:t>
      </w:r>
      <w:r>
        <w:rPr>
          <w:color w:val="auto"/>
          <w:highlight w:val="none"/>
        </w:rPr>
        <w:fldChar w:fldCharType="end"/>
      </w:r>
      <w:r>
        <w:rPr>
          <w:color w:val="auto"/>
          <w:highlight w:val="none"/>
        </w:rPr>
        <w:fldChar w:fldCharType="end"/>
      </w:r>
    </w:p>
    <w:p w14:paraId="3A449039">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"_Toc4092" </w:instrText>
      </w:r>
      <w:r>
        <w:rPr>
          <w:color w:val="auto"/>
          <w:highlight w:val="none"/>
        </w:rPr>
        <w:fldChar w:fldCharType="separate"/>
      </w:r>
      <w:r>
        <w:rPr>
          <w:rFonts w:hint="eastAsia" w:cs="方正仿宋_GBK" w:asciiTheme="minorEastAsia" w:hAnsiTheme="minorEastAsia" w:eastAsiaTheme="minorEastAsia"/>
          <w:bCs/>
          <w:color w:val="auto"/>
          <w:kern w:val="0"/>
          <w:szCs w:val="24"/>
          <w:highlight w:val="none"/>
        </w:rPr>
        <w:t>二、报价要求</w:t>
      </w:r>
      <w:r>
        <w:rPr>
          <w:color w:val="auto"/>
          <w:highlight w:val="none"/>
        </w:rPr>
        <w:tab/>
      </w:r>
      <w:r>
        <w:rPr>
          <w:color w:val="auto"/>
          <w:highlight w:val="none"/>
        </w:rPr>
        <w:fldChar w:fldCharType="begin"/>
      </w:r>
      <w:r>
        <w:rPr>
          <w:color w:val="auto"/>
          <w:highlight w:val="none"/>
        </w:rPr>
        <w:instrText xml:space="preserve"> PAGEREF _Toc4092 \h </w:instrText>
      </w:r>
      <w:r>
        <w:rPr>
          <w:color w:val="auto"/>
          <w:highlight w:val="none"/>
        </w:rPr>
        <w:fldChar w:fldCharType="separate"/>
      </w:r>
      <w:r>
        <w:rPr>
          <w:color w:val="auto"/>
          <w:highlight w:val="none"/>
        </w:rPr>
        <w:t>- 16 -</w:t>
      </w:r>
      <w:r>
        <w:rPr>
          <w:color w:val="auto"/>
          <w:highlight w:val="none"/>
        </w:rPr>
        <w:fldChar w:fldCharType="end"/>
      </w:r>
      <w:r>
        <w:rPr>
          <w:color w:val="auto"/>
          <w:highlight w:val="none"/>
        </w:rPr>
        <w:fldChar w:fldCharType="end"/>
      </w:r>
    </w:p>
    <w:p w14:paraId="0AF735C9">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"_Toc13385" </w:instrText>
      </w:r>
      <w:r>
        <w:rPr>
          <w:color w:val="auto"/>
          <w:highlight w:val="none"/>
        </w:rPr>
        <w:fldChar w:fldCharType="separate"/>
      </w:r>
      <w:r>
        <w:rPr>
          <w:rFonts w:hint="eastAsia" w:cs="方正仿宋_GBK" w:asciiTheme="minorEastAsia" w:hAnsiTheme="minorEastAsia" w:eastAsiaTheme="minorEastAsia"/>
          <w:bCs/>
          <w:color w:val="auto"/>
          <w:kern w:val="0"/>
          <w:szCs w:val="24"/>
          <w:highlight w:val="none"/>
        </w:rPr>
        <w:t>三、质量保证及售后服务</w:t>
      </w:r>
      <w:r>
        <w:rPr>
          <w:color w:val="auto"/>
          <w:highlight w:val="none"/>
        </w:rPr>
        <w:tab/>
      </w:r>
      <w:r>
        <w:rPr>
          <w:color w:val="auto"/>
          <w:highlight w:val="none"/>
        </w:rPr>
        <w:fldChar w:fldCharType="begin"/>
      </w:r>
      <w:r>
        <w:rPr>
          <w:color w:val="auto"/>
          <w:highlight w:val="none"/>
        </w:rPr>
        <w:instrText xml:space="preserve"> PAGEREF _Toc13385 \h </w:instrText>
      </w:r>
      <w:r>
        <w:rPr>
          <w:color w:val="auto"/>
          <w:highlight w:val="none"/>
        </w:rPr>
        <w:fldChar w:fldCharType="separate"/>
      </w:r>
      <w:r>
        <w:rPr>
          <w:color w:val="auto"/>
          <w:highlight w:val="none"/>
        </w:rPr>
        <w:t>- 16 -</w:t>
      </w:r>
      <w:r>
        <w:rPr>
          <w:color w:val="auto"/>
          <w:highlight w:val="none"/>
        </w:rPr>
        <w:fldChar w:fldCharType="end"/>
      </w:r>
      <w:r>
        <w:rPr>
          <w:color w:val="auto"/>
          <w:highlight w:val="none"/>
        </w:rPr>
        <w:fldChar w:fldCharType="end"/>
      </w:r>
    </w:p>
    <w:p w14:paraId="47E57EA8">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"_Toc30421" </w:instrText>
      </w:r>
      <w:r>
        <w:rPr>
          <w:color w:val="auto"/>
          <w:highlight w:val="none"/>
        </w:rPr>
        <w:fldChar w:fldCharType="separate"/>
      </w:r>
      <w:r>
        <w:rPr>
          <w:rFonts w:hint="eastAsia" w:cs="方正仿宋_GBK" w:asciiTheme="minorEastAsia" w:hAnsiTheme="minorEastAsia" w:eastAsiaTheme="minorEastAsia"/>
          <w:bCs/>
          <w:color w:val="auto"/>
          <w:kern w:val="0"/>
          <w:szCs w:val="24"/>
          <w:highlight w:val="none"/>
        </w:rPr>
        <w:t>四、付款方式</w:t>
      </w:r>
      <w:r>
        <w:rPr>
          <w:color w:val="auto"/>
          <w:highlight w:val="none"/>
        </w:rPr>
        <w:tab/>
      </w:r>
      <w:r>
        <w:rPr>
          <w:color w:val="auto"/>
          <w:highlight w:val="none"/>
        </w:rPr>
        <w:fldChar w:fldCharType="begin"/>
      </w:r>
      <w:r>
        <w:rPr>
          <w:color w:val="auto"/>
          <w:highlight w:val="none"/>
        </w:rPr>
        <w:instrText xml:space="preserve"> PAGEREF _Toc30421 \h </w:instrText>
      </w:r>
      <w:r>
        <w:rPr>
          <w:color w:val="auto"/>
          <w:highlight w:val="none"/>
        </w:rPr>
        <w:fldChar w:fldCharType="separate"/>
      </w:r>
      <w:r>
        <w:rPr>
          <w:color w:val="auto"/>
          <w:highlight w:val="none"/>
        </w:rPr>
        <w:t>- 17 -</w:t>
      </w:r>
      <w:r>
        <w:rPr>
          <w:color w:val="auto"/>
          <w:highlight w:val="none"/>
        </w:rPr>
        <w:fldChar w:fldCharType="end"/>
      </w:r>
      <w:r>
        <w:rPr>
          <w:color w:val="auto"/>
          <w:highlight w:val="none"/>
        </w:rPr>
        <w:fldChar w:fldCharType="end"/>
      </w:r>
    </w:p>
    <w:p w14:paraId="642C633C">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"_Toc1420" </w:instrText>
      </w:r>
      <w:r>
        <w:rPr>
          <w:color w:val="auto"/>
          <w:highlight w:val="none"/>
        </w:rPr>
        <w:fldChar w:fldCharType="separate"/>
      </w:r>
      <w:r>
        <w:rPr>
          <w:rFonts w:hint="eastAsia" w:cs="方正仿宋_GBK" w:asciiTheme="minorEastAsia" w:hAnsiTheme="minorEastAsia" w:eastAsiaTheme="minorEastAsia"/>
          <w:bCs/>
          <w:color w:val="auto"/>
          <w:kern w:val="0"/>
          <w:szCs w:val="24"/>
          <w:highlight w:val="none"/>
        </w:rPr>
        <w:t>五、履约保证金</w:t>
      </w:r>
      <w:r>
        <w:rPr>
          <w:color w:val="auto"/>
          <w:highlight w:val="none"/>
        </w:rPr>
        <w:tab/>
      </w:r>
      <w:r>
        <w:rPr>
          <w:color w:val="auto"/>
          <w:highlight w:val="none"/>
        </w:rPr>
        <w:fldChar w:fldCharType="begin"/>
      </w:r>
      <w:r>
        <w:rPr>
          <w:color w:val="auto"/>
          <w:highlight w:val="none"/>
        </w:rPr>
        <w:instrText xml:space="preserve"> PAGEREF _Toc1420 \h </w:instrText>
      </w:r>
      <w:r>
        <w:rPr>
          <w:color w:val="auto"/>
          <w:highlight w:val="none"/>
        </w:rPr>
        <w:fldChar w:fldCharType="separate"/>
      </w:r>
      <w:r>
        <w:rPr>
          <w:color w:val="auto"/>
          <w:highlight w:val="none"/>
        </w:rPr>
        <w:t>- 18 -</w:t>
      </w:r>
      <w:r>
        <w:rPr>
          <w:color w:val="auto"/>
          <w:highlight w:val="none"/>
        </w:rPr>
        <w:fldChar w:fldCharType="end"/>
      </w:r>
      <w:r>
        <w:rPr>
          <w:color w:val="auto"/>
          <w:highlight w:val="none"/>
        </w:rPr>
        <w:fldChar w:fldCharType="end"/>
      </w:r>
    </w:p>
    <w:p w14:paraId="15626704">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"_Toc26690" </w:instrText>
      </w:r>
      <w:r>
        <w:rPr>
          <w:color w:val="auto"/>
          <w:highlight w:val="none"/>
        </w:rPr>
        <w:fldChar w:fldCharType="separate"/>
      </w:r>
      <w:r>
        <w:rPr>
          <w:rFonts w:hint="eastAsia" w:cs="方正仿宋_GBK" w:asciiTheme="minorEastAsia" w:hAnsiTheme="minorEastAsia" w:eastAsiaTheme="minorEastAsia"/>
          <w:bCs/>
          <w:color w:val="auto"/>
          <w:kern w:val="0"/>
          <w:szCs w:val="24"/>
          <w:highlight w:val="none"/>
        </w:rPr>
        <w:t>六、违约责任</w:t>
      </w:r>
      <w:r>
        <w:rPr>
          <w:color w:val="auto"/>
          <w:highlight w:val="none"/>
        </w:rPr>
        <w:tab/>
      </w:r>
      <w:r>
        <w:rPr>
          <w:color w:val="auto"/>
          <w:highlight w:val="none"/>
        </w:rPr>
        <w:fldChar w:fldCharType="begin"/>
      </w:r>
      <w:r>
        <w:rPr>
          <w:color w:val="auto"/>
          <w:highlight w:val="none"/>
        </w:rPr>
        <w:instrText xml:space="preserve"> PAGEREF _Toc26690 \h </w:instrText>
      </w:r>
      <w:r>
        <w:rPr>
          <w:color w:val="auto"/>
          <w:highlight w:val="none"/>
        </w:rPr>
        <w:fldChar w:fldCharType="separate"/>
      </w:r>
      <w:r>
        <w:rPr>
          <w:color w:val="auto"/>
          <w:highlight w:val="none"/>
        </w:rPr>
        <w:t>- 19 -</w:t>
      </w:r>
      <w:r>
        <w:rPr>
          <w:color w:val="auto"/>
          <w:highlight w:val="none"/>
        </w:rPr>
        <w:fldChar w:fldCharType="end"/>
      </w:r>
      <w:r>
        <w:rPr>
          <w:color w:val="auto"/>
          <w:highlight w:val="none"/>
        </w:rPr>
        <w:fldChar w:fldCharType="end"/>
      </w:r>
    </w:p>
    <w:p w14:paraId="20CFDC73">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"_Toc7610" </w:instrText>
      </w:r>
      <w:r>
        <w:rPr>
          <w:color w:val="auto"/>
          <w:highlight w:val="none"/>
        </w:rPr>
        <w:fldChar w:fldCharType="separate"/>
      </w:r>
      <w:r>
        <w:rPr>
          <w:rFonts w:hint="eastAsia" w:cs="方正仿宋_GBK" w:asciiTheme="minorEastAsia" w:hAnsiTheme="minorEastAsia" w:eastAsiaTheme="minorEastAsia"/>
          <w:bCs/>
          <w:color w:val="auto"/>
          <w:kern w:val="0"/>
          <w:szCs w:val="24"/>
          <w:highlight w:val="none"/>
        </w:rPr>
        <w:t>七、知识产权</w:t>
      </w:r>
      <w:r>
        <w:rPr>
          <w:color w:val="auto"/>
          <w:highlight w:val="none"/>
        </w:rPr>
        <w:tab/>
      </w:r>
      <w:r>
        <w:rPr>
          <w:color w:val="auto"/>
          <w:highlight w:val="none"/>
        </w:rPr>
        <w:fldChar w:fldCharType="begin"/>
      </w:r>
      <w:r>
        <w:rPr>
          <w:color w:val="auto"/>
          <w:highlight w:val="none"/>
        </w:rPr>
        <w:instrText xml:space="preserve"> PAGEREF _Toc7610 \h </w:instrText>
      </w:r>
      <w:r>
        <w:rPr>
          <w:color w:val="auto"/>
          <w:highlight w:val="none"/>
        </w:rPr>
        <w:fldChar w:fldCharType="separate"/>
      </w:r>
      <w:r>
        <w:rPr>
          <w:color w:val="auto"/>
          <w:highlight w:val="none"/>
        </w:rPr>
        <w:t>- 20 -</w:t>
      </w:r>
      <w:r>
        <w:rPr>
          <w:color w:val="auto"/>
          <w:highlight w:val="none"/>
        </w:rPr>
        <w:fldChar w:fldCharType="end"/>
      </w:r>
      <w:r>
        <w:rPr>
          <w:color w:val="auto"/>
          <w:highlight w:val="none"/>
        </w:rPr>
        <w:fldChar w:fldCharType="end"/>
      </w:r>
    </w:p>
    <w:p w14:paraId="2BE07059">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"_Toc1526" </w:instrText>
      </w:r>
      <w:r>
        <w:rPr>
          <w:color w:val="auto"/>
          <w:highlight w:val="none"/>
        </w:rPr>
        <w:fldChar w:fldCharType="separate"/>
      </w:r>
      <w:r>
        <w:rPr>
          <w:rFonts w:hint="eastAsia" w:cs="方正仿宋_GBK" w:asciiTheme="minorEastAsia" w:hAnsiTheme="minorEastAsia" w:eastAsiaTheme="minorEastAsia"/>
          <w:bCs/>
          <w:color w:val="auto"/>
          <w:kern w:val="0"/>
          <w:szCs w:val="24"/>
          <w:highlight w:val="none"/>
        </w:rPr>
        <w:t>八、培训</w:t>
      </w:r>
      <w:r>
        <w:rPr>
          <w:color w:val="auto"/>
          <w:highlight w:val="none"/>
        </w:rPr>
        <w:tab/>
      </w:r>
      <w:r>
        <w:rPr>
          <w:color w:val="auto"/>
          <w:highlight w:val="none"/>
        </w:rPr>
        <w:fldChar w:fldCharType="begin"/>
      </w:r>
      <w:r>
        <w:rPr>
          <w:color w:val="auto"/>
          <w:highlight w:val="none"/>
        </w:rPr>
        <w:instrText xml:space="preserve"> PAGEREF _Toc1526 \h </w:instrText>
      </w:r>
      <w:r>
        <w:rPr>
          <w:color w:val="auto"/>
          <w:highlight w:val="none"/>
        </w:rPr>
        <w:fldChar w:fldCharType="separate"/>
      </w:r>
      <w:r>
        <w:rPr>
          <w:color w:val="auto"/>
          <w:highlight w:val="none"/>
        </w:rPr>
        <w:t>- 20 -</w:t>
      </w:r>
      <w:r>
        <w:rPr>
          <w:color w:val="auto"/>
          <w:highlight w:val="none"/>
        </w:rPr>
        <w:fldChar w:fldCharType="end"/>
      </w:r>
      <w:r>
        <w:rPr>
          <w:color w:val="auto"/>
          <w:highlight w:val="none"/>
        </w:rPr>
        <w:fldChar w:fldCharType="end"/>
      </w:r>
    </w:p>
    <w:p w14:paraId="2CF40817">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"_Toc3848" </w:instrText>
      </w:r>
      <w:r>
        <w:rPr>
          <w:color w:val="auto"/>
          <w:highlight w:val="none"/>
        </w:rPr>
        <w:fldChar w:fldCharType="separate"/>
      </w:r>
      <w:r>
        <w:rPr>
          <w:rFonts w:hint="eastAsia" w:cs="方正仿宋_GBK" w:asciiTheme="minorEastAsia" w:hAnsiTheme="minorEastAsia" w:eastAsiaTheme="minorEastAsia"/>
          <w:bCs/>
          <w:color w:val="auto"/>
          <w:kern w:val="0"/>
          <w:szCs w:val="24"/>
          <w:highlight w:val="none"/>
        </w:rPr>
        <w:t>九、附件、图纸及包装要求</w:t>
      </w:r>
      <w:r>
        <w:rPr>
          <w:color w:val="auto"/>
          <w:highlight w:val="none"/>
        </w:rPr>
        <w:tab/>
      </w:r>
      <w:r>
        <w:rPr>
          <w:color w:val="auto"/>
          <w:highlight w:val="none"/>
        </w:rPr>
        <w:fldChar w:fldCharType="begin"/>
      </w:r>
      <w:r>
        <w:rPr>
          <w:color w:val="auto"/>
          <w:highlight w:val="none"/>
        </w:rPr>
        <w:instrText xml:space="preserve"> PAGEREF _Toc3848 \h </w:instrText>
      </w:r>
      <w:r>
        <w:rPr>
          <w:color w:val="auto"/>
          <w:highlight w:val="none"/>
        </w:rPr>
        <w:fldChar w:fldCharType="separate"/>
      </w:r>
      <w:r>
        <w:rPr>
          <w:color w:val="auto"/>
          <w:highlight w:val="none"/>
        </w:rPr>
        <w:t>- 20 -</w:t>
      </w:r>
      <w:r>
        <w:rPr>
          <w:color w:val="auto"/>
          <w:highlight w:val="none"/>
        </w:rPr>
        <w:fldChar w:fldCharType="end"/>
      </w:r>
      <w:r>
        <w:rPr>
          <w:color w:val="auto"/>
          <w:highlight w:val="none"/>
        </w:rPr>
        <w:fldChar w:fldCharType="end"/>
      </w:r>
    </w:p>
    <w:p w14:paraId="251C61CC">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"_Toc23408" </w:instrText>
      </w:r>
      <w:r>
        <w:rPr>
          <w:color w:val="auto"/>
          <w:highlight w:val="none"/>
        </w:rPr>
        <w:fldChar w:fldCharType="separate"/>
      </w:r>
      <w:r>
        <w:rPr>
          <w:rFonts w:hint="eastAsia" w:cs="方正仿宋_GBK" w:asciiTheme="minorEastAsia" w:hAnsiTheme="minorEastAsia" w:eastAsiaTheme="minorEastAsia"/>
          <w:bCs/>
          <w:color w:val="auto"/>
          <w:kern w:val="0"/>
          <w:szCs w:val="24"/>
          <w:highlight w:val="none"/>
        </w:rPr>
        <w:t>十、其他商务要求内容</w:t>
      </w:r>
      <w:r>
        <w:rPr>
          <w:color w:val="auto"/>
          <w:highlight w:val="none"/>
        </w:rPr>
        <w:tab/>
      </w:r>
      <w:r>
        <w:rPr>
          <w:color w:val="auto"/>
          <w:highlight w:val="none"/>
        </w:rPr>
        <w:fldChar w:fldCharType="begin"/>
      </w:r>
      <w:r>
        <w:rPr>
          <w:color w:val="auto"/>
          <w:highlight w:val="none"/>
        </w:rPr>
        <w:instrText xml:space="preserve"> PAGEREF _Toc23408 \h </w:instrText>
      </w:r>
      <w:r>
        <w:rPr>
          <w:color w:val="auto"/>
          <w:highlight w:val="none"/>
        </w:rPr>
        <w:fldChar w:fldCharType="separate"/>
      </w:r>
      <w:r>
        <w:rPr>
          <w:color w:val="auto"/>
          <w:highlight w:val="none"/>
        </w:rPr>
        <w:t>- 21 -</w:t>
      </w:r>
      <w:r>
        <w:rPr>
          <w:color w:val="auto"/>
          <w:highlight w:val="none"/>
        </w:rPr>
        <w:fldChar w:fldCharType="end"/>
      </w:r>
      <w:r>
        <w:rPr>
          <w:color w:val="auto"/>
          <w:highlight w:val="none"/>
        </w:rPr>
        <w:fldChar w:fldCharType="end"/>
      </w:r>
    </w:p>
    <w:p w14:paraId="6EA82972">
      <w:pPr>
        <w:pStyle w:val="13"/>
        <w:tabs>
          <w:tab w:val="right" w:leader="dot" w:pos="9412"/>
          <w:tab w:val="clear" w:pos="1260"/>
          <w:tab w:val="clear" w:pos="1685"/>
          <w:tab w:val="clear" w:pos="8400"/>
        </w:tabs>
        <w:ind w:firstLine="281"/>
        <w:rPr>
          <w:color w:val="auto"/>
          <w:highlight w:val="none"/>
        </w:rPr>
      </w:pPr>
      <w:r>
        <w:rPr>
          <w:color w:val="auto"/>
          <w:highlight w:val="none"/>
        </w:rPr>
        <w:fldChar w:fldCharType="begin"/>
      </w:r>
      <w:r>
        <w:rPr>
          <w:color w:val="auto"/>
          <w:highlight w:val="none"/>
        </w:rPr>
        <w:instrText xml:space="preserve"> HYPERLINK \l "_Toc30865" </w:instrText>
      </w:r>
      <w:r>
        <w:rPr>
          <w:color w:val="auto"/>
          <w:highlight w:val="none"/>
        </w:rPr>
        <w:fldChar w:fldCharType="separate"/>
      </w:r>
      <w:r>
        <w:rPr>
          <w:rFonts w:hint="eastAsia" w:cs="方正仿宋_GBK" w:asciiTheme="minorEastAsia" w:hAnsiTheme="minorEastAsia" w:eastAsiaTheme="minorEastAsia"/>
          <w:color w:val="auto"/>
          <w:highlight w:val="none"/>
        </w:rPr>
        <w:t>第四篇  资格审查及评标办法</w:t>
      </w:r>
      <w:r>
        <w:rPr>
          <w:color w:val="auto"/>
          <w:highlight w:val="none"/>
        </w:rPr>
        <w:tab/>
      </w:r>
      <w:r>
        <w:rPr>
          <w:color w:val="auto"/>
          <w:highlight w:val="none"/>
        </w:rPr>
        <w:fldChar w:fldCharType="begin"/>
      </w:r>
      <w:r>
        <w:rPr>
          <w:color w:val="auto"/>
          <w:highlight w:val="none"/>
        </w:rPr>
        <w:instrText xml:space="preserve"> PAGEREF _Toc30865 \h </w:instrText>
      </w:r>
      <w:r>
        <w:rPr>
          <w:color w:val="auto"/>
          <w:highlight w:val="none"/>
        </w:rPr>
        <w:fldChar w:fldCharType="separate"/>
      </w:r>
      <w:r>
        <w:rPr>
          <w:color w:val="auto"/>
          <w:highlight w:val="none"/>
        </w:rPr>
        <w:t>- 22 -</w:t>
      </w:r>
      <w:r>
        <w:rPr>
          <w:color w:val="auto"/>
          <w:highlight w:val="none"/>
        </w:rPr>
        <w:fldChar w:fldCharType="end"/>
      </w:r>
      <w:r>
        <w:rPr>
          <w:color w:val="auto"/>
          <w:highlight w:val="none"/>
        </w:rPr>
        <w:fldChar w:fldCharType="end"/>
      </w:r>
    </w:p>
    <w:p w14:paraId="55F7AB08">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"_Toc11921" </w:instrText>
      </w:r>
      <w:r>
        <w:rPr>
          <w:color w:val="auto"/>
          <w:highlight w:val="none"/>
        </w:rPr>
        <w:fldChar w:fldCharType="separate"/>
      </w:r>
      <w:r>
        <w:rPr>
          <w:rFonts w:hint="eastAsia" w:cs="方正仿宋_GBK" w:asciiTheme="minorEastAsia" w:hAnsiTheme="minorEastAsia" w:eastAsiaTheme="minorEastAsia"/>
          <w:color w:val="auto"/>
          <w:szCs w:val="24"/>
          <w:highlight w:val="none"/>
        </w:rPr>
        <w:t>一、资格审查及符合性审查</w:t>
      </w:r>
      <w:r>
        <w:rPr>
          <w:color w:val="auto"/>
          <w:highlight w:val="none"/>
        </w:rPr>
        <w:tab/>
      </w:r>
      <w:r>
        <w:rPr>
          <w:color w:val="auto"/>
          <w:highlight w:val="none"/>
        </w:rPr>
        <w:fldChar w:fldCharType="begin"/>
      </w:r>
      <w:r>
        <w:rPr>
          <w:color w:val="auto"/>
          <w:highlight w:val="none"/>
        </w:rPr>
        <w:instrText xml:space="preserve"> PAGEREF _Toc11921 \h </w:instrText>
      </w:r>
      <w:r>
        <w:rPr>
          <w:color w:val="auto"/>
          <w:highlight w:val="none"/>
        </w:rPr>
        <w:fldChar w:fldCharType="separate"/>
      </w:r>
      <w:r>
        <w:rPr>
          <w:color w:val="auto"/>
          <w:highlight w:val="none"/>
        </w:rPr>
        <w:t>- 22 -</w:t>
      </w:r>
      <w:r>
        <w:rPr>
          <w:color w:val="auto"/>
          <w:highlight w:val="none"/>
        </w:rPr>
        <w:fldChar w:fldCharType="end"/>
      </w:r>
      <w:r>
        <w:rPr>
          <w:color w:val="auto"/>
          <w:highlight w:val="none"/>
        </w:rPr>
        <w:fldChar w:fldCharType="end"/>
      </w:r>
    </w:p>
    <w:p w14:paraId="5BA22B23">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"_Toc26397" </w:instrText>
      </w:r>
      <w:r>
        <w:rPr>
          <w:color w:val="auto"/>
          <w:highlight w:val="none"/>
        </w:rPr>
        <w:fldChar w:fldCharType="separate"/>
      </w:r>
      <w:r>
        <w:rPr>
          <w:rFonts w:hint="eastAsia" w:cs="方正仿宋_GBK" w:asciiTheme="minorEastAsia" w:hAnsiTheme="minorEastAsia" w:eastAsiaTheme="minorEastAsia"/>
          <w:color w:val="auto"/>
          <w:szCs w:val="24"/>
          <w:highlight w:val="none"/>
        </w:rPr>
        <w:t>二、评标方法</w:t>
      </w:r>
      <w:r>
        <w:rPr>
          <w:color w:val="auto"/>
          <w:highlight w:val="none"/>
        </w:rPr>
        <w:tab/>
      </w:r>
      <w:r>
        <w:rPr>
          <w:color w:val="auto"/>
          <w:highlight w:val="none"/>
        </w:rPr>
        <w:fldChar w:fldCharType="begin"/>
      </w:r>
      <w:r>
        <w:rPr>
          <w:color w:val="auto"/>
          <w:highlight w:val="none"/>
        </w:rPr>
        <w:instrText xml:space="preserve"> PAGEREF _Toc26397 \h </w:instrText>
      </w:r>
      <w:r>
        <w:rPr>
          <w:color w:val="auto"/>
          <w:highlight w:val="none"/>
        </w:rPr>
        <w:fldChar w:fldCharType="separate"/>
      </w:r>
      <w:r>
        <w:rPr>
          <w:color w:val="auto"/>
          <w:highlight w:val="none"/>
        </w:rPr>
        <w:t>- 23 -</w:t>
      </w:r>
      <w:r>
        <w:rPr>
          <w:color w:val="auto"/>
          <w:highlight w:val="none"/>
        </w:rPr>
        <w:fldChar w:fldCharType="end"/>
      </w:r>
      <w:r>
        <w:rPr>
          <w:color w:val="auto"/>
          <w:highlight w:val="none"/>
        </w:rPr>
        <w:fldChar w:fldCharType="end"/>
      </w:r>
    </w:p>
    <w:p w14:paraId="239D0655">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"_Toc26049" </w:instrText>
      </w:r>
      <w:r>
        <w:rPr>
          <w:color w:val="auto"/>
          <w:highlight w:val="none"/>
        </w:rPr>
        <w:fldChar w:fldCharType="separate"/>
      </w:r>
      <w:r>
        <w:rPr>
          <w:rFonts w:hint="eastAsia" w:cs="方正仿宋_GBK" w:asciiTheme="minorEastAsia" w:hAnsiTheme="minorEastAsia" w:eastAsiaTheme="minorEastAsia"/>
          <w:color w:val="auto"/>
          <w:szCs w:val="24"/>
          <w:highlight w:val="none"/>
        </w:rPr>
        <w:t>三、评标标准</w:t>
      </w:r>
      <w:r>
        <w:rPr>
          <w:color w:val="auto"/>
          <w:highlight w:val="none"/>
        </w:rPr>
        <w:tab/>
      </w:r>
      <w:r>
        <w:rPr>
          <w:color w:val="auto"/>
          <w:highlight w:val="none"/>
        </w:rPr>
        <w:fldChar w:fldCharType="begin"/>
      </w:r>
      <w:r>
        <w:rPr>
          <w:color w:val="auto"/>
          <w:highlight w:val="none"/>
        </w:rPr>
        <w:instrText xml:space="preserve"> PAGEREF _Toc26049 \h </w:instrText>
      </w:r>
      <w:r>
        <w:rPr>
          <w:color w:val="auto"/>
          <w:highlight w:val="none"/>
        </w:rPr>
        <w:fldChar w:fldCharType="separate"/>
      </w:r>
      <w:r>
        <w:rPr>
          <w:color w:val="auto"/>
          <w:highlight w:val="none"/>
        </w:rPr>
        <w:t>- 23 -</w:t>
      </w:r>
      <w:r>
        <w:rPr>
          <w:color w:val="auto"/>
          <w:highlight w:val="none"/>
        </w:rPr>
        <w:fldChar w:fldCharType="end"/>
      </w:r>
      <w:r>
        <w:rPr>
          <w:color w:val="auto"/>
          <w:highlight w:val="none"/>
        </w:rPr>
        <w:fldChar w:fldCharType="end"/>
      </w:r>
    </w:p>
    <w:p w14:paraId="6EF56059">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"_Toc2347" </w:instrText>
      </w:r>
      <w:r>
        <w:rPr>
          <w:color w:val="auto"/>
          <w:highlight w:val="none"/>
        </w:rPr>
        <w:fldChar w:fldCharType="separate"/>
      </w:r>
      <w:r>
        <w:rPr>
          <w:rFonts w:hint="eastAsia" w:cs="方正仿宋_GBK" w:asciiTheme="minorEastAsia" w:hAnsiTheme="minorEastAsia" w:eastAsiaTheme="minorEastAsia"/>
          <w:color w:val="auto"/>
          <w:szCs w:val="24"/>
          <w:highlight w:val="none"/>
        </w:rPr>
        <w:t>四、无效投标条款</w:t>
      </w:r>
      <w:r>
        <w:rPr>
          <w:color w:val="auto"/>
          <w:highlight w:val="none"/>
        </w:rPr>
        <w:tab/>
      </w:r>
      <w:r>
        <w:rPr>
          <w:color w:val="auto"/>
          <w:highlight w:val="none"/>
        </w:rPr>
        <w:fldChar w:fldCharType="begin"/>
      </w:r>
      <w:r>
        <w:rPr>
          <w:color w:val="auto"/>
          <w:highlight w:val="none"/>
        </w:rPr>
        <w:instrText xml:space="preserve"> PAGEREF _Toc2347 \h </w:instrText>
      </w:r>
      <w:r>
        <w:rPr>
          <w:color w:val="auto"/>
          <w:highlight w:val="none"/>
        </w:rPr>
        <w:fldChar w:fldCharType="separate"/>
      </w:r>
      <w:r>
        <w:rPr>
          <w:color w:val="auto"/>
          <w:highlight w:val="none"/>
        </w:rPr>
        <w:t>- 27 -</w:t>
      </w:r>
      <w:r>
        <w:rPr>
          <w:color w:val="auto"/>
          <w:highlight w:val="none"/>
        </w:rPr>
        <w:fldChar w:fldCharType="end"/>
      </w:r>
      <w:r>
        <w:rPr>
          <w:color w:val="auto"/>
          <w:highlight w:val="none"/>
        </w:rPr>
        <w:fldChar w:fldCharType="end"/>
      </w:r>
    </w:p>
    <w:p w14:paraId="02C69A32">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"_Toc14424" </w:instrText>
      </w:r>
      <w:r>
        <w:rPr>
          <w:color w:val="auto"/>
          <w:highlight w:val="none"/>
        </w:rPr>
        <w:fldChar w:fldCharType="separate"/>
      </w:r>
      <w:r>
        <w:rPr>
          <w:rFonts w:hint="eastAsia" w:cs="方正仿宋_GBK" w:asciiTheme="minorEastAsia" w:hAnsiTheme="minorEastAsia" w:eastAsiaTheme="minorEastAsia"/>
          <w:color w:val="auto"/>
          <w:szCs w:val="24"/>
          <w:highlight w:val="none"/>
        </w:rPr>
        <w:t>五、废标条款</w:t>
      </w:r>
      <w:r>
        <w:rPr>
          <w:color w:val="auto"/>
          <w:highlight w:val="none"/>
        </w:rPr>
        <w:tab/>
      </w:r>
      <w:r>
        <w:rPr>
          <w:color w:val="auto"/>
          <w:highlight w:val="none"/>
        </w:rPr>
        <w:fldChar w:fldCharType="begin"/>
      </w:r>
      <w:r>
        <w:rPr>
          <w:color w:val="auto"/>
          <w:highlight w:val="none"/>
        </w:rPr>
        <w:instrText xml:space="preserve"> PAGEREF _Toc14424 \h </w:instrText>
      </w:r>
      <w:r>
        <w:rPr>
          <w:color w:val="auto"/>
          <w:highlight w:val="none"/>
        </w:rPr>
        <w:fldChar w:fldCharType="separate"/>
      </w:r>
      <w:r>
        <w:rPr>
          <w:color w:val="auto"/>
          <w:highlight w:val="none"/>
        </w:rPr>
        <w:t>- 28 -</w:t>
      </w:r>
      <w:r>
        <w:rPr>
          <w:color w:val="auto"/>
          <w:highlight w:val="none"/>
        </w:rPr>
        <w:fldChar w:fldCharType="end"/>
      </w:r>
      <w:r>
        <w:rPr>
          <w:color w:val="auto"/>
          <w:highlight w:val="none"/>
        </w:rPr>
        <w:fldChar w:fldCharType="end"/>
      </w:r>
    </w:p>
    <w:p w14:paraId="63478A40">
      <w:pPr>
        <w:pStyle w:val="13"/>
        <w:tabs>
          <w:tab w:val="right" w:leader="dot" w:pos="9412"/>
          <w:tab w:val="clear" w:pos="1260"/>
          <w:tab w:val="clear" w:pos="1685"/>
          <w:tab w:val="clear" w:pos="8400"/>
        </w:tabs>
        <w:ind w:firstLine="281"/>
        <w:rPr>
          <w:color w:val="auto"/>
          <w:highlight w:val="none"/>
        </w:rPr>
      </w:pPr>
      <w:r>
        <w:rPr>
          <w:color w:val="auto"/>
          <w:highlight w:val="none"/>
        </w:rPr>
        <w:fldChar w:fldCharType="begin"/>
      </w:r>
      <w:r>
        <w:rPr>
          <w:color w:val="auto"/>
          <w:highlight w:val="none"/>
        </w:rPr>
        <w:instrText xml:space="preserve"> HYPERLINK \l "_Toc14403" </w:instrText>
      </w:r>
      <w:r>
        <w:rPr>
          <w:color w:val="auto"/>
          <w:highlight w:val="none"/>
        </w:rPr>
        <w:fldChar w:fldCharType="separate"/>
      </w:r>
      <w:r>
        <w:rPr>
          <w:rFonts w:hint="eastAsia" w:cs="方正仿宋_GBK" w:asciiTheme="minorEastAsia" w:hAnsiTheme="minorEastAsia" w:eastAsiaTheme="minorEastAsia"/>
          <w:color w:val="auto"/>
          <w:highlight w:val="none"/>
        </w:rPr>
        <w:t>第五篇  投标人须知</w:t>
      </w:r>
      <w:r>
        <w:rPr>
          <w:color w:val="auto"/>
          <w:highlight w:val="none"/>
        </w:rPr>
        <w:tab/>
      </w:r>
      <w:r>
        <w:rPr>
          <w:color w:val="auto"/>
          <w:highlight w:val="none"/>
        </w:rPr>
        <w:fldChar w:fldCharType="begin"/>
      </w:r>
      <w:r>
        <w:rPr>
          <w:color w:val="auto"/>
          <w:highlight w:val="none"/>
        </w:rPr>
        <w:instrText xml:space="preserve"> PAGEREF _Toc14403 \h </w:instrText>
      </w:r>
      <w:r>
        <w:rPr>
          <w:color w:val="auto"/>
          <w:highlight w:val="none"/>
        </w:rPr>
        <w:fldChar w:fldCharType="separate"/>
      </w:r>
      <w:r>
        <w:rPr>
          <w:color w:val="auto"/>
          <w:highlight w:val="none"/>
        </w:rPr>
        <w:t>- 29 -</w:t>
      </w:r>
      <w:r>
        <w:rPr>
          <w:color w:val="auto"/>
          <w:highlight w:val="none"/>
        </w:rPr>
        <w:fldChar w:fldCharType="end"/>
      </w:r>
      <w:r>
        <w:rPr>
          <w:color w:val="auto"/>
          <w:highlight w:val="none"/>
        </w:rPr>
        <w:fldChar w:fldCharType="end"/>
      </w:r>
    </w:p>
    <w:p w14:paraId="0FCB9219">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"_Toc17185" </w:instrText>
      </w:r>
      <w:r>
        <w:rPr>
          <w:color w:val="auto"/>
          <w:highlight w:val="none"/>
        </w:rPr>
        <w:fldChar w:fldCharType="separate"/>
      </w:r>
      <w:r>
        <w:rPr>
          <w:rFonts w:hint="eastAsia" w:cs="方正仿宋_GBK" w:asciiTheme="minorEastAsia" w:hAnsiTheme="minorEastAsia" w:eastAsiaTheme="minorEastAsia"/>
          <w:color w:val="auto"/>
          <w:highlight w:val="none"/>
        </w:rPr>
        <w:t>一、投标人</w:t>
      </w:r>
      <w:r>
        <w:rPr>
          <w:color w:val="auto"/>
          <w:highlight w:val="none"/>
        </w:rPr>
        <w:tab/>
      </w:r>
      <w:r>
        <w:rPr>
          <w:color w:val="auto"/>
          <w:highlight w:val="none"/>
        </w:rPr>
        <w:fldChar w:fldCharType="begin"/>
      </w:r>
      <w:r>
        <w:rPr>
          <w:color w:val="auto"/>
          <w:highlight w:val="none"/>
        </w:rPr>
        <w:instrText xml:space="preserve"> PAGEREF _Toc17185 \h </w:instrText>
      </w:r>
      <w:r>
        <w:rPr>
          <w:color w:val="auto"/>
          <w:highlight w:val="none"/>
        </w:rPr>
        <w:fldChar w:fldCharType="separate"/>
      </w:r>
      <w:r>
        <w:rPr>
          <w:color w:val="auto"/>
          <w:highlight w:val="none"/>
        </w:rPr>
        <w:t>- 29 -</w:t>
      </w:r>
      <w:r>
        <w:rPr>
          <w:color w:val="auto"/>
          <w:highlight w:val="none"/>
        </w:rPr>
        <w:fldChar w:fldCharType="end"/>
      </w:r>
      <w:r>
        <w:rPr>
          <w:color w:val="auto"/>
          <w:highlight w:val="none"/>
        </w:rPr>
        <w:fldChar w:fldCharType="end"/>
      </w:r>
    </w:p>
    <w:p w14:paraId="482B9673">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"_Toc10710" </w:instrText>
      </w:r>
      <w:r>
        <w:rPr>
          <w:color w:val="auto"/>
          <w:highlight w:val="none"/>
        </w:rPr>
        <w:fldChar w:fldCharType="separate"/>
      </w:r>
      <w:r>
        <w:rPr>
          <w:rFonts w:hint="eastAsia" w:cs="方正仿宋_GBK" w:asciiTheme="minorEastAsia" w:hAnsiTheme="minorEastAsia" w:eastAsiaTheme="minorEastAsia"/>
          <w:color w:val="auto"/>
          <w:highlight w:val="none"/>
        </w:rPr>
        <w:t>二、招标文件</w:t>
      </w:r>
      <w:r>
        <w:rPr>
          <w:color w:val="auto"/>
          <w:highlight w:val="none"/>
        </w:rPr>
        <w:tab/>
      </w:r>
      <w:r>
        <w:rPr>
          <w:color w:val="auto"/>
          <w:highlight w:val="none"/>
        </w:rPr>
        <w:fldChar w:fldCharType="begin"/>
      </w:r>
      <w:r>
        <w:rPr>
          <w:color w:val="auto"/>
          <w:highlight w:val="none"/>
        </w:rPr>
        <w:instrText xml:space="preserve"> PAGEREF _Toc10710 \h </w:instrText>
      </w:r>
      <w:r>
        <w:rPr>
          <w:color w:val="auto"/>
          <w:highlight w:val="none"/>
        </w:rPr>
        <w:fldChar w:fldCharType="separate"/>
      </w:r>
      <w:r>
        <w:rPr>
          <w:color w:val="auto"/>
          <w:highlight w:val="none"/>
        </w:rPr>
        <w:t>- 29 -</w:t>
      </w:r>
      <w:r>
        <w:rPr>
          <w:color w:val="auto"/>
          <w:highlight w:val="none"/>
        </w:rPr>
        <w:fldChar w:fldCharType="end"/>
      </w:r>
      <w:r>
        <w:rPr>
          <w:color w:val="auto"/>
          <w:highlight w:val="none"/>
        </w:rPr>
        <w:fldChar w:fldCharType="end"/>
      </w:r>
    </w:p>
    <w:p w14:paraId="41E7D890">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"_Toc10809" </w:instrText>
      </w:r>
      <w:r>
        <w:rPr>
          <w:color w:val="auto"/>
          <w:highlight w:val="none"/>
        </w:rPr>
        <w:fldChar w:fldCharType="separate"/>
      </w:r>
      <w:r>
        <w:rPr>
          <w:rFonts w:hint="eastAsia" w:cs="方正仿宋_GBK" w:asciiTheme="minorEastAsia" w:hAnsiTheme="minorEastAsia" w:eastAsiaTheme="minorEastAsia"/>
          <w:color w:val="auto"/>
          <w:highlight w:val="none"/>
        </w:rPr>
        <w:t>三、投标文件</w:t>
      </w:r>
      <w:r>
        <w:rPr>
          <w:color w:val="auto"/>
          <w:highlight w:val="none"/>
        </w:rPr>
        <w:tab/>
      </w:r>
      <w:r>
        <w:rPr>
          <w:color w:val="auto"/>
          <w:highlight w:val="none"/>
        </w:rPr>
        <w:fldChar w:fldCharType="begin"/>
      </w:r>
      <w:r>
        <w:rPr>
          <w:color w:val="auto"/>
          <w:highlight w:val="none"/>
        </w:rPr>
        <w:instrText xml:space="preserve"> PAGEREF _Toc10809 \h </w:instrText>
      </w:r>
      <w:r>
        <w:rPr>
          <w:color w:val="auto"/>
          <w:highlight w:val="none"/>
        </w:rPr>
        <w:fldChar w:fldCharType="separate"/>
      </w:r>
      <w:r>
        <w:rPr>
          <w:color w:val="auto"/>
          <w:highlight w:val="none"/>
        </w:rPr>
        <w:t>- 29 -</w:t>
      </w:r>
      <w:r>
        <w:rPr>
          <w:color w:val="auto"/>
          <w:highlight w:val="none"/>
        </w:rPr>
        <w:fldChar w:fldCharType="end"/>
      </w:r>
      <w:r>
        <w:rPr>
          <w:color w:val="auto"/>
          <w:highlight w:val="none"/>
        </w:rPr>
        <w:fldChar w:fldCharType="end"/>
      </w:r>
    </w:p>
    <w:p w14:paraId="124F6027">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"_Toc27710" </w:instrText>
      </w:r>
      <w:r>
        <w:rPr>
          <w:color w:val="auto"/>
          <w:highlight w:val="none"/>
        </w:rPr>
        <w:fldChar w:fldCharType="separate"/>
      </w:r>
      <w:r>
        <w:rPr>
          <w:rFonts w:hint="eastAsia" w:cs="方正仿宋_GBK" w:asciiTheme="minorEastAsia" w:hAnsiTheme="minorEastAsia" w:eastAsiaTheme="minorEastAsia"/>
          <w:color w:val="auto"/>
          <w:highlight w:val="none"/>
        </w:rPr>
        <w:t>四、开标</w:t>
      </w:r>
      <w:r>
        <w:rPr>
          <w:color w:val="auto"/>
          <w:highlight w:val="none"/>
        </w:rPr>
        <w:tab/>
      </w:r>
      <w:r>
        <w:rPr>
          <w:color w:val="auto"/>
          <w:highlight w:val="none"/>
        </w:rPr>
        <w:fldChar w:fldCharType="begin"/>
      </w:r>
      <w:r>
        <w:rPr>
          <w:color w:val="auto"/>
          <w:highlight w:val="none"/>
        </w:rPr>
        <w:instrText xml:space="preserve"> PAGEREF _Toc27710 \h </w:instrText>
      </w:r>
      <w:r>
        <w:rPr>
          <w:color w:val="auto"/>
          <w:highlight w:val="none"/>
        </w:rPr>
        <w:fldChar w:fldCharType="separate"/>
      </w:r>
      <w:r>
        <w:rPr>
          <w:color w:val="auto"/>
          <w:highlight w:val="none"/>
        </w:rPr>
        <w:t>- 31 -</w:t>
      </w:r>
      <w:r>
        <w:rPr>
          <w:color w:val="auto"/>
          <w:highlight w:val="none"/>
        </w:rPr>
        <w:fldChar w:fldCharType="end"/>
      </w:r>
      <w:r>
        <w:rPr>
          <w:color w:val="auto"/>
          <w:highlight w:val="none"/>
        </w:rPr>
        <w:fldChar w:fldCharType="end"/>
      </w:r>
    </w:p>
    <w:p w14:paraId="4DBCB7A9">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"_Toc31378" </w:instrText>
      </w:r>
      <w:r>
        <w:rPr>
          <w:color w:val="auto"/>
          <w:highlight w:val="none"/>
        </w:rPr>
        <w:fldChar w:fldCharType="separate"/>
      </w:r>
      <w:r>
        <w:rPr>
          <w:rFonts w:hint="eastAsia" w:cs="方正仿宋_GBK" w:asciiTheme="minorEastAsia" w:hAnsiTheme="minorEastAsia" w:eastAsiaTheme="minorEastAsia"/>
          <w:color w:val="auto"/>
          <w:highlight w:val="none"/>
        </w:rPr>
        <w:t>五、评标</w:t>
      </w:r>
      <w:r>
        <w:rPr>
          <w:color w:val="auto"/>
          <w:highlight w:val="none"/>
        </w:rPr>
        <w:tab/>
      </w:r>
      <w:r>
        <w:rPr>
          <w:color w:val="auto"/>
          <w:highlight w:val="none"/>
        </w:rPr>
        <w:fldChar w:fldCharType="begin"/>
      </w:r>
      <w:r>
        <w:rPr>
          <w:color w:val="auto"/>
          <w:highlight w:val="none"/>
        </w:rPr>
        <w:instrText xml:space="preserve"> PAGEREF _Toc31378 \h </w:instrText>
      </w:r>
      <w:r>
        <w:rPr>
          <w:color w:val="auto"/>
          <w:highlight w:val="none"/>
        </w:rPr>
        <w:fldChar w:fldCharType="separate"/>
      </w:r>
      <w:r>
        <w:rPr>
          <w:color w:val="auto"/>
          <w:highlight w:val="none"/>
        </w:rPr>
        <w:t>- 31 -</w:t>
      </w:r>
      <w:r>
        <w:rPr>
          <w:color w:val="auto"/>
          <w:highlight w:val="none"/>
        </w:rPr>
        <w:fldChar w:fldCharType="end"/>
      </w:r>
      <w:r>
        <w:rPr>
          <w:color w:val="auto"/>
          <w:highlight w:val="none"/>
        </w:rPr>
        <w:fldChar w:fldCharType="end"/>
      </w:r>
    </w:p>
    <w:p w14:paraId="6EA1B204">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"_Toc14491" </w:instrText>
      </w:r>
      <w:r>
        <w:rPr>
          <w:color w:val="auto"/>
          <w:highlight w:val="none"/>
        </w:rPr>
        <w:fldChar w:fldCharType="separate"/>
      </w:r>
      <w:r>
        <w:rPr>
          <w:rFonts w:hint="eastAsia" w:cs="方正仿宋_GBK" w:asciiTheme="minorEastAsia" w:hAnsiTheme="minorEastAsia" w:eastAsiaTheme="minorEastAsia"/>
          <w:color w:val="auto"/>
          <w:highlight w:val="none"/>
        </w:rPr>
        <w:t>六、定标</w:t>
      </w:r>
      <w:r>
        <w:rPr>
          <w:color w:val="auto"/>
          <w:highlight w:val="none"/>
        </w:rPr>
        <w:tab/>
      </w:r>
      <w:r>
        <w:rPr>
          <w:color w:val="auto"/>
          <w:highlight w:val="none"/>
        </w:rPr>
        <w:fldChar w:fldCharType="begin"/>
      </w:r>
      <w:r>
        <w:rPr>
          <w:color w:val="auto"/>
          <w:highlight w:val="none"/>
        </w:rPr>
        <w:instrText xml:space="preserve"> PAGEREF _Toc14491 \h </w:instrText>
      </w:r>
      <w:r>
        <w:rPr>
          <w:color w:val="auto"/>
          <w:highlight w:val="none"/>
        </w:rPr>
        <w:fldChar w:fldCharType="separate"/>
      </w:r>
      <w:r>
        <w:rPr>
          <w:color w:val="auto"/>
          <w:highlight w:val="none"/>
        </w:rPr>
        <w:t>- 31 -</w:t>
      </w:r>
      <w:r>
        <w:rPr>
          <w:color w:val="auto"/>
          <w:highlight w:val="none"/>
        </w:rPr>
        <w:fldChar w:fldCharType="end"/>
      </w:r>
      <w:r>
        <w:rPr>
          <w:color w:val="auto"/>
          <w:highlight w:val="none"/>
        </w:rPr>
        <w:fldChar w:fldCharType="end"/>
      </w:r>
    </w:p>
    <w:p w14:paraId="4F44CFFB">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"_Toc20706" </w:instrText>
      </w:r>
      <w:r>
        <w:rPr>
          <w:color w:val="auto"/>
          <w:highlight w:val="none"/>
        </w:rPr>
        <w:fldChar w:fldCharType="separate"/>
      </w:r>
      <w:r>
        <w:rPr>
          <w:rFonts w:hint="eastAsia" w:cs="方正仿宋_GBK" w:asciiTheme="minorEastAsia" w:hAnsiTheme="minorEastAsia" w:eastAsiaTheme="minorEastAsia"/>
          <w:color w:val="auto"/>
          <w:highlight w:val="none"/>
        </w:rPr>
        <w:t>七、中标</w:t>
      </w:r>
      <w:r>
        <w:rPr>
          <w:color w:val="auto"/>
          <w:highlight w:val="none"/>
        </w:rPr>
        <w:tab/>
      </w:r>
      <w:r>
        <w:rPr>
          <w:color w:val="auto"/>
          <w:highlight w:val="none"/>
        </w:rPr>
        <w:fldChar w:fldCharType="begin"/>
      </w:r>
      <w:r>
        <w:rPr>
          <w:color w:val="auto"/>
          <w:highlight w:val="none"/>
        </w:rPr>
        <w:instrText xml:space="preserve"> PAGEREF _Toc20706 \h </w:instrText>
      </w:r>
      <w:r>
        <w:rPr>
          <w:color w:val="auto"/>
          <w:highlight w:val="none"/>
        </w:rPr>
        <w:fldChar w:fldCharType="separate"/>
      </w:r>
      <w:r>
        <w:rPr>
          <w:color w:val="auto"/>
          <w:highlight w:val="none"/>
        </w:rPr>
        <w:t>- 32 -</w:t>
      </w:r>
      <w:r>
        <w:rPr>
          <w:color w:val="auto"/>
          <w:highlight w:val="none"/>
        </w:rPr>
        <w:fldChar w:fldCharType="end"/>
      </w:r>
      <w:r>
        <w:rPr>
          <w:color w:val="auto"/>
          <w:highlight w:val="none"/>
        </w:rPr>
        <w:fldChar w:fldCharType="end"/>
      </w:r>
    </w:p>
    <w:p w14:paraId="7D6DF0EF">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"_Toc10390" </w:instrText>
      </w:r>
      <w:r>
        <w:rPr>
          <w:color w:val="auto"/>
          <w:highlight w:val="none"/>
        </w:rPr>
        <w:fldChar w:fldCharType="separate"/>
      </w:r>
      <w:r>
        <w:rPr>
          <w:rFonts w:hint="eastAsia" w:cs="方正仿宋_GBK" w:asciiTheme="minorEastAsia" w:hAnsiTheme="minorEastAsia" w:eastAsiaTheme="minorEastAsia"/>
          <w:color w:val="auto"/>
          <w:highlight w:val="none"/>
        </w:rPr>
        <w:t>八、询问、质疑和投诉</w:t>
      </w:r>
      <w:r>
        <w:rPr>
          <w:color w:val="auto"/>
          <w:highlight w:val="none"/>
        </w:rPr>
        <w:tab/>
      </w:r>
      <w:r>
        <w:rPr>
          <w:color w:val="auto"/>
          <w:highlight w:val="none"/>
        </w:rPr>
        <w:fldChar w:fldCharType="begin"/>
      </w:r>
      <w:r>
        <w:rPr>
          <w:color w:val="auto"/>
          <w:highlight w:val="none"/>
        </w:rPr>
        <w:instrText xml:space="preserve"> PAGEREF _Toc10390 \h </w:instrText>
      </w:r>
      <w:r>
        <w:rPr>
          <w:color w:val="auto"/>
          <w:highlight w:val="none"/>
        </w:rPr>
        <w:fldChar w:fldCharType="separate"/>
      </w:r>
      <w:r>
        <w:rPr>
          <w:color w:val="auto"/>
          <w:highlight w:val="none"/>
        </w:rPr>
        <w:t>- 32 -</w:t>
      </w:r>
      <w:r>
        <w:rPr>
          <w:color w:val="auto"/>
          <w:highlight w:val="none"/>
        </w:rPr>
        <w:fldChar w:fldCharType="end"/>
      </w:r>
      <w:r>
        <w:rPr>
          <w:color w:val="auto"/>
          <w:highlight w:val="none"/>
        </w:rPr>
        <w:fldChar w:fldCharType="end"/>
      </w:r>
    </w:p>
    <w:p w14:paraId="5B44CB3A">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"_Toc14542" </w:instrText>
      </w:r>
      <w:r>
        <w:rPr>
          <w:color w:val="auto"/>
          <w:highlight w:val="none"/>
        </w:rPr>
        <w:fldChar w:fldCharType="separate"/>
      </w:r>
      <w:r>
        <w:rPr>
          <w:rFonts w:hint="eastAsia" w:cs="方正仿宋_GBK" w:asciiTheme="minorEastAsia" w:hAnsiTheme="minorEastAsia" w:eastAsiaTheme="minorEastAsia"/>
          <w:color w:val="auto"/>
          <w:highlight w:val="none"/>
        </w:rPr>
        <w:t>九、采购代理服务费</w:t>
      </w:r>
      <w:r>
        <w:rPr>
          <w:color w:val="auto"/>
          <w:highlight w:val="none"/>
        </w:rPr>
        <w:tab/>
      </w:r>
      <w:r>
        <w:rPr>
          <w:color w:val="auto"/>
          <w:highlight w:val="none"/>
        </w:rPr>
        <w:fldChar w:fldCharType="begin"/>
      </w:r>
      <w:r>
        <w:rPr>
          <w:color w:val="auto"/>
          <w:highlight w:val="none"/>
        </w:rPr>
        <w:instrText xml:space="preserve"> PAGEREF _Toc14542 \h </w:instrText>
      </w:r>
      <w:r>
        <w:rPr>
          <w:color w:val="auto"/>
          <w:highlight w:val="none"/>
        </w:rPr>
        <w:fldChar w:fldCharType="separate"/>
      </w:r>
      <w:r>
        <w:rPr>
          <w:color w:val="auto"/>
          <w:highlight w:val="none"/>
        </w:rPr>
        <w:t>- 33 -</w:t>
      </w:r>
      <w:r>
        <w:rPr>
          <w:color w:val="auto"/>
          <w:highlight w:val="none"/>
        </w:rPr>
        <w:fldChar w:fldCharType="end"/>
      </w:r>
      <w:r>
        <w:rPr>
          <w:color w:val="auto"/>
          <w:highlight w:val="none"/>
        </w:rPr>
        <w:fldChar w:fldCharType="end"/>
      </w:r>
    </w:p>
    <w:p w14:paraId="5804A20E">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"_Toc5979" </w:instrText>
      </w:r>
      <w:r>
        <w:rPr>
          <w:color w:val="auto"/>
          <w:highlight w:val="none"/>
        </w:rPr>
        <w:fldChar w:fldCharType="separate"/>
      </w:r>
      <w:r>
        <w:rPr>
          <w:rFonts w:hint="eastAsia" w:cs="方正仿宋_GBK" w:asciiTheme="minorEastAsia" w:hAnsiTheme="minorEastAsia" w:eastAsiaTheme="minorEastAsia"/>
          <w:color w:val="auto"/>
          <w:highlight w:val="none"/>
        </w:rPr>
        <w:t>十、交易服务费</w:t>
      </w:r>
      <w:r>
        <w:rPr>
          <w:color w:val="auto"/>
          <w:highlight w:val="none"/>
        </w:rPr>
        <w:tab/>
      </w:r>
      <w:r>
        <w:rPr>
          <w:color w:val="auto"/>
          <w:highlight w:val="none"/>
        </w:rPr>
        <w:fldChar w:fldCharType="begin"/>
      </w:r>
      <w:r>
        <w:rPr>
          <w:color w:val="auto"/>
          <w:highlight w:val="none"/>
        </w:rPr>
        <w:instrText xml:space="preserve"> PAGEREF _Toc5979 \h </w:instrText>
      </w:r>
      <w:r>
        <w:rPr>
          <w:color w:val="auto"/>
          <w:highlight w:val="none"/>
        </w:rPr>
        <w:fldChar w:fldCharType="separate"/>
      </w:r>
      <w:r>
        <w:rPr>
          <w:color w:val="auto"/>
          <w:highlight w:val="none"/>
        </w:rPr>
        <w:t>- 33 -</w:t>
      </w:r>
      <w:r>
        <w:rPr>
          <w:color w:val="auto"/>
          <w:highlight w:val="none"/>
        </w:rPr>
        <w:fldChar w:fldCharType="end"/>
      </w:r>
      <w:r>
        <w:rPr>
          <w:color w:val="auto"/>
          <w:highlight w:val="none"/>
        </w:rPr>
        <w:fldChar w:fldCharType="end"/>
      </w:r>
    </w:p>
    <w:p w14:paraId="725FD828">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"_Toc3717" </w:instrText>
      </w:r>
      <w:r>
        <w:rPr>
          <w:color w:val="auto"/>
          <w:highlight w:val="none"/>
        </w:rPr>
        <w:fldChar w:fldCharType="separate"/>
      </w:r>
      <w:r>
        <w:rPr>
          <w:rFonts w:hint="eastAsia" w:cs="方正仿宋_GBK" w:asciiTheme="minorEastAsia" w:hAnsiTheme="minorEastAsia" w:eastAsiaTheme="minorEastAsia"/>
          <w:color w:val="auto"/>
          <w:highlight w:val="none"/>
        </w:rPr>
        <w:t>十一、签订合同</w:t>
      </w:r>
      <w:r>
        <w:rPr>
          <w:color w:val="auto"/>
          <w:highlight w:val="none"/>
        </w:rPr>
        <w:tab/>
      </w:r>
      <w:r>
        <w:rPr>
          <w:color w:val="auto"/>
          <w:highlight w:val="none"/>
        </w:rPr>
        <w:fldChar w:fldCharType="begin"/>
      </w:r>
      <w:r>
        <w:rPr>
          <w:color w:val="auto"/>
          <w:highlight w:val="none"/>
        </w:rPr>
        <w:instrText xml:space="preserve"> PAGEREF _Toc3717 \h </w:instrText>
      </w:r>
      <w:r>
        <w:rPr>
          <w:color w:val="auto"/>
          <w:highlight w:val="none"/>
        </w:rPr>
        <w:fldChar w:fldCharType="separate"/>
      </w:r>
      <w:r>
        <w:rPr>
          <w:color w:val="auto"/>
          <w:highlight w:val="none"/>
        </w:rPr>
        <w:t>- 34 -</w:t>
      </w:r>
      <w:r>
        <w:rPr>
          <w:color w:val="auto"/>
          <w:highlight w:val="none"/>
        </w:rPr>
        <w:fldChar w:fldCharType="end"/>
      </w:r>
      <w:r>
        <w:rPr>
          <w:color w:val="auto"/>
          <w:highlight w:val="none"/>
        </w:rPr>
        <w:fldChar w:fldCharType="end"/>
      </w:r>
    </w:p>
    <w:p w14:paraId="4E45DFDE">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"_Toc28488" </w:instrText>
      </w:r>
      <w:r>
        <w:rPr>
          <w:color w:val="auto"/>
          <w:highlight w:val="none"/>
        </w:rPr>
        <w:fldChar w:fldCharType="separate"/>
      </w:r>
      <w:r>
        <w:rPr>
          <w:rFonts w:hint="eastAsia" w:cs="方正仿宋_GBK" w:asciiTheme="minorEastAsia" w:hAnsiTheme="minorEastAsia" w:eastAsiaTheme="minorEastAsia"/>
          <w:color w:val="auto"/>
          <w:highlight w:val="none"/>
        </w:rPr>
        <w:t>十二、政府采购信用融资</w:t>
      </w:r>
      <w:r>
        <w:rPr>
          <w:color w:val="auto"/>
          <w:highlight w:val="none"/>
        </w:rPr>
        <w:tab/>
      </w:r>
      <w:r>
        <w:rPr>
          <w:color w:val="auto"/>
          <w:highlight w:val="none"/>
        </w:rPr>
        <w:fldChar w:fldCharType="begin"/>
      </w:r>
      <w:r>
        <w:rPr>
          <w:color w:val="auto"/>
          <w:highlight w:val="none"/>
        </w:rPr>
        <w:instrText xml:space="preserve"> PAGEREF _Toc28488 \h </w:instrText>
      </w:r>
      <w:r>
        <w:rPr>
          <w:color w:val="auto"/>
          <w:highlight w:val="none"/>
        </w:rPr>
        <w:fldChar w:fldCharType="separate"/>
      </w:r>
      <w:r>
        <w:rPr>
          <w:color w:val="auto"/>
          <w:highlight w:val="none"/>
        </w:rPr>
        <w:t>- 34 -</w:t>
      </w:r>
      <w:r>
        <w:rPr>
          <w:color w:val="auto"/>
          <w:highlight w:val="none"/>
        </w:rPr>
        <w:fldChar w:fldCharType="end"/>
      </w:r>
      <w:r>
        <w:rPr>
          <w:color w:val="auto"/>
          <w:highlight w:val="none"/>
        </w:rPr>
        <w:fldChar w:fldCharType="end"/>
      </w:r>
    </w:p>
    <w:p w14:paraId="0CBA5D0A">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"_Toc15918" </w:instrText>
      </w:r>
      <w:r>
        <w:rPr>
          <w:color w:val="auto"/>
          <w:highlight w:val="none"/>
        </w:rPr>
        <w:fldChar w:fldCharType="separate"/>
      </w:r>
      <w:r>
        <w:rPr>
          <w:rFonts w:hint="eastAsia" w:cs="方正仿宋_GBK" w:asciiTheme="minorEastAsia" w:hAnsiTheme="minorEastAsia" w:eastAsiaTheme="minorEastAsia"/>
          <w:color w:val="auto"/>
          <w:highlight w:val="none"/>
        </w:rPr>
        <w:t>十三、其他</w:t>
      </w:r>
      <w:r>
        <w:rPr>
          <w:color w:val="auto"/>
          <w:highlight w:val="none"/>
        </w:rPr>
        <w:tab/>
      </w:r>
      <w:r>
        <w:rPr>
          <w:color w:val="auto"/>
          <w:highlight w:val="none"/>
        </w:rPr>
        <w:fldChar w:fldCharType="begin"/>
      </w:r>
      <w:r>
        <w:rPr>
          <w:color w:val="auto"/>
          <w:highlight w:val="none"/>
        </w:rPr>
        <w:instrText xml:space="preserve"> PAGEREF _Toc15918 \h </w:instrText>
      </w:r>
      <w:r>
        <w:rPr>
          <w:color w:val="auto"/>
          <w:highlight w:val="none"/>
        </w:rPr>
        <w:fldChar w:fldCharType="separate"/>
      </w:r>
      <w:r>
        <w:rPr>
          <w:color w:val="auto"/>
          <w:highlight w:val="none"/>
        </w:rPr>
        <w:t>- 34 -</w:t>
      </w:r>
      <w:r>
        <w:rPr>
          <w:color w:val="auto"/>
          <w:highlight w:val="none"/>
        </w:rPr>
        <w:fldChar w:fldCharType="end"/>
      </w:r>
      <w:r>
        <w:rPr>
          <w:color w:val="auto"/>
          <w:highlight w:val="none"/>
        </w:rPr>
        <w:fldChar w:fldCharType="end"/>
      </w:r>
    </w:p>
    <w:p w14:paraId="4A9B139F">
      <w:pPr>
        <w:pStyle w:val="13"/>
        <w:tabs>
          <w:tab w:val="right" w:leader="dot" w:pos="9412"/>
          <w:tab w:val="clear" w:pos="1260"/>
          <w:tab w:val="clear" w:pos="1685"/>
          <w:tab w:val="clear" w:pos="8400"/>
        </w:tabs>
        <w:ind w:firstLine="281"/>
        <w:rPr>
          <w:color w:val="auto"/>
          <w:highlight w:val="none"/>
        </w:rPr>
      </w:pPr>
      <w:r>
        <w:rPr>
          <w:color w:val="auto"/>
          <w:highlight w:val="none"/>
        </w:rPr>
        <w:fldChar w:fldCharType="begin"/>
      </w:r>
      <w:r>
        <w:rPr>
          <w:color w:val="auto"/>
          <w:highlight w:val="none"/>
        </w:rPr>
        <w:instrText xml:space="preserve"> HYPERLINK \l "_Toc29214" </w:instrText>
      </w:r>
      <w:r>
        <w:rPr>
          <w:color w:val="auto"/>
          <w:highlight w:val="none"/>
        </w:rPr>
        <w:fldChar w:fldCharType="separate"/>
      </w:r>
      <w:r>
        <w:rPr>
          <w:rFonts w:hint="eastAsia" w:cs="方正仿宋_GBK" w:asciiTheme="minorEastAsia" w:hAnsiTheme="minorEastAsia" w:eastAsiaTheme="minorEastAsia"/>
          <w:color w:val="auto"/>
          <w:highlight w:val="none"/>
        </w:rPr>
        <w:t>第六篇  合同主要格式（样本）</w:t>
      </w:r>
      <w:r>
        <w:rPr>
          <w:color w:val="auto"/>
          <w:highlight w:val="none"/>
        </w:rPr>
        <w:tab/>
      </w:r>
      <w:r>
        <w:rPr>
          <w:color w:val="auto"/>
          <w:highlight w:val="none"/>
        </w:rPr>
        <w:fldChar w:fldCharType="begin"/>
      </w:r>
      <w:r>
        <w:rPr>
          <w:color w:val="auto"/>
          <w:highlight w:val="none"/>
        </w:rPr>
        <w:instrText xml:space="preserve"> PAGEREF _Toc29214 \h </w:instrText>
      </w:r>
      <w:r>
        <w:rPr>
          <w:color w:val="auto"/>
          <w:highlight w:val="none"/>
        </w:rPr>
        <w:fldChar w:fldCharType="separate"/>
      </w:r>
      <w:r>
        <w:rPr>
          <w:color w:val="auto"/>
          <w:highlight w:val="none"/>
        </w:rPr>
        <w:t>- 35 -</w:t>
      </w:r>
      <w:r>
        <w:rPr>
          <w:color w:val="auto"/>
          <w:highlight w:val="none"/>
        </w:rPr>
        <w:fldChar w:fldCharType="end"/>
      </w:r>
      <w:r>
        <w:rPr>
          <w:color w:val="auto"/>
          <w:highlight w:val="none"/>
        </w:rPr>
        <w:fldChar w:fldCharType="end"/>
      </w:r>
    </w:p>
    <w:p w14:paraId="0A42AEA2">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"_Toc22488" </w:instrText>
      </w:r>
      <w:r>
        <w:rPr>
          <w:color w:val="auto"/>
          <w:highlight w:val="none"/>
        </w:rPr>
        <w:fldChar w:fldCharType="separate"/>
      </w:r>
      <w:r>
        <w:rPr>
          <w:rFonts w:hint="eastAsia" w:cs="方正仿宋_GBK" w:asciiTheme="minorEastAsia" w:hAnsiTheme="minorEastAsia" w:eastAsiaTheme="minorEastAsia"/>
          <w:color w:val="auto"/>
          <w:highlight w:val="none"/>
        </w:rPr>
        <w:t>一、政府采购合同（格式）</w:t>
      </w:r>
      <w:r>
        <w:rPr>
          <w:color w:val="auto"/>
          <w:highlight w:val="none"/>
        </w:rPr>
        <w:tab/>
      </w:r>
      <w:r>
        <w:rPr>
          <w:color w:val="auto"/>
          <w:highlight w:val="none"/>
        </w:rPr>
        <w:fldChar w:fldCharType="begin"/>
      </w:r>
      <w:r>
        <w:rPr>
          <w:color w:val="auto"/>
          <w:highlight w:val="none"/>
        </w:rPr>
        <w:instrText xml:space="preserve"> PAGEREF _Toc22488 \h </w:instrText>
      </w:r>
      <w:r>
        <w:rPr>
          <w:color w:val="auto"/>
          <w:highlight w:val="none"/>
        </w:rPr>
        <w:fldChar w:fldCharType="separate"/>
      </w:r>
      <w:r>
        <w:rPr>
          <w:color w:val="auto"/>
          <w:highlight w:val="none"/>
        </w:rPr>
        <w:t>- 35 -</w:t>
      </w:r>
      <w:r>
        <w:rPr>
          <w:color w:val="auto"/>
          <w:highlight w:val="none"/>
        </w:rPr>
        <w:fldChar w:fldCharType="end"/>
      </w:r>
      <w:r>
        <w:rPr>
          <w:color w:val="auto"/>
          <w:highlight w:val="none"/>
        </w:rPr>
        <w:fldChar w:fldCharType="end"/>
      </w:r>
    </w:p>
    <w:p w14:paraId="381A9371">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"_Toc14267" </w:instrText>
      </w:r>
      <w:r>
        <w:rPr>
          <w:color w:val="auto"/>
          <w:highlight w:val="none"/>
        </w:rPr>
        <w:fldChar w:fldCharType="separate"/>
      </w:r>
      <w:r>
        <w:rPr>
          <w:rFonts w:hint="eastAsia" w:cs="方正仿宋_GBK" w:asciiTheme="minorEastAsia" w:hAnsiTheme="minorEastAsia" w:eastAsiaTheme="minorEastAsia"/>
          <w:color w:val="auto"/>
          <w:highlight w:val="none"/>
        </w:rPr>
        <w:t>二、采购廉洁协议格式</w:t>
      </w:r>
      <w:r>
        <w:rPr>
          <w:color w:val="auto"/>
          <w:highlight w:val="none"/>
        </w:rPr>
        <w:tab/>
      </w:r>
      <w:r>
        <w:rPr>
          <w:color w:val="auto"/>
          <w:highlight w:val="none"/>
        </w:rPr>
        <w:fldChar w:fldCharType="begin"/>
      </w:r>
      <w:r>
        <w:rPr>
          <w:color w:val="auto"/>
          <w:highlight w:val="none"/>
        </w:rPr>
        <w:instrText xml:space="preserve"> PAGEREF _Toc14267 \h </w:instrText>
      </w:r>
      <w:r>
        <w:rPr>
          <w:color w:val="auto"/>
          <w:highlight w:val="none"/>
        </w:rPr>
        <w:fldChar w:fldCharType="separate"/>
      </w:r>
      <w:r>
        <w:rPr>
          <w:color w:val="auto"/>
          <w:highlight w:val="none"/>
        </w:rPr>
        <w:t>- 37 -</w:t>
      </w:r>
      <w:r>
        <w:rPr>
          <w:color w:val="auto"/>
          <w:highlight w:val="none"/>
        </w:rPr>
        <w:fldChar w:fldCharType="end"/>
      </w:r>
      <w:r>
        <w:rPr>
          <w:color w:val="auto"/>
          <w:highlight w:val="none"/>
        </w:rPr>
        <w:fldChar w:fldCharType="end"/>
      </w:r>
    </w:p>
    <w:p w14:paraId="637E075A">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"_Toc25546" </w:instrText>
      </w:r>
      <w:r>
        <w:rPr>
          <w:color w:val="auto"/>
          <w:highlight w:val="none"/>
        </w:rPr>
        <w:fldChar w:fldCharType="separate"/>
      </w:r>
      <w:r>
        <w:rPr>
          <w:rFonts w:hint="eastAsia" w:cs="方正仿宋_GBK" w:asciiTheme="minorEastAsia" w:hAnsiTheme="minorEastAsia" w:eastAsiaTheme="minorEastAsia"/>
          <w:color w:val="auto"/>
          <w:highlight w:val="none"/>
        </w:rPr>
        <w:t>三、履约保函格式</w:t>
      </w:r>
      <w:r>
        <w:rPr>
          <w:color w:val="auto"/>
          <w:highlight w:val="none"/>
        </w:rPr>
        <w:tab/>
      </w:r>
      <w:r>
        <w:rPr>
          <w:color w:val="auto"/>
          <w:highlight w:val="none"/>
        </w:rPr>
        <w:fldChar w:fldCharType="begin"/>
      </w:r>
      <w:r>
        <w:rPr>
          <w:color w:val="auto"/>
          <w:highlight w:val="none"/>
        </w:rPr>
        <w:instrText xml:space="preserve"> PAGEREF _Toc25546 \h </w:instrText>
      </w:r>
      <w:r>
        <w:rPr>
          <w:color w:val="auto"/>
          <w:highlight w:val="none"/>
        </w:rPr>
        <w:fldChar w:fldCharType="separate"/>
      </w:r>
      <w:r>
        <w:rPr>
          <w:color w:val="auto"/>
          <w:highlight w:val="none"/>
        </w:rPr>
        <w:t>- 39 -</w:t>
      </w:r>
      <w:r>
        <w:rPr>
          <w:color w:val="auto"/>
          <w:highlight w:val="none"/>
        </w:rPr>
        <w:fldChar w:fldCharType="end"/>
      </w:r>
      <w:r>
        <w:rPr>
          <w:color w:val="auto"/>
          <w:highlight w:val="none"/>
        </w:rPr>
        <w:fldChar w:fldCharType="end"/>
      </w:r>
    </w:p>
    <w:p w14:paraId="4B8F3F18">
      <w:pPr>
        <w:pStyle w:val="13"/>
        <w:tabs>
          <w:tab w:val="right" w:leader="dot" w:pos="9412"/>
          <w:tab w:val="clear" w:pos="1260"/>
          <w:tab w:val="clear" w:pos="1685"/>
          <w:tab w:val="clear" w:pos="8400"/>
        </w:tabs>
        <w:ind w:firstLine="281"/>
        <w:rPr>
          <w:color w:val="auto"/>
          <w:highlight w:val="none"/>
        </w:rPr>
      </w:pPr>
      <w:r>
        <w:rPr>
          <w:color w:val="auto"/>
          <w:highlight w:val="none"/>
        </w:rPr>
        <w:fldChar w:fldCharType="begin"/>
      </w:r>
      <w:r>
        <w:rPr>
          <w:color w:val="auto"/>
          <w:highlight w:val="none"/>
        </w:rPr>
        <w:instrText xml:space="preserve"> HYPERLINK \l "_Toc16295" </w:instrText>
      </w:r>
      <w:r>
        <w:rPr>
          <w:color w:val="auto"/>
          <w:highlight w:val="none"/>
        </w:rPr>
        <w:fldChar w:fldCharType="separate"/>
      </w:r>
      <w:r>
        <w:rPr>
          <w:rFonts w:hint="eastAsia" w:cs="方正仿宋_GBK" w:asciiTheme="minorEastAsia" w:hAnsiTheme="minorEastAsia" w:eastAsiaTheme="minorEastAsia"/>
          <w:color w:val="auto"/>
          <w:highlight w:val="none"/>
        </w:rPr>
        <w:t>第七篇  投标文件格式</w:t>
      </w:r>
      <w:r>
        <w:rPr>
          <w:color w:val="auto"/>
          <w:highlight w:val="none"/>
        </w:rPr>
        <w:tab/>
      </w:r>
      <w:r>
        <w:rPr>
          <w:color w:val="auto"/>
          <w:highlight w:val="none"/>
        </w:rPr>
        <w:fldChar w:fldCharType="begin"/>
      </w:r>
      <w:r>
        <w:rPr>
          <w:color w:val="auto"/>
          <w:highlight w:val="none"/>
        </w:rPr>
        <w:instrText xml:space="preserve"> PAGEREF _Toc16295 \h </w:instrText>
      </w:r>
      <w:r>
        <w:rPr>
          <w:color w:val="auto"/>
          <w:highlight w:val="none"/>
        </w:rPr>
        <w:fldChar w:fldCharType="separate"/>
      </w:r>
      <w:r>
        <w:rPr>
          <w:color w:val="auto"/>
          <w:highlight w:val="none"/>
        </w:rPr>
        <w:t>- 40 -</w:t>
      </w:r>
      <w:r>
        <w:rPr>
          <w:color w:val="auto"/>
          <w:highlight w:val="none"/>
        </w:rPr>
        <w:fldChar w:fldCharType="end"/>
      </w:r>
      <w:r>
        <w:rPr>
          <w:color w:val="auto"/>
          <w:highlight w:val="none"/>
        </w:rPr>
        <w:fldChar w:fldCharType="end"/>
      </w:r>
    </w:p>
    <w:p w14:paraId="07127CFA">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"_Toc609" </w:instrText>
      </w:r>
      <w:r>
        <w:rPr>
          <w:color w:val="auto"/>
          <w:highlight w:val="none"/>
        </w:rPr>
        <w:fldChar w:fldCharType="separate"/>
      </w:r>
      <w:r>
        <w:rPr>
          <w:rFonts w:hint="eastAsia" w:cs="方正仿宋_GBK" w:asciiTheme="minorEastAsia" w:hAnsiTheme="minorEastAsia" w:eastAsiaTheme="minorEastAsia"/>
          <w:color w:val="auto"/>
          <w:szCs w:val="28"/>
          <w:highlight w:val="none"/>
        </w:rPr>
        <w:t>一、经济文件</w:t>
      </w:r>
      <w:r>
        <w:rPr>
          <w:color w:val="auto"/>
          <w:highlight w:val="none"/>
        </w:rPr>
        <w:tab/>
      </w:r>
      <w:r>
        <w:rPr>
          <w:color w:val="auto"/>
          <w:highlight w:val="none"/>
        </w:rPr>
        <w:fldChar w:fldCharType="begin"/>
      </w:r>
      <w:r>
        <w:rPr>
          <w:color w:val="auto"/>
          <w:highlight w:val="none"/>
        </w:rPr>
        <w:instrText xml:space="preserve"> PAGEREF _Toc609 \h </w:instrText>
      </w:r>
      <w:r>
        <w:rPr>
          <w:color w:val="auto"/>
          <w:highlight w:val="none"/>
        </w:rPr>
        <w:fldChar w:fldCharType="separate"/>
      </w:r>
      <w:r>
        <w:rPr>
          <w:color w:val="auto"/>
          <w:highlight w:val="none"/>
        </w:rPr>
        <w:t>- 41 -</w:t>
      </w:r>
      <w:r>
        <w:rPr>
          <w:color w:val="auto"/>
          <w:highlight w:val="none"/>
        </w:rPr>
        <w:fldChar w:fldCharType="end"/>
      </w:r>
      <w:r>
        <w:rPr>
          <w:color w:val="auto"/>
          <w:highlight w:val="none"/>
        </w:rPr>
        <w:fldChar w:fldCharType="end"/>
      </w:r>
    </w:p>
    <w:p w14:paraId="5536E615">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"_Toc5109" </w:instrText>
      </w:r>
      <w:r>
        <w:rPr>
          <w:color w:val="auto"/>
          <w:highlight w:val="none"/>
        </w:rPr>
        <w:fldChar w:fldCharType="separate"/>
      </w:r>
      <w:r>
        <w:rPr>
          <w:rFonts w:hint="eastAsia" w:cs="方正仿宋_GBK" w:asciiTheme="minorEastAsia" w:hAnsiTheme="minorEastAsia" w:eastAsiaTheme="minorEastAsia"/>
          <w:color w:val="auto"/>
          <w:szCs w:val="28"/>
          <w:highlight w:val="none"/>
        </w:rPr>
        <w:t>二、技术（质量）文件</w:t>
      </w:r>
      <w:r>
        <w:rPr>
          <w:color w:val="auto"/>
          <w:highlight w:val="none"/>
        </w:rPr>
        <w:tab/>
      </w:r>
      <w:r>
        <w:rPr>
          <w:color w:val="auto"/>
          <w:highlight w:val="none"/>
        </w:rPr>
        <w:fldChar w:fldCharType="begin"/>
      </w:r>
      <w:r>
        <w:rPr>
          <w:color w:val="auto"/>
          <w:highlight w:val="none"/>
        </w:rPr>
        <w:instrText xml:space="preserve"> PAGEREF _Toc5109 \h </w:instrText>
      </w:r>
      <w:r>
        <w:rPr>
          <w:color w:val="auto"/>
          <w:highlight w:val="none"/>
        </w:rPr>
        <w:fldChar w:fldCharType="separate"/>
      </w:r>
      <w:r>
        <w:rPr>
          <w:color w:val="auto"/>
          <w:highlight w:val="none"/>
        </w:rPr>
        <w:t>- 43 -</w:t>
      </w:r>
      <w:r>
        <w:rPr>
          <w:color w:val="auto"/>
          <w:highlight w:val="none"/>
        </w:rPr>
        <w:fldChar w:fldCharType="end"/>
      </w:r>
      <w:r>
        <w:rPr>
          <w:color w:val="auto"/>
          <w:highlight w:val="none"/>
        </w:rPr>
        <w:fldChar w:fldCharType="end"/>
      </w:r>
    </w:p>
    <w:p w14:paraId="060E5756">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"_Toc31714" </w:instrText>
      </w:r>
      <w:r>
        <w:rPr>
          <w:color w:val="auto"/>
          <w:highlight w:val="none"/>
        </w:rPr>
        <w:fldChar w:fldCharType="separate"/>
      </w:r>
      <w:r>
        <w:rPr>
          <w:rFonts w:hint="eastAsia" w:cs="方正仿宋_GBK" w:asciiTheme="minorEastAsia" w:hAnsiTheme="minorEastAsia" w:eastAsiaTheme="minorEastAsia"/>
          <w:color w:val="auto"/>
          <w:szCs w:val="28"/>
          <w:highlight w:val="none"/>
        </w:rPr>
        <w:t>三、商务文件</w:t>
      </w:r>
      <w:r>
        <w:rPr>
          <w:color w:val="auto"/>
          <w:highlight w:val="none"/>
        </w:rPr>
        <w:tab/>
      </w:r>
      <w:r>
        <w:rPr>
          <w:color w:val="auto"/>
          <w:highlight w:val="none"/>
        </w:rPr>
        <w:fldChar w:fldCharType="begin"/>
      </w:r>
      <w:r>
        <w:rPr>
          <w:color w:val="auto"/>
          <w:highlight w:val="none"/>
        </w:rPr>
        <w:instrText xml:space="preserve"> PAGEREF _Toc31714 \h </w:instrText>
      </w:r>
      <w:r>
        <w:rPr>
          <w:color w:val="auto"/>
          <w:highlight w:val="none"/>
        </w:rPr>
        <w:fldChar w:fldCharType="separate"/>
      </w:r>
      <w:r>
        <w:rPr>
          <w:color w:val="auto"/>
          <w:highlight w:val="none"/>
        </w:rPr>
        <w:t>- 45 -</w:t>
      </w:r>
      <w:r>
        <w:rPr>
          <w:color w:val="auto"/>
          <w:highlight w:val="none"/>
        </w:rPr>
        <w:fldChar w:fldCharType="end"/>
      </w:r>
      <w:r>
        <w:rPr>
          <w:color w:val="auto"/>
          <w:highlight w:val="none"/>
        </w:rPr>
        <w:fldChar w:fldCharType="end"/>
      </w:r>
    </w:p>
    <w:p w14:paraId="15D0797A">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"_Toc12364" </w:instrText>
      </w:r>
      <w:r>
        <w:rPr>
          <w:color w:val="auto"/>
          <w:highlight w:val="none"/>
        </w:rPr>
        <w:fldChar w:fldCharType="separate"/>
      </w:r>
      <w:r>
        <w:rPr>
          <w:rFonts w:hint="eastAsia" w:cs="方正仿宋_GBK" w:asciiTheme="minorEastAsia" w:hAnsiTheme="minorEastAsia" w:eastAsiaTheme="minorEastAsia"/>
          <w:color w:val="auto"/>
          <w:szCs w:val="28"/>
          <w:highlight w:val="none"/>
        </w:rPr>
        <w:t>四、其他</w:t>
      </w:r>
      <w:r>
        <w:rPr>
          <w:color w:val="auto"/>
          <w:highlight w:val="none"/>
        </w:rPr>
        <w:tab/>
      </w:r>
      <w:r>
        <w:rPr>
          <w:color w:val="auto"/>
          <w:highlight w:val="none"/>
        </w:rPr>
        <w:fldChar w:fldCharType="begin"/>
      </w:r>
      <w:r>
        <w:rPr>
          <w:color w:val="auto"/>
          <w:highlight w:val="none"/>
        </w:rPr>
        <w:instrText xml:space="preserve"> PAGEREF _Toc12364 \h </w:instrText>
      </w:r>
      <w:r>
        <w:rPr>
          <w:color w:val="auto"/>
          <w:highlight w:val="none"/>
        </w:rPr>
        <w:fldChar w:fldCharType="separate"/>
      </w:r>
      <w:r>
        <w:rPr>
          <w:color w:val="auto"/>
          <w:highlight w:val="none"/>
        </w:rPr>
        <w:t>- 49 -</w:t>
      </w:r>
      <w:r>
        <w:rPr>
          <w:color w:val="auto"/>
          <w:highlight w:val="none"/>
        </w:rPr>
        <w:fldChar w:fldCharType="end"/>
      </w:r>
      <w:r>
        <w:rPr>
          <w:color w:val="auto"/>
          <w:highlight w:val="none"/>
        </w:rPr>
        <w:fldChar w:fldCharType="end"/>
      </w:r>
    </w:p>
    <w:p w14:paraId="73C725E0">
      <w:pPr>
        <w:pStyle w:val="14"/>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"_Toc18416" </w:instrText>
      </w:r>
      <w:r>
        <w:rPr>
          <w:color w:val="auto"/>
          <w:highlight w:val="none"/>
        </w:rPr>
        <w:fldChar w:fldCharType="separate"/>
      </w:r>
      <w:r>
        <w:rPr>
          <w:rFonts w:hint="eastAsia" w:cs="方正仿宋_GBK" w:asciiTheme="minorEastAsia" w:hAnsiTheme="minorEastAsia" w:eastAsiaTheme="minorEastAsia"/>
          <w:color w:val="auto"/>
          <w:szCs w:val="28"/>
          <w:highlight w:val="none"/>
        </w:rPr>
        <w:t>五、资格文件</w:t>
      </w:r>
      <w:r>
        <w:rPr>
          <w:color w:val="auto"/>
          <w:highlight w:val="none"/>
        </w:rPr>
        <w:tab/>
      </w:r>
      <w:r>
        <w:rPr>
          <w:color w:val="auto"/>
          <w:highlight w:val="none"/>
        </w:rPr>
        <w:fldChar w:fldCharType="begin"/>
      </w:r>
      <w:r>
        <w:rPr>
          <w:color w:val="auto"/>
          <w:highlight w:val="none"/>
        </w:rPr>
        <w:instrText xml:space="preserve"> PAGEREF _Toc18416 \h </w:instrText>
      </w:r>
      <w:r>
        <w:rPr>
          <w:color w:val="auto"/>
          <w:highlight w:val="none"/>
        </w:rPr>
        <w:fldChar w:fldCharType="separate"/>
      </w:r>
      <w:r>
        <w:rPr>
          <w:color w:val="auto"/>
          <w:highlight w:val="none"/>
        </w:rPr>
        <w:t>- 58 -</w:t>
      </w:r>
      <w:r>
        <w:rPr>
          <w:color w:val="auto"/>
          <w:highlight w:val="none"/>
        </w:rPr>
        <w:fldChar w:fldCharType="end"/>
      </w:r>
      <w:r>
        <w:rPr>
          <w:color w:val="auto"/>
          <w:highlight w:val="none"/>
        </w:rPr>
        <w:fldChar w:fldCharType="end"/>
      </w:r>
    </w:p>
    <w:p w14:paraId="332E4834">
      <w:pPr>
        <w:pStyle w:val="13"/>
        <w:ind w:firstLine="0" w:firstLineChars="0"/>
        <w:rPr>
          <w:rFonts w:ascii="方正仿宋_GBK" w:hAnsi="方正仿宋_GBK" w:eastAsia="方正仿宋_GBK" w:cs="方正仿宋_GBK"/>
          <w:color w:val="auto"/>
          <w:sz w:val="32"/>
          <w:highlight w:val="none"/>
        </w:rPr>
        <w:sectPr>
          <w:pgSz w:w="11907" w:h="16840"/>
          <w:pgMar w:top="1134" w:right="1191" w:bottom="1134" w:left="1304" w:header="964" w:footer="992" w:gutter="0"/>
          <w:pgNumType w:fmt="numberInDash" w:start="1"/>
          <w:cols w:space="720" w:num="1"/>
          <w:docGrid w:linePitch="312" w:charSpace="0"/>
        </w:sectPr>
      </w:pPr>
      <w:r>
        <w:rPr>
          <w:rFonts w:hint="eastAsia" w:ascii="方正仿宋_GBK" w:hAnsi="方正仿宋_GBK" w:eastAsia="方正仿宋_GBK" w:cs="方正仿宋_GBK"/>
          <w:color w:val="auto"/>
          <w:szCs w:val="21"/>
          <w:highlight w:val="none"/>
        </w:rPr>
        <w:fldChar w:fldCharType="end"/>
      </w:r>
    </w:p>
    <w:p w14:paraId="68C53085">
      <w:pPr>
        <w:pStyle w:val="2"/>
        <w:spacing w:before="0" w:beforeLines="0" w:after="0" w:afterLines="0" w:line="360" w:lineRule="auto"/>
        <w:rPr>
          <w:rFonts w:ascii="方正仿宋_GBK" w:hAnsi="方正仿宋_GBK" w:eastAsia="方正仿宋_GBK" w:cs="方正仿宋_GBK"/>
          <w:b/>
          <w:color w:val="auto"/>
          <w:highlight w:val="none"/>
        </w:rPr>
      </w:pPr>
      <w:bookmarkStart w:id="2" w:name="_Toc5284"/>
      <w:bookmarkStart w:id="3" w:name="_Toc75793495"/>
      <w:bookmarkStart w:id="4" w:name="_Toc1386"/>
      <w:bookmarkStart w:id="5" w:name="_Toc31300"/>
      <w:bookmarkStart w:id="6" w:name="_Toc14366"/>
      <w:bookmarkStart w:id="7" w:name="_Toc31483"/>
      <w:bookmarkStart w:id="8" w:name="_Toc2977"/>
      <w:bookmarkStart w:id="9" w:name="_Toc25832"/>
      <w:bookmarkStart w:id="10" w:name="_Toc5896"/>
      <w:bookmarkStart w:id="11" w:name="_Toc21693"/>
      <w:bookmarkStart w:id="12" w:name="_Toc21468"/>
      <w:bookmarkStart w:id="13" w:name="_Toc204345197"/>
      <w:bookmarkStart w:id="14" w:name="_Toc19468"/>
      <w:bookmarkStart w:id="15" w:name="_Toc4502"/>
      <w:bookmarkStart w:id="16" w:name="_Toc16178"/>
      <w:bookmarkStart w:id="17" w:name="_Toc21631"/>
      <w:bookmarkStart w:id="18" w:name="_Toc6967"/>
      <w:r>
        <w:rPr>
          <w:rFonts w:hint="eastAsia" w:ascii="方正仿宋_GBK" w:hAnsi="方正仿宋_GBK" w:eastAsia="方正仿宋_GBK" w:cs="方正仿宋_GBK"/>
          <w:b/>
          <w:color w:val="auto"/>
          <w:highlight w:val="none"/>
        </w:rPr>
        <w:t>第一篇 投标邀请书</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4C73885C">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重庆工商大学对重庆工商大学食品科学与工程学院现代食品加工与原料分析表征平台</w:t>
      </w:r>
      <w:r>
        <w:rPr>
          <w:rFonts w:hint="eastAsia" w:cs="方正仿宋_GBK" w:asciiTheme="minorEastAsia" w:hAnsiTheme="minorEastAsia" w:eastAsiaTheme="minorEastAsia"/>
          <w:color w:val="auto"/>
          <w:sz w:val="24"/>
          <w:szCs w:val="24"/>
          <w:highlight w:val="none"/>
          <w:lang w:val="en-US" w:eastAsia="zh-CN"/>
        </w:rPr>
        <w:t>-包1</w:t>
      </w:r>
      <w:r>
        <w:rPr>
          <w:rFonts w:hint="eastAsia" w:cs="方正仿宋_GBK" w:asciiTheme="minorEastAsia" w:hAnsiTheme="minorEastAsia" w:eastAsiaTheme="minorEastAsia"/>
          <w:color w:val="auto"/>
          <w:sz w:val="24"/>
          <w:szCs w:val="24"/>
          <w:highlight w:val="none"/>
          <w:lang w:eastAsia="zh-CN"/>
        </w:rPr>
        <w:t>（3次）</w:t>
      </w:r>
      <w:r>
        <w:rPr>
          <w:rFonts w:hint="eastAsia" w:cs="方正仿宋_GBK" w:asciiTheme="minorEastAsia" w:hAnsiTheme="minorEastAsia" w:eastAsiaTheme="minorEastAsia"/>
          <w:color w:val="auto"/>
          <w:sz w:val="24"/>
          <w:szCs w:val="24"/>
          <w:highlight w:val="none"/>
        </w:rPr>
        <w:t>(采购计划编号：CQS25A04186)项目进行公开招标，欢迎有资格的投标人参加投标。</w:t>
      </w:r>
    </w:p>
    <w:p w14:paraId="7128BB2E">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19" w:name="_Toc19648"/>
      <w:bookmarkStart w:id="20" w:name="_Toc16451"/>
      <w:bookmarkStart w:id="21" w:name="_Toc27035"/>
      <w:bookmarkStart w:id="22" w:name="_Toc2284"/>
      <w:bookmarkStart w:id="23" w:name="_Toc75793496"/>
      <w:bookmarkStart w:id="24" w:name="_Toc10092"/>
      <w:bookmarkStart w:id="25" w:name="_Toc8806"/>
      <w:bookmarkStart w:id="26" w:name="_Toc19082"/>
      <w:bookmarkStart w:id="27" w:name="_Toc14081"/>
      <w:bookmarkStart w:id="28" w:name="_Toc9774"/>
      <w:bookmarkStart w:id="29" w:name="_Toc16810"/>
      <w:bookmarkStart w:id="30" w:name="_Toc9233"/>
      <w:bookmarkStart w:id="31" w:name="_Toc25391"/>
      <w:bookmarkStart w:id="32" w:name="_Toc204345198"/>
      <w:bookmarkStart w:id="33" w:name="_Toc11858"/>
      <w:bookmarkStart w:id="34" w:name="_Toc19219"/>
      <w:bookmarkStart w:id="35" w:name="_Toc398"/>
      <w:r>
        <w:rPr>
          <w:rFonts w:hint="eastAsia" w:cs="方正仿宋_GBK" w:asciiTheme="minorEastAsia" w:hAnsiTheme="minorEastAsia" w:eastAsiaTheme="minorEastAsia"/>
          <w:b/>
          <w:color w:val="auto"/>
          <w:sz w:val="24"/>
          <w:highlight w:val="none"/>
        </w:rPr>
        <w:t>一、招标项目内容</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4"/>
        <w:gridCol w:w="1984"/>
        <w:gridCol w:w="1559"/>
        <w:gridCol w:w="1418"/>
        <w:gridCol w:w="2401"/>
      </w:tblGrid>
      <w:tr w14:paraId="1A992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4" w:type="dxa"/>
            <w:vAlign w:val="center"/>
          </w:tcPr>
          <w:p w14:paraId="54C1F5C1">
            <w:pPr>
              <w:pStyle w:val="7"/>
              <w:spacing w:line="240" w:lineRule="auto"/>
              <w:ind w:left="0"/>
              <w:jc w:val="center"/>
              <w:outlineLvl w:val="0"/>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包号及名称</w:t>
            </w:r>
          </w:p>
        </w:tc>
        <w:tc>
          <w:tcPr>
            <w:tcW w:w="1984" w:type="dxa"/>
            <w:vAlign w:val="center"/>
          </w:tcPr>
          <w:p w14:paraId="73030F6A">
            <w:pPr>
              <w:pStyle w:val="7"/>
              <w:spacing w:line="240" w:lineRule="auto"/>
              <w:ind w:left="0"/>
              <w:jc w:val="center"/>
              <w:outlineLvl w:val="0"/>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最高限价</w:t>
            </w:r>
          </w:p>
          <w:p w14:paraId="59820748">
            <w:pPr>
              <w:pStyle w:val="7"/>
              <w:spacing w:line="240" w:lineRule="auto"/>
              <w:ind w:left="0"/>
              <w:jc w:val="center"/>
              <w:outlineLvl w:val="0"/>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（万元）</w:t>
            </w:r>
          </w:p>
        </w:tc>
        <w:tc>
          <w:tcPr>
            <w:tcW w:w="1559" w:type="dxa"/>
            <w:vAlign w:val="center"/>
          </w:tcPr>
          <w:p w14:paraId="766943E6">
            <w:pPr>
              <w:pStyle w:val="7"/>
              <w:spacing w:line="240" w:lineRule="auto"/>
              <w:ind w:left="0"/>
              <w:jc w:val="center"/>
              <w:outlineLvl w:val="0"/>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投标保证金</w:t>
            </w:r>
          </w:p>
          <w:p w14:paraId="75CB33AF">
            <w:pPr>
              <w:pStyle w:val="7"/>
              <w:spacing w:line="240" w:lineRule="auto"/>
              <w:ind w:left="0"/>
              <w:jc w:val="center"/>
              <w:outlineLvl w:val="0"/>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（万元）</w:t>
            </w:r>
          </w:p>
        </w:tc>
        <w:tc>
          <w:tcPr>
            <w:tcW w:w="1418" w:type="dxa"/>
            <w:vAlign w:val="center"/>
          </w:tcPr>
          <w:p w14:paraId="6A62ABF9">
            <w:pPr>
              <w:pStyle w:val="7"/>
              <w:spacing w:line="240" w:lineRule="auto"/>
              <w:ind w:left="0"/>
              <w:jc w:val="center"/>
              <w:outlineLvl w:val="0"/>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中标人数量（名）</w:t>
            </w:r>
          </w:p>
        </w:tc>
        <w:tc>
          <w:tcPr>
            <w:tcW w:w="2401" w:type="dxa"/>
            <w:vAlign w:val="center"/>
          </w:tcPr>
          <w:p w14:paraId="02FA1994">
            <w:pPr>
              <w:pStyle w:val="7"/>
              <w:spacing w:line="240" w:lineRule="auto"/>
              <w:ind w:left="0"/>
              <w:jc w:val="center"/>
              <w:outlineLvl w:val="0"/>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bCs/>
                <w:color w:val="auto"/>
                <w:kern w:val="0"/>
                <w:sz w:val="21"/>
                <w:szCs w:val="24"/>
                <w:highlight w:val="none"/>
              </w:rPr>
              <w:t>采购标的对应的中小企业划分标准所属行业</w:t>
            </w:r>
          </w:p>
        </w:tc>
      </w:tr>
      <w:tr w14:paraId="429B9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204" w:type="dxa"/>
            <w:vAlign w:val="center"/>
          </w:tcPr>
          <w:p w14:paraId="59CAEA74">
            <w:pPr>
              <w:pStyle w:val="7"/>
              <w:spacing w:line="240" w:lineRule="auto"/>
              <w:ind w:left="0"/>
              <w:jc w:val="center"/>
              <w:outlineLvl w:val="0"/>
              <w:rPr>
                <w:rFonts w:cs="方正仿宋_GBK" w:asciiTheme="minorEastAsia" w:hAnsiTheme="minorEastAsia" w:eastAsiaTheme="minorEastAsia"/>
                <w:color w:val="auto"/>
                <w:sz w:val="24"/>
                <w:szCs w:val="24"/>
                <w:highlight w:val="none"/>
              </w:rPr>
            </w:pPr>
            <w:r>
              <w:rPr>
                <w:rFonts w:ascii="宋体" w:hAnsi="宋体"/>
                <w:bCs/>
                <w:color w:val="auto"/>
                <w:sz w:val="24"/>
                <w:szCs w:val="24"/>
                <w:highlight w:val="none"/>
              </w:rPr>
              <w:t>包1：</w:t>
            </w:r>
            <w:r>
              <w:rPr>
                <w:rFonts w:hint="eastAsia" w:ascii="宋体" w:hAnsi="宋体"/>
                <w:bCs/>
                <w:color w:val="auto"/>
                <w:sz w:val="24"/>
                <w:szCs w:val="24"/>
                <w:highlight w:val="none"/>
              </w:rPr>
              <w:t>样品制备与品质分析系统</w:t>
            </w:r>
          </w:p>
        </w:tc>
        <w:tc>
          <w:tcPr>
            <w:tcW w:w="1984" w:type="dxa"/>
            <w:vAlign w:val="center"/>
          </w:tcPr>
          <w:p w14:paraId="6A36D5F7">
            <w:pPr>
              <w:pStyle w:val="4"/>
              <w:spacing w:line="240" w:lineRule="auto"/>
              <w:ind w:firstLine="0"/>
              <w:jc w:val="center"/>
              <w:outlineLvl w:val="0"/>
              <w:rPr>
                <w:rFonts w:hint="default" w:cs="方正仿宋_GBK" w:asciiTheme="minorEastAsia" w:hAnsiTheme="minorEastAsia" w:eastAsiaTheme="minorEastAsia"/>
                <w:color w:val="auto"/>
                <w:szCs w:val="24"/>
                <w:highlight w:val="none"/>
                <w:lang w:val="en-US" w:eastAsia="zh-CN"/>
              </w:rPr>
            </w:pPr>
            <w:r>
              <w:rPr>
                <w:rFonts w:hint="eastAsia" w:ascii="宋体" w:hAnsi="宋体" w:eastAsiaTheme="minorEastAsia"/>
                <w:bCs/>
                <w:color w:val="auto"/>
                <w:szCs w:val="24"/>
                <w:highlight w:val="none"/>
                <w:lang w:val="en-US" w:eastAsia="zh-CN"/>
              </w:rPr>
              <w:t>245</w:t>
            </w:r>
          </w:p>
        </w:tc>
        <w:tc>
          <w:tcPr>
            <w:tcW w:w="1559" w:type="dxa"/>
            <w:vAlign w:val="center"/>
          </w:tcPr>
          <w:p w14:paraId="0C09A8DD">
            <w:pPr>
              <w:pStyle w:val="4"/>
              <w:spacing w:line="240" w:lineRule="auto"/>
              <w:ind w:firstLine="0"/>
              <w:jc w:val="center"/>
              <w:outlineLvl w:val="0"/>
              <w:rPr>
                <w:rFonts w:hint="default" w:cs="方正仿宋_GBK" w:asciiTheme="minorEastAsia" w:hAnsiTheme="minorEastAsia" w:eastAsiaTheme="minorEastAsia"/>
                <w:color w:val="auto"/>
                <w:szCs w:val="24"/>
                <w:highlight w:val="none"/>
                <w:lang w:val="en-US" w:eastAsia="zh-CN"/>
              </w:rPr>
            </w:pPr>
            <w:r>
              <w:rPr>
                <w:rFonts w:hint="eastAsia" w:cs="方正仿宋_GBK" w:asciiTheme="minorEastAsia" w:hAnsiTheme="minorEastAsia" w:eastAsiaTheme="minorEastAsia"/>
                <w:color w:val="auto"/>
                <w:szCs w:val="24"/>
                <w:highlight w:val="none"/>
                <w:lang w:val="en-US" w:eastAsia="zh-CN"/>
              </w:rPr>
              <w:t>4.9</w:t>
            </w:r>
          </w:p>
        </w:tc>
        <w:tc>
          <w:tcPr>
            <w:tcW w:w="1418" w:type="dxa"/>
            <w:vAlign w:val="center"/>
          </w:tcPr>
          <w:p w14:paraId="2B928775">
            <w:pPr>
              <w:pStyle w:val="4"/>
              <w:spacing w:line="240" w:lineRule="auto"/>
              <w:ind w:firstLine="0"/>
              <w:jc w:val="center"/>
              <w:outlineLvl w:val="0"/>
              <w:rPr>
                <w:rFonts w:cs="方正仿宋_GBK" w:asciiTheme="minorEastAsia" w:hAnsiTheme="minorEastAsia" w:eastAsiaTheme="minorEastAsia"/>
                <w:color w:val="auto"/>
                <w:szCs w:val="24"/>
                <w:highlight w:val="none"/>
              </w:rPr>
            </w:pPr>
            <w:r>
              <w:rPr>
                <w:rFonts w:hint="eastAsia" w:cs="方正仿宋_GBK" w:asciiTheme="minorEastAsia" w:hAnsiTheme="minorEastAsia" w:eastAsiaTheme="minorEastAsia"/>
                <w:color w:val="auto"/>
                <w:szCs w:val="24"/>
                <w:highlight w:val="none"/>
              </w:rPr>
              <w:t>1</w:t>
            </w:r>
          </w:p>
        </w:tc>
        <w:tc>
          <w:tcPr>
            <w:tcW w:w="2401" w:type="dxa"/>
            <w:vAlign w:val="center"/>
          </w:tcPr>
          <w:p w14:paraId="4500F435">
            <w:pPr>
              <w:pStyle w:val="4"/>
              <w:spacing w:line="240" w:lineRule="auto"/>
              <w:ind w:firstLine="0"/>
              <w:jc w:val="center"/>
              <w:outlineLvl w:val="0"/>
              <w:rPr>
                <w:rFonts w:cs="方正仿宋_GBK" w:asciiTheme="minorEastAsia" w:hAnsiTheme="minorEastAsia" w:eastAsiaTheme="minorEastAsia"/>
                <w:b/>
                <w:color w:val="auto"/>
                <w:szCs w:val="24"/>
                <w:highlight w:val="none"/>
              </w:rPr>
            </w:pPr>
            <w:r>
              <w:rPr>
                <w:rFonts w:hint="eastAsia" w:cs="方正仿宋_GBK" w:asciiTheme="minorEastAsia" w:hAnsiTheme="minorEastAsia" w:eastAsiaTheme="minorEastAsia"/>
                <w:b/>
                <w:color w:val="auto"/>
                <w:szCs w:val="24"/>
                <w:highlight w:val="none"/>
              </w:rPr>
              <w:t>工业</w:t>
            </w:r>
          </w:p>
        </w:tc>
      </w:tr>
    </w:tbl>
    <w:p w14:paraId="73D41BC7">
      <w:pPr>
        <w:ind w:firstLine="482" w:firstLineChars="200"/>
        <w:rPr>
          <w:rFonts w:cs="方正仿宋_GBK" w:asciiTheme="minorEastAsia" w:hAnsiTheme="minorEastAsia" w:eastAsiaTheme="minorEastAsia"/>
          <w:b/>
          <w:bCs/>
          <w:color w:val="auto"/>
          <w:sz w:val="24"/>
          <w:szCs w:val="24"/>
          <w:highlight w:val="none"/>
        </w:rPr>
      </w:pPr>
      <w:bookmarkStart w:id="36" w:name="_Toc7121"/>
      <w:bookmarkStart w:id="37" w:name="_Toc75793497"/>
      <w:bookmarkStart w:id="38" w:name="_Toc31180"/>
      <w:bookmarkStart w:id="39" w:name="_Toc22549"/>
      <w:bookmarkStart w:id="40" w:name="_Toc856"/>
      <w:bookmarkStart w:id="41" w:name="_Toc26507"/>
      <w:bookmarkStart w:id="42" w:name="_Toc22327"/>
      <w:bookmarkStart w:id="43" w:name="_Toc204345199"/>
      <w:bookmarkStart w:id="44" w:name="_Toc15664"/>
      <w:bookmarkStart w:id="45" w:name="_Toc12298"/>
      <w:bookmarkStart w:id="46" w:name="_Toc29240"/>
      <w:bookmarkStart w:id="47" w:name="_Toc31390"/>
      <w:bookmarkStart w:id="48" w:name="_Toc26284"/>
      <w:bookmarkStart w:id="49" w:name="_Toc26540"/>
      <w:bookmarkStart w:id="50" w:name="_Toc15272"/>
      <w:bookmarkStart w:id="51" w:name="_Toc9736"/>
      <w:r>
        <w:rPr>
          <w:rFonts w:hint="eastAsia" w:cs="方正仿宋_GBK" w:asciiTheme="minorEastAsia" w:hAnsiTheme="minorEastAsia" w:eastAsiaTheme="minorEastAsia"/>
          <w:b/>
          <w:bCs/>
          <w:color w:val="auto"/>
          <w:sz w:val="24"/>
          <w:szCs w:val="24"/>
          <w:highlight w:val="none"/>
        </w:rPr>
        <w:t>注：投标文件应按照分包分别装订，不得一起装订，否则为无效投标。</w:t>
      </w:r>
    </w:p>
    <w:p w14:paraId="1BE5070F">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52" w:name="_Toc21427"/>
      <w:r>
        <w:rPr>
          <w:rFonts w:hint="eastAsia" w:cs="方正仿宋_GBK" w:asciiTheme="minorEastAsia" w:hAnsiTheme="minorEastAsia" w:eastAsiaTheme="minorEastAsia"/>
          <w:b/>
          <w:color w:val="auto"/>
          <w:sz w:val="24"/>
          <w:highlight w:val="none"/>
        </w:rPr>
        <w:t>二、资金来源</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76427B3B">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自筹资金，预算金额为</w:t>
      </w:r>
      <w:r>
        <w:rPr>
          <w:rFonts w:hint="eastAsia" w:cs="方正仿宋_GBK" w:asciiTheme="minorEastAsia" w:hAnsiTheme="minorEastAsia" w:eastAsiaTheme="minorEastAsia"/>
          <w:color w:val="auto"/>
          <w:sz w:val="24"/>
          <w:szCs w:val="24"/>
          <w:highlight w:val="none"/>
          <w:lang w:val="en-US" w:eastAsia="zh-CN"/>
        </w:rPr>
        <w:t>331</w:t>
      </w:r>
      <w:r>
        <w:rPr>
          <w:rFonts w:hint="eastAsia" w:cs="方正仿宋_GBK" w:asciiTheme="minorEastAsia" w:hAnsiTheme="minorEastAsia" w:eastAsiaTheme="minorEastAsia"/>
          <w:color w:val="auto"/>
          <w:sz w:val="24"/>
          <w:szCs w:val="24"/>
          <w:highlight w:val="none"/>
        </w:rPr>
        <w:t>万元，最高限价为</w:t>
      </w:r>
      <w:r>
        <w:rPr>
          <w:rFonts w:hint="eastAsia" w:cs="方正仿宋_GBK" w:asciiTheme="minorEastAsia" w:hAnsiTheme="minorEastAsia" w:eastAsiaTheme="minorEastAsia"/>
          <w:color w:val="auto"/>
          <w:sz w:val="24"/>
          <w:szCs w:val="24"/>
          <w:highlight w:val="none"/>
          <w:lang w:val="en-US" w:eastAsia="zh-CN"/>
        </w:rPr>
        <w:t>245</w:t>
      </w:r>
      <w:r>
        <w:rPr>
          <w:rFonts w:hint="eastAsia" w:cs="方正仿宋_GBK" w:asciiTheme="minorEastAsia" w:hAnsiTheme="minorEastAsia" w:eastAsiaTheme="minorEastAsia"/>
          <w:color w:val="auto"/>
          <w:sz w:val="24"/>
          <w:szCs w:val="24"/>
          <w:highlight w:val="none"/>
        </w:rPr>
        <w:t>万元。</w:t>
      </w:r>
    </w:p>
    <w:p w14:paraId="5062A378">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53" w:name="_Toc29468"/>
      <w:bookmarkStart w:id="54" w:name="_Toc21668"/>
      <w:bookmarkStart w:id="55" w:name="_Toc20925"/>
      <w:bookmarkStart w:id="56" w:name="_Toc11835"/>
      <w:bookmarkStart w:id="57" w:name="_Toc12813"/>
      <w:bookmarkStart w:id="58" w:name="_Toc21210"/>
      <w:bookmarkStart w:id="59" w:name="_Toc204345200"/>
      <w:bookmarkStart w:id="60" w:name="_Toc30074"/>
      <w:bookmarkStart w:id="61" w:name="_Toc28070"/>
      <w:bookmarkStart w:id="62" w:name="_Toc20698"/>
      <w:bookmarkStart w:id="63" w:name="_Toc682"/>
      <w:bookmarkStart w:id="64" w:name="_Toc2256"/>
      <w:bookmarkStart w:id="65" w:name="_Toc23472"/>
      <w:bookmarkStart w:id="66" w:name="_Toc75793498"/>
      <w:bookmarkStart w:id="67" w:name="_Toc7983"/>
      <w:bookmarkStart w:id="68" w:name="_Toc4504"/>
      <w:bookmarkStart w:id="69" w:name="_Toc4356"/>
      <w:r>
        <w:rPr>
          <w:rFonts w:hint="eastAsia" w:cs="方正仿宋_GBK" w:asciiTheme="minorEastAsia" w:hAnsiTheme="minorEastAsia" w:eastAsiaTheme="minorEastAsia"/>
          <w:b/>
          <w:color w:val="auto"/>
          <w:sz w:val="24"/>
          <w:highlight w:val="none"/>
        </w:rPr>
        <w:t>三、投标人资格要求</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715E74C9">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（一）满足《中华人民共和国政府采购法》第二十二条规定；</w:t>
      </w:r>
    </w:p>
    <w:p w14:paraId="043051D7">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（二）包1落实政府采购政策需满足的资格要求： </w:t>
      </w:r>
    </w:p>
    <w:p w14:paraId="22CA2220">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本包预留采购项目预算总额的30%以上专门面向中小企业采购，其中预留给小微企业的比例不低于60%：</w:t>
      </w:r>
    </w:p>
    <w:p w14:paraId="19A5DE36">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1.投标人所提供的货物制造商若全部为小微企业的，投标人应提供其货物制造商的“中小企业声明函”或“监狱企业证明文件”或“残疾人福利性单位声明函”；</w:t>
      </w:r>
    </w:p>
    <w:p w14:paraId="675DEDB7">
      <w:pPr>
        <w:spacing w:line="400" w:lineRule="exact"/>
        <w:ind w:firstLine="480" w:firstLineChars="200"/>
        <w:rPr>
          <w:rFonts w:hint="eastAsia" w:eastAsia="宋体" w:cs="方正仿宋_GBK" w:asciiTheme="minorEastAsia" w:hAnsiTheme="minorEastAsia"/>
          <w:color w:val="auto"/>
          <w:sz w:val="24"/>
          <w:szCs w:val="24"/>
          <w:highlight w:val="none"/>
          <w:lang w:eastAsia="zh-CN"/>
        </w:rPr>
      </w:pPr>
      <w:r>
        <w:rPr>
          <w:rFonts w:hint="eastAsia" w:cs="方正仿宋_GBK" w:asciiTheme="minorEastAsia" w:hAnsiTheme="minorEastAsia" w:eastAsiaTheme="minorEastAsia"/>
          <w:color w:val="auto"/>
          <w:sz w:val="24"/>
          <w:szCs w:val="24"/>
          <w:highlight w:val="none"/>
        </w:rPr>
        <w:t>2.1投标人所提供的货物制造商非全部为小微企业的，投标人应以签订分包意向协议的形式，将其合同总份额的30%及以上分包给中小企业制造商，该分包意向协议合同份额的60%及以上应当分包给小微企业制造商，投标人提供的分包意向协议中应明确投标产品名称、制造商名称、制造商中小微型企业等级、合同份额、合同份额所占合同总金额的比例，分包意向协议须加盖投标人公章。投标人应提供承担所分包份额的中小企业制造商的“中小企业声明函”或“监狱企业证明文件”或“残疾人福利性单位声明函”。投标人未提供分包意向协议的，不享受中小企业扶持政策，且资格审查不通过。</w:t>
      </w:r>
      <w:r>
        <w:rPr>
          <w:rFonts w:ascii="宋体" w:hAnsi="宋体" w:eastAsia="宋体" w:cs="宋体"/>
          <w:color w:val="auto"/>
          <w:sz w:val="24"/>
          <w:szCs w:val="24"/>
          <w:highlight w:val="none"/>
        </w:rPr>
        <w:t>若中标人在投标文件中提供了分包意向协议，在合同签订前</w:t>
      </w:r>
      <w:r>
        <w:rPr>
          <w:rFonts w:hint="eastAsia" w:ascii="宋体" w:hAnsi="宋体" w:cs="宋体"/>
          <w:color w:val="auto"/>
          <w:sz w:val="24"/>
          <w:szCs w:val="24"/>
          <w:highlight w:val="none"/>
          <w:lang w:val="en-US" w:eastAsia="zh-CN"/>
        </w:rPr>
        <w:t>向采购人</w:t>
      </w:r>
      <w:r>
        <w:rPr>
          <w:rFonts w:ascii="宋体" w:hAnsi="宋体" w:eastAsia="宋体" w:cs="宋体"/>
          <w:color w:val="auto"/>
          <w:sz w:val="24"/>
          <w:szCs w:val="24"/>
          <w:highlight w:val="none"/>
        </w:rPr>
        <w:t>提供分包协议原件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并将</w:t>
      </w:r>
      <w:r>
        <w:rPr>
          <w:rFonts w:ascii="宋体" w:hAnsi="宋体" w:eastAsia="宋体" w:cs="宋体"/>
          <w:color w:val="auto"/>
          <w:sz w:val="24"/>
          <w:szCs w:val="24"/>
          <w:highlight w:val="none"/>
        </w:rPr>
        <w:t>分包协议作为本项目合同的附件</w:t>
      </w:r>
      <w:r>
        <w:rPr>
          <w:rFonts w:hint="eastAsia" w:ascii="宋体" w:hAnsi="宋体" w:cs="宋体"/>
          <w:color w:val="auto"/>
          <w:sz w:val="24"/>
          <w:szCs w:val="24"/>
          <w:highlight w:val="none"/>
          <w:lang w:eastAsia="zh-CN"/>
        </w:rPr>
        <w:t>。</w:t>
      </w:r>
    </w:p>
    <w:p w14:paraId="1011DCA4">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2.2投标人若为小微企业且为合同总份额30%及以上所投产品的制造商，应提供其承担合同份额的承诺函（加盖投标人公章，格式自定）和其货物制造商的“中小企业声明函”或“监狱企业证明文件”或“残疾人福利性单位声明函”，无需提供分包意向协议。</w:t>
      </w:r>
    </w:p>
    <w:p w14:paraId="6A5C9749">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注：</w:t>
      </w:r>
    </w:p>
    <w:p w14:paraId="3E5129F3">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1.“中小企业声明函”应由投标人出具，并加盖投标人公章，声明函格式详见本招标文件第七篇“中小企业声明函”；</w:t>
      </w:r>
    </w:p>
    <w:p w14:paraId="68214031">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2.“监狱企业证明文件”应当由投标人提供其货物制造商属于监狱企业的证明文件，该证明文件由省级以上监狱管理局、戒毒管理局（含新疆生产建设兵团）出具；</w:t>
      </w:r>
    </w:p>
    <w:p w14:paraId="597397F6">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3.“残疾人福利性单位声明函”应由投标人提供其货物制造商出具的“残疾人福利性单位声明函”，并加盖该残疾人福利性单位公章。</w:t>
      </w:r>
    </w:p>
    <w:p w14:paraId="2853A056">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w:t>
      </w:r>
      <w:r>
        <w:rPr>
          <w:rFonts w:hint="eastAsia" w:cs="方正仿宋_GBK" w:asciiTheme="minorEastAsia" w:hAnsiTheme="minorEastAsia" w:eastAsiaTheme="minorEastAsia"/>
          <w:color w:val="auto"/>
          <w:sz w:val="24"/>
          <w:szCs w:val="24"/>
          <w:highlight w:val="none"/>
          <w:lang w:val="en-US" w:eastAsia="zh-CN"/>
        </w:rPr>
        <w:t>三</w:t>
      </w:r>
      <w:r>
        <w:rPr>
          <w:rFonts w:hint="eastAsia" w:cs="方正仿宋_GBK" w:asciiTheme="minorEastAsia" w:hAnsiTheme="minorEastAsia" w:eastAsiaTheme="minorEastAsia"/>
          <w:color w:val="auto"/>
          <w:sz w:val="24"/>
          <w:szCs w:val="24"/>
          <w:highlight w:val="none"/>
        </w:rPr>
        <w:t>）本项目的特定资格要求：无。</w:t>
      </w:r>
    </w:p>
    <w:p w14:paraId="09829872">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70" w:name="_Toc5414"/>
      <w:bookmarkStart w:id="71" w:name="_Toc24618"/>
      <w:bookmarkStart w:id="72" w:name="_Toc11987"/>
      <w:bookmarkStart w:id="73" w:name="_Toc11276"/>
      <w:bookmarkStart w:id="74" w:name="_Toc27442"/>
      <w:bookmarkStart w:id="75" w:name="_Toc204345201"/>
      <w:bookmarkStart w:id="76" w:name="_Toc10771"/>
      <w:bookmarkStart w:id="77" w:name="_Toc15980"/>
      <w:bookmarkStart w:id="78" w:name="_Toc13076"/>
      <w:bookmarkStart w:id="79" w:name="_Toc1132"/>
      <w:bookmarkStart w:id="80" w:name="_Toc9335"/>
      <w:bookmarkStart w:id="81" w:name="_Toc75793499"/>
      <w:bookmarkStart w:id="82" w:name="_Toc12680"/>
      <w:bookmarkStart w:id="83" w:name="_Toc27732"/>
      <w:bookmarkStart w:id="84" w:name="_Toc22464"/>
      <w:bookmarkStart w:id="85" w:name="_Toc8255"/>
      <w:bookmarkStart w:id="86" w:name="_Toc28188"/>
      <w:r>
        <w:rPr>
          <w:rFonts w:hint="eastAsia" w:cs="方正仿宋_GBK" w:asciiTheme="minorEastAsia" w:hAnsiTheme="minorEastAsia" w:eastAsiaTheme="minorEastAsia"/>
          <w:b/>
          <w:color w:val="auto"/>
          <w:sz w:val="24"/>
          <w:highlight w:val="none"/>
        </w:rPr>
        <w:t>四、投标、开标有关说明</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40446010">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（一）投标人应通过重庆市政府采购网（</w:t>
      </w:r>
      <w:r>
        <w:rPr>
          <w:color w:val="auto"/>
          <w:highlight w:val="none"/>
        </w:rPr>
        <w:fldChar w:fldCharType="begin"/>
      </w:r>
      <w:r>
        <w:rPr>
          <w:color w:val="auto"/>
          <w:highlight w:val="none"/>
        </w:rPr>
        <w:instrText xml:space="preserve"> HYPERLINK "http://www.cqgp.gov.cn" </w:instrText>
      </w:r>
      <w:r>
        <w:rPr>
          <w:color w:val="auto"/>
          <w:highlight w:val="none"/>
        </w:rPr>
        <w:fldChar w:fldCharType="separate"/>
      </w:r>
      <w:r>
        <w:rPr>
          <w:rFonts w:hint="eastAsia" w:cs="方正仿宋_GBK" w:asciiTheme="minorEastAsia" w:hAnsiTheme="minorEastAsia" w:eastAsiaTheme="minorEastAsia"/>
          <w:color w:val="auto"/>
          <w:sz w:val="24"/>
          <w:szCs w:val="24"/>
          <w:highlight w:val="none"/>
        </w:rPr>
        <w:t>www.ccgp-chongqing.gov.cn</w:t>
      </w:r>
      <w:r>
        <w:rPr>
          <w:rFonts w:hint="eastAsia" w:cs="方正仿宋_GBK" w:asciiTheme="minorEastAsia" w:hAnsiTheme="minorEastAsia" w:eastAsiaTheme="minorEastAsia"/>
          <w:color w:val="auto"/>
          <w:sz w:val="24"/>
          <w:szCs w:val="24"/>
          <w:highlight w:val="none"/>
        </w:rPr>
        <w:fldChar w:fldCharType="end"/>
      </w:r>
      <w:r>
        <w:rPr>
          <w:rFonts w:hint="eastAsia" w:cs="方正仿宋_GBK" w:asciiTheme="minorEastAsia" w:hAnsiTheme="minorEastAsia" w:eastAsiaTheme="minorEastAsia"/>
          <w:color w:val="auto"/>
          <w:sz w:val="24"/>
          <w:szCs w:val="24"/>
          <w:highlight w:val="none"/>
        </w:rPr>
        <w:t>）登记加入“重庆市政府采购供应商库”。</w:t>
      </w:r>
    </w:p>
    <w:p w14:paraId="601A2546">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凡有意参加投标的投标人，请到“重庆市政府采购网”或“重庆工商大学招投标信息网”上下载本项目招标文件以及图纸、澄清等开标前公布的所有项目资料，无论投标人领取或下载与否，均视为已知晓所有招标内容。</w:t>
      </w:r>
    </w:p>
    <w:p w14:paraId="65058509">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（三）招标文件公告期限：自采购公告发布之日起五个工作日。</w:t>
      </w:r>
    </w:p>
    <w:p w14:paraId="25A9ACF5">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（四）招标文件提供期限</w:t>
      </w:r>
    </w:p>
    <w:p w14:paraId="6F0FCE3E">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1.招标文件提供期限：同招标文件公告期限。</w:t>
      </w:r>
    </w:p>
    <w:p w14:paraId="12B0F65D">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2.报名方式：无需报名。</w:t>
      </w:r>
    </w:p>
    <w:p w14:paraId="04F1F440">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（五）投标地点：重庆市公共资源交易中心开标厅（地址：重庆市渝北区青枫北路6号渝兴广场B10栋2层）</w:t>
      </w:r>
    </w:p>
    <w:p w14:paraId="12B4EEEF">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（六）投标截止时间：2026年</w:t>
      </w:r>
      <w:r>
        <w:rPr>
          <w:rFonts w:hint="eastAsia" w:cs="方正仿宋_GBK" w:asciiTheme="minorEastAsia" w:hAnsiTheme="minorEastAsia" w:eastAsiaTheme="minorEastAsia"/>
          <w:color w:val="auto"/>
          <w:sz w:val="24"/>
          <w:szCs w:val="24"/>
          <w:highlight w:val="none"/>
          <w:lang w:val="en-US" w:eastAsia="zh-CN"/>
        </w:rPr>
        <w:t>6</w:t>
      </w:r>
      <w:r>
        <w:rPr>
          <w:rFonts w:hint="eastAsia" w:cs="方正仿宋_GBK" w:asciiTheme="minorEastAsia" w:hAnsiTheme="minorEastAsia" w:eastAsiaTheme="minorEastAsia"/>
          <w:color w:val="auto"/>
          <w:sz w:val="24"/>
          <w:szCs w:val="24"/>
          <w:highlight w:val="none"/>
        </w:rPr>
        <w:t>月</w:t>
      </w:r>
      <w:r>
        <w:rPr>
          <w:rFonts w:hint="eastAsia" w:cs="方正仿宋_GBK" w:asciiTheme="minorEastAsia" w:hAnsiTheme="minorEastAsia" w:eastAsiaTheme="minorEastAsia"/>
          <w:color w:val="auto"/>
          <w:sz w:val="24"/>
          <w:szCs w:val="24"/>
          <w:highlight w:val="none"/>
          <w:lang w:val="en-US" w:eastAsia="zh-CN"/>
        </w:rPr>
        <w:t>3</w:t>
      </w:r>
      <w:r>
        <w:rPr>
          <w:rFonts w:hint="eastAsia" w:cs="方正仿宋_GBK" w:asciiTheme="minorEastAsia" w:hAnsiTheme="minorEastAsia" w:eastAsiaTheme="minorEastAsia"/>
          <w:color w:val="auto"/>
          <w:sz w:val="24"/>
          <w:szCs w:val="24"/>
          <w:highlight w:val="none"/>
        </w:rPr>
        <w:t>日北京时间</w:t>
      </w:r>
      <w:r>
        <w:rPr>
          <w:rFonts w:hint="eastAsia" w:cs="方正仿宋_GBK" w:asciiTheme="minorEastAsia" w:hAnsiTheme="minorEastAsia" w:eastAsiaTheme="minorEastAsia"/>
          <w:color w:val="auto"/>
          <w:sz w:val="24"/>
          <w:szCs w:val="24"/>
          <w:highlight w:val="none"/>
          <w:lang w:val="en-US" w:eastAsia="zh-CN"/>
        </w:rPr>
        <w:t>09</w:t>
      </w:r>
      <w:r>
        <w:rPr>
          <w:rFonts w:hint="eastAsia" w:cs="方正仿宋_GBK" w:asciiTheme="minorEastAsia" w:hAnsiTheme="minorEastAsia" w:eastAsiaTheme="minorEastAsia"/>
          <w:color w:val="auto"/>
          <w:sz w:val="24"/>
          <w:szCs w:val="24"/>
          <w:highlight w:val="none"/>
        </w:rPr>
        <w:t>:</w:t>
      </w:r>
      <w:r>
        <w:rPr>
          <w:rFonts w:hint="eastAsia" w:cs="方正仿宋_GBK" w:asciiTheme="minorEastAsia" w:hAnsiTheme="minorEastAsia" w:eastAsiaTheme="minorEastAsia"/>
          <w:color w:val="auto"/>
          <w:sz w:val="24"/>
          <w:szCs w:val="24"/>
          <w:highlight w:val="none"/>
          <w:lang w:val="en-US" w:eastAsia="zh-CN"/>
        </w:rPr>
        <w:t>3</w:t>
      </w:r>
      <w:r>
        <w:rPr>
          <w:rFonts w:hint="eastAsia" w:cs="方正仿宋_GBK" w:asciiTheme="minorEastAsia" w:hAnsiTheme="minorEastAsia" w:eastAsiaTheme="minorEastAsia"/>
          <w:color w:val="auto"/>
          <w:sz w:val="24"/>
          <w:szCs w:val="24"/>
          <w:highlight w:val="none"/>
        </w:rPr>
        <w:t>0</w:t>
      </w:r>
    </w:p>
    <w:p w14:paraId="5F25FD7D">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（七）开标时间：2026年</w:t>
      </w:r>
      <w:r>
        <w:rPr>
          <w:rFonts w:hint="eastAsia" w:cs="方正仿宋_GBK" w:asciiTheme="minorEastAsia" w:hAnsiTheme="minorEastAsia" w:eastAsiaTheme="minorEastAsia"/>
          <w:color w:val="auto"/>
          <w:sz w:val="24"/>
          <w:szCs w:val="24"/>
          <w:highlight w:val="none"/>
          <w:lang w:val="en-US" w:eastAsia="zh-CN"/>
        </w:rPr>
        <w:t>6</w:t>
      </w:r>
      <w:r>
        <w:rPr>
          <w:rFonts w:hint="eastAsia" w:cs="方正仿宋_GBK" w:asciiTheme="minorEastAsia" w:hAnsiTheme="minorEastAsia" w:eastAsiaTheme="minorEastAsia"/>
          <w:color w:val="auto"/>
          <w:sz w:val="24"/>
          <w:szCs w:val="24"/>
          <w:highlight w:val="none"/>
        </w:rPr>
        <w:t>月</w:t>
      </w:r>
      <w:r>
        <w:rPr>
          <w:rFonts w:hint="eastAsia" w:cs="方正仿宋_GBK" w:asciiTheme="minorEastAsia" w:hAnsiTheme="minorEastAsia" w:eastAsiaTheme="minorEastAsia"/>
          <w:color w:val="auto"/>
          <w:sz w:val="24"/>
          <w:szCs w:val="24"/>
          <w:highlight w:val="none"/>
          <w:lang w:val="en-US" w:eastAsia="zh-CN"/>
        </w:rPr>
        <w:t>3</w:t>
      </w:r>
      <w:r>
        <w:rPr>
          <w:rFonts w:hint="eastAsia" w:cs="方正仿宋_GBK" w:asciiTheme="minorEastAsia" w:hAnsiTheme="minorEastAsia" w:eastAsiaTheme="minorEastAsia"/>
          <w:color w:val="auto"/>
          <w:sz w:val="24"/>
          <w:szCs w:val="24"/>
          <w:highlight w:val="none"/>
        </w:rPr>
        <w:t>日北京时间</w:t>
      </w:r>
      <w:r>
        <w:rPr>
          <w:rFonts w:hint="eastAsia" w:cs="方正仿宋_GBK" w:asciiTheme="minorEastAsia" w:hAnsiTheme="minorEastAsia" w:eastAsiaTheme="minorEastAsia"/>
          <w:color w:val="auto"/>
          <w:sz w:val="24"/>
          <w:szCs w:val="24"/>
          <w:highlight w:val="none"/>
          <w:lang w:val="en-US" w:eastAsia="zh-CN"/>
        </w:rPr>
        <w:t>09</w:t>
      </w:r>
      <w:r>
        <w:rPr>
          <w:rFonts w:hint="eastAsia" w:cs="方正仿宋_GBK" w:asciiTheme="minorEastAsia" w:hAnsiTheme="minorEastAsia" w:eastAsiaTheme="minorEastAsia"/>
          <w:color w:val="auto"/>
          <w:sz w:val="24"/>
          <w:szCs w:val="24"/>
          <w:highlight w:val="none"/>
        </w:rPr>
        <w:t>:</w:t>
      </w:r>
      <w:r>
        <w:rPr>
          <w:rFonts w:hint="eastAsia" w:cs="方正仿宋_GBK" w:asciiTheme="minorEastAsia" w:hAnsiTheme="minorEastAsia" w:eastAsiaTheme="minorEastAsia"/>
          <w:color w:val="auto"/>
          <w:sz w:val="24"/>
          <w:szCs w:val="24"/>
          <w:highlight w:val="none"/>
          <w:lang w:val="en-US" w:eastAsia="zh-CN"/>
        </w:rPr>
        <w:t>3</w:t>
      </w:r>
      <w:r>
        <w:rPr>
          <w:rFonts w:hint="eastAsia" w:cs="方正仿宋_GBK" w:asciiTheme="minorEastAsia" w:hAnsiTheme="minorEastAsia" w:eastAsiaTheme="minorEastAsia"/>
          <w:color w:val="auto"/>
          <w:sz w:val="24"/>
          <w:szCs w:val="24"/>
          <w:highlight w:val="none"/>
        </w:rPr>
        <w:t>0</w:t>
      </w:r>
    </w:p>
    <w:p w14:paraId="4E6C81EE">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（八）开标地点：同投标地点</w:t>
      </w:r>
    </w:p>
    <w:p w14:paraId="64AB1BC9">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（九）投标人应承担其编制与递交投标文件所涉及的一切费用，无论投标结果如何，采购人对上述费用概不负责，均由投标人承担。</w:t>
      </w:r>
    </w:p>
    <w:p w14:paraId="170AF8EF">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87" w:name="_Toc7836"/>
      <w:bookmarkStart w:id="88" w:name="_Toc25854"/>
      <w:bookmarkStart w:id="89" w:name="_Toc15717"/>
      <w:bookmarkStart w:id="90" w:name="_Toc24604"/>
      <w:bookmarkStart w:id="91" w:name="_Toc9290"/>
      <w:bookmarkStart w:id="92" w:name="_Toc12090"/>
      <w:bookmarkStart w:id="93" w:name="_Toc11844"/>
      <w:bookmarkStart w:id="94" w:name="_Toc12663"/>
      <w:bookmarkStart w:id="95" w:name="_Toc524"/>
      <w:bookmarkStart w:id="96" w:name="_Toc204345202"/>
      <w:bookmarkStart w:id="97" w:name="_Toc22111"/>
      <w:bookmarkStart w:id="98" w:name="_Toc3476"/>
      <w:bookmarkStart w:id="99" w:name="_Toc75793500"/>
      <w:bookmarkStart w:id="100" w:name="_Toc29675"/>
      <w:bookmarkStart w:id="101" w:name="_Toc18100"/>
      <w:bookmarkStart w:id="102" w:name="_Toc30895"/>
      <w:bookmarkStart w:id="103" w:name="_Toc23960"/>
      <w:r>
        <w:rPr>
          <w:rFonts w:hint="eastAsia" w:cs="方正仿宋_GBK" w:asciiTheme="minorEastAsia" w:hAnsiTheme="minorEastAsia" w:eastAsiaTheme="minorEastAsia"/>
          <w:b/>
          <w:color w:val="auto"/>
          <w:sz w:val="24"/>
          <w:highlight w:val="none"/>
        </w:rPr>
        <w:t>五、招标文件购买费及投标保证金</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26639DD">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（一）招标文件购买费缴纳方式</w:t>
      </w:r>
    </w:p>
    <w:p w14:paraId="0A40DEB8">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投标人须按本项目规定的招标文件购买费（200.00元/包）进行足额缴纳，由投标人从其账户将招标文件购买费(不同分包的招标文件购买费须分开缴纳)汇至以下账户，到账截止时间为开标时间。</w:t>
      </w:r>
      <w:r>
        <w:rPr>
          <w:rFonts w:hint="eastAsia" w:cs="方正仿宋_GBK" w:asciiTheme="minorEastAsia" w:hAnsiTheme="minorEastAsia" w:eastAsiaTheme="minorEastAsia"/>
          <w:b/>
          <w:bCs/>
          <w:color w:val="auto"/>
          <w:sz w:val="24"/>
          <w:szCs w:val="24"/>
          <w:highlight w:val="none"/>
        </w:rPr>
        <w:t>【注：第一次</w:t>
      </w:r>
      <w:r>
        <w:rPr>
          <w:rFonts w:hint="eastAsia" w:cs="方正仿宋_GBK" w:asciiTheme="minorEastAsia" w:hAnsiTheme="minorEastAsia" w:eastAsiaTheme="minorEastAsia"/>
          <w:b/>
          <w:bCs/>
          <w:color w:val="auto"/>
          <w:sz w:val="24"/>
          <w:szCs w:val="24"/>
          <w:highlight w:val="none"/>
          <w:lang w:eastAsia="zh-CN"/>
        </w:rPr>
        <w:t>和第二次</w:t>
      </w:r>
      <w:r>
        <w:rPr>
          <w:rFonts w:hint="eastAsia" w:cs="方正仿宋_GBK" w:asciiTheme="minorEastAsia" w:hAnsiTheme="minorEastAsia" w:eastAsiaTheme="minorEastAsia"/>
          <w:b/>
          <w:bCs/>
          <w:color w:val="auto"/>
          <w:sz w:val="24"/>
          <w:szCs w:val="24"/>
          <w:highlight w:val="none"/>
        </w:rPr>
        <w:t>采购时已缴纳过招标文件购买费的投标人无须重复缴纳】</w:t>
      </w:r>
    </w:p>
    <w:p w14:paraId="2F72B44A">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（二）招标文件购买费账户</w:t>
      </w:r>
    </w:p>
    <w:p w14:paraId="1D9B9597">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户  名：重庆工商大学</w:t>
      </w:r>
    </w:p>
    <w:p w14:paraId="5637D5E3">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账  号：9558853100753300080</w:t>
      </w:r>
    </w:p>
    <w:p w14:paraId="6E96DA47">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开户行：工行重庆南岸学府支行</w:t>
      </w:r>
    </w:p>
    <w:p w14:paraId="0B232973">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1.汇款的供应商须在付款凭证摘要/用途中填写“CQS25A04186”，并在投标文件中附纸质的转账凭证复印件。</w:t>
      </w:r>
    </w:p>
    <w:p w14:paraId="4C766F75">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2.供应商在缴纳招标文件购买费和投标保证金时，到款账户为上述指定的专用账户，来款账户必须为本公司账户。</w:t>
      </w:r>
    </w:p>
    <w:p w14:paraId="21241F92">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3.供应商在银行转账（电汇）时，须充分考虑银行转账（电汇）的时间差风险，如同城转账、异地转账或汇款、跨行转账或电汇的时间要求。</w:t>
      </w:r>
    </w:p>
    <w:p w14:paraId="395F70EC">
      <w:pPr>
        <w:spacing w:line="400" w:lineRule="exact"/>
        <w:ind w:firstLine="482" w:firstLineChars="200"/>
        <w:rPr>
          <w:rFonts w:cs="方正仿宋_GBK" w:asciiTheme="minorEastAsia" w:hAnsiTheme="minorEastAsia" w:eastAsiaTheme="minorEastAsia"/>
          <w:b/>
          <w:color w:val="auto"/>
          <w:sz w:val="24"/>
          <w:szCs w:val="24"/>
          <w:highlight w:val="none"/>
        </w:rPr>
      </w:pPr>
      <w:r>
        <w:rPr>
          <w:rFonts w:hint="eastAsia" w:cs="方正仿宋_GBK" w:asciiTheme="minorEastAsia" w:hAnsiTheme="minorEastAsia" w:eastAsiaTheme="minorEastAsia"/>
          <w:b/>
          <w:color w:val="auto"/>
          <w:sz w:val="24"/>
          <w:szCs w:val="24"/>
          <w:highlight w:val="none"/>
        </w:rPr>
        <w:t>（三）投标保证金递交</w:t>
      </w:r>
    </w:p>
    <w:p w14:paraId="703CA9CF">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1.转账方式</w:t>
      </w:r>
    </w:p>
    <w:p w14:paraId="015AF818">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1.1投标人应足额交纳投标保证金（保证金金额详见本篇，一、招标项目内容），并汇至以下账户，投标保证金的到账截止时间同投标截止时间。</w:t>
      </w:r>
    </w:p>
    <w:p w14:paraId="33FFC6CB">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投标保证金账户：</w:t>
      </w:r>
    </w:p>
    <w:tbl>
      <w:tblPr>
        <w:tblStyle w:val="16"/>
        <w:tblW w:w="5069" w:type="pct"/>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76"/>
        <w:gridCol w:w="4275"/>
        <w:gridCol w:w="3691"/>
      </w:tblGrid>
      <w:tr w14:paraId="4D409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C0C0C0"/>
            <w:noWrap/>
            <w:vAlign w:val="center"/>
          </w:tcPr>
          <w:p w14:paraId="4EB554C8">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投标保证金递交账号一览表</w:t>
            </w:r>
          </w:p>
        </w:tc>
      </w:tr>
      <w:tr w14:paraId="491C2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BD95A">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项目名称</w:t>
            </w:r>
          </w:p>
        </w:tc>
        <w:tc>
          <w:tcPr>
            <w:tcW w:w="417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559F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cs="方正仿宋_GBK" w:asciiTheme="minorEastAsia" w:hAnsiTheme="minorEastAsia" w:eastAsiaTheme="minorEastAsia"/>
                <w:color w:val="auto"/>
                <w:sz w:val="24"/>
                <w:szCs w:val="24"/>
                <w:highlight w:val="none"/>
              </w:rPr>
              <w:t>重庆工商大学食品科学与工程学院现代食品加工与原料分析表征平台</w:t>
            </w:r>
            <w:r>
              <w:rPr>
                <w:rFonts w:hint="eastAsia" w:cs="方正仿宋_GBK" w:asciiTheme="minorEastAsia" w:hAnsiTheme="minorEastAsia" w:eastAsiaTheme="minorEastAsia"/>
                <w:color w:val="auto"/>
                <w:sz w:val="24"/>
                <w:szCs w:val="24"/>
                <w:highlight w:val="none"/>
                <w:lang w:val="en-US" w:eastAsia="zh-CN"/>
              </w:rPr>
              <w:t>-包1</w:t>
            </w:r>
            <w:r>
              <w:rPr>
                <w:rFonts w:hint="eastAsia" w:cs="方正仿宋_GBK" w:asciiTheme="minorEastAsia" w:hAnsiTheme="minorEastAsia" w:eastAsiaTheme="minorEastAsia"/>
                <w:color w:val="auto"/>
                <w:sz w:val="24"/>
                <w:szCs w:val="24"/>
                <w:highlight w:val="none"/>
                <w:lang w:eastAsia="zh-CN"/>
              </w:rPr>
              <w:t>（3次）</w:t>
            </w:r>
          </w:p>
        </w:tc>
      </w:tr>
      <w:tr w14:paraId="0F5A1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F89B8">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财政编号</w:t>
            </w:r>
          </w:p>
        </w:tc>
        <w:tc>
          <w:tcPr>
            <w:tcW w:w="417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BBF6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CQS25A04186</w:t>
            </w:r>
          </w:p>
        </w:tc>
      </w:tr>
      <w:tr w14:paraId="59BB6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DD393">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户名</w:t>
            </w:r>
          </w:p>
        </w:tc>
        <w:tc>
          <w:tcPr>
            <w:tcW w:w="417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F24F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重庆联合产权交易所集团股份有限公司</w:t>
            </w:r>
          </w:p>
        </w:tc>
      </w:tr>
      <w:tr w14:paraId="1A59E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22FAC">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缴纳方式按项目或包</w:t>
            </w:r>
          </w:p>
        </w:tc>
        <w:tc>
          <w:tcPr>
            <w:tcW w:w="417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8CF6E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按包</w:t>
            </w:r>
          </w:p>
        </w:tc>
      </w:tr>
      <w:tr w14:paraId="1D751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2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6D454D">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分包</w:t>
            </w:r>
          </w:p>
        </w:tc>
        <w:tc>
          <w:tcPr>
            <w:tcW w:w="417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6713DF">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保证金子账号银行信息</w:t>
            </w:r>
          </w:p>
        </w:tc>
      </w:tr>
      <w:tr w14:paraId="37C5B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2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A83E8">
            <w:pPr>
              <w:jc w:val="center"/>
              <w:rPr>
                <w:rFonts w:hint="eastAsia" w:ascii="宋体" w:hAnsi="宋体" w:eastAsia="宋体" w:cs="宋体"/>
                <w:b/>
                <w:bCs/>
                <w:i w:val="0"/>
                <w:iCs w:val="0"/>
                <w:color w:val="000000"/>
                <w:sz w:val="24"/>
                <w:szCs w:val="24"/>
                <w:highlight w:val="none"/>
                <w:u w:val="none"/>
              </w:rPr>
            </w:pPr>
          </w:p>
        </w:tc>
        <w:tc>
          <w:tcPr>
            <w:tcW w:w="2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01DAA">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开户行</w:t>
            </w:r>
          </w:p>
        </w:tc>
        <w:tc>
          <w:tcPr>
            <w:tcW w:w="19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98784">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账号</w:t>
            </w:r>
          </w:p>
        </w:tc>
      </w:tr>
      <w:tr w14:paraId="29B3F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514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0AAF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中国民生银行股份有限公司重庆分行营业部</w:t>
            </w:r>
          </w:p>
        </w:tc>
        <w:tc>
          <w:tcPr>
            <w:tcW w:w="19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D2F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9902001810556942</w:t>
            </w:r>
          </w:p>
        </w:tc>
      </w:tr>
    </w:tbl>
    <w:p w14:paraId="7ABF1C85">
      <w:pPr>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1.2各投标人在银行转账（电汇）时，须充分考虑银行转账（电汇）的时间差风险，如同城转账、异地转账或汇款、跨行转账或电汇的时间要求。</w:t>
      </w:r>
    </w:p>
    <w:p w14:paraId="26580C85">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重庆市公共资源交易中心咨询电话：023-63625633</w:t>
      </w:r>
    </w:p>
    <w:p w14:paraId="641B2157">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104" w:name="_Toc29744"/>
      <w:bookmarkStart w:id="105" w:name="_Toc24588"/>
      <w:bookmarkStart w:id="106" w:name="_Toc75793501"/>
      <w:bookmarkStart w:id="107" w:name="_Toc8081"/>
      <w:bookmarkStart w:id="108" w:name="_Toc441"/>
      <w:bookmarkStart w:id="109" w:name="_Toc21524"/>
      <w:bookmarkStart w:id="110" w:name="_Toc28799"/>
      <w:bookmarkStart w:id="111" w:name="_Toc9257"/>
      <w:bookmarkStart w:id="112" w:name="_Toc32551"/>
      <w:bookmarkStart w:id="113" w:name="_Toc29945"/>
      <w:bookmarkStart w:id="114" w:name="_Toc12760"/>
      <w:bookmarkStart w:id="115" w:name="_Toc24689"/>
      <w:bookmarkStart w:id="116" w:name="_Toc204345203"/>
      <w:bookmarkStart w:id="117" w:name="_Toc3188"/>
      <w:bookmarkStart w:id="118" w:name="_Toc5839"/>
      <w:bookmarkStart w:id="119" w:name="_Toc16198"/>
      <w:bookmarkStart w:id="120" w:name="_Toc18802"/>
      <w:r>
        <w:rPr>
          <w:rFonts w:hint="eastAsia" w:cs="方正仿宋_GBK" w:asciiTheme="minorEastAsia" w:hAnsiTheme="minorEastAsia" w:eastAsiaTheme="minorEastAsia"/>
          <w:b/>
          <w:color w:val="auto"/>
          <w:sz w:val="24"/>
          <w:highlight w:val="none"/>
        </w:rPr>
        <w:t>六、采购项目需落实的政府采购政策</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398AB889">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43FFC81B">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（二）按照财政部、工业和信息化部关于印发《政府采购促进中小企业发展管理办法》的通知（财库〔2020〕46号）的规定，落实促进中小企业发展政策。</w:t>
      </w:r>
    </w:p>
    <w:p w14:paraId="5F246D43">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（三）按照《财政部、司法部关于政府采购支持监狱企业发展有关问题的通知》（财库〔2014〕68号）的规定，落实支持监狱企业发展政策。</w:t>
      </w:r>
    </w:p>
    <w:p w14:paraId="33EC1B26">
      <w:pPr>
        <w:snapToGrid w:val="0"/>
        <w:spacing w:line="400" w:lineRule="exact"/>
        <w:ind w:firstLine="480" w:firstLineChars="200"/>
        <w:rPr>
          <w:rFonts w:hint="eastAsia" w:cs="方正仿宋_GBK" w:asciiTheme="minorEastAsia" w:hAnsiTheme="minorEastAsia" w:eastAsiaTheme="minorEastAsia"/>
          <w:color w:val="auto"/>
          <w:sz w:val="24"/>
          <w:szCs w:val="24"/>
          <w:highlight w:val="none"/>
          <w:lang w:eastAsia="zh-CN"/>
        </w:rPr>
      </w:pPr>
      <w:r>
        <w:rPr>
          <w:rFonts w:hint="eastAsia" w:cs="方正仿宋_GBK" w:asciiTheme="minorEastAsia" w:hAnsiTheme="minorEastAsia" w:eastAsiaTheme="minorEastAsia"/>
          <w:color w:val="auto"/>
          <w:sz w:val="24"/>
          <w:szCs w:val="24"/>
          <w:highlight w:val="none"/>
        </w:rPr>
        <w:t>（四）按照《三部门联合发布关于促进残疾人就业政府采购政策的通知》（财库〔2017〕 141号）的规定，落实支持残疾人福利性单位发展政策</w:t>
      </w:r>
      <w:r>
        <w:rPr>
          <w:rFonts w:hint="eastAsia" w:cs="方正仿宋_GBK" w:asciiTheme="minorEastAsia" w:hAnsiTheme="minorEastAsia" w:eastAsiaTheme="minorEastAsia"/>
          <w:color w:val="auto"/>
          <w:sz w:val="24"/>
          <w:szCs w:val="24"/>
          <w:highlight w:val="none"/>
          <w:lang w:eastAsia="zh-CN"/>
        </w:rPr>
        <w:t>。</w:t>
      </w:r>
    </w:p>
    <w:p w14:paraId="73655BFA">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ascii="宋体" w:hAnsi="宋体" w:cs="方正仿宋_GBK"/>
          <w:color w:val="auto"/>
          <w:sz w:val="24"/>
          <w:szCs w:val="24"/>
          <w:highlight w:val="none"/>
        </w:rPr>
        <w:t>（五）按照《国务院办公厅关于在政府采购中实施本国产品标准及相关政策的通知》（国办发〔2025〕34号）的规定，落实《财政部 工业信息化部关于贯彻落实〈国务院办公厅关于在政府采购中实施本国产品标准及相关政策的通知〉的意见》（财库〔2025〕30号）</w:t>
      </w:r>
      <w:r>
        <w:rPr>
          <w:rFonts w:hint="eastAsia" w:cs="方正仿宋_GBK" w:asciiTheme="minorEastAsia" w:hAnsiTheme="minorEastAsia" w:eastAsiaTheme="minorEastAsia"/>
          <w:color w:val="auto"/>
          <w:sz w:val="24"/>
          <w:szCs w:val="24"/>
          <w:highlight w:val="none"/>
        </w:rPr>
        <w:t>。</w:t>
      </w:r>
    </w:p>
    <w:p w14:paraId="69E78409">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121" w:name="_Toc75793502"/>
      <w:bookmarkStart w:id="122" w:name="_Toc1373"/>
      <w:bookmarkStart w:id="123" w:name="_Toc13146"/>
      <w:bookmarkStart w:id="124" w:name="_Toc10747"/>
      <w:bookmarkStart w:id="125" w:name="_Toc4869"/>
      <w:bookmarkStart w:id="126" w:name="_Toc16322"/>
      <w:bookmarkStart w:id="127" w:name="_Toc13460"/>
      <w:bookmarkStart w:id="128" w:name="_Toc1050"/>
      <w:bookmarkStart w:id="129" w:name="_Toc22428"/>
      <w:bookmarkStart w:id="130" w:name="_Toc19755"/>
      <w:bookmarkStart w:id="131" w:name="_Toc29169"/>
      <w:bookmarkStart w:id="132" w:name="_Toc9931"/>
      <w:bookmarkStart w:id="133" w:name="_Toc204345204"/>
      <w:bookmarkStart w:id="134" w:name="_Toc21799"/>
      <w:bookmarkStart w:id="135" w:name="_Toc30916"/>
      <w:bookmarkStart w:id="136" w:name="_Toc18921"/>
      <w:bookmarkStart w:id="137" w:name="_Toc3810"/>
      <w:r>
        <w:rPr>
          <w:rFonts w:hint="eastAsia" w:cs="方正仿宋_GBK" w:asciiTheme="minorEastAsia" w:hAnsiTheme="minorEastAsia" w:eastAsiaTheme="minorEastAsia"/>
          <w:b/>
          <w:color w:val="auto"/>
          <w:sz w:val="24"/>
          <w:highlight w:val="none"/>
        </w:rPr>
        <w:t>七、投标有关规定</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14CE151F">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（一）单位负责人为同一人或者存在直接控股、管理关系的不同投标人，不得参加同一合同项（包）下的政府采购活动。</w:t>
      </w:r>
    </w:p>
    <w:p w14:paraId="0AA56AF0">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（二）为采购项目提供整体设计、规范编制或者项目管理、监理、检测等服务的投标人，不得再参加该采购项目的其他采购活动。</w:t>
      </w:r>
    </w:p>
    <w:p w14:paraId="2DAF9381">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三）本项目若有澄清文件一律在重庆市政府采购网或“重庆工商大学招投标信息网”上发布，请各投标人注意下载或到采购代理机构领取；无论投标人下载或领取与否，均视同投标人已知晓本项目澄清文件的内容。</w:t>
      </w:r>
    </w:p>
    <w:p w14:paraId="722A5632">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（四）超过投标截止时间递交的投标文件，恕不接收。</w:t>
      </w:r>
    </w:p>
    <w:p w14:paraId="1AEC47B5">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（五）投标费用：无论投标结果如何，投标人参与本项目投标的所有费用均应由投标人自行承担。</w:t>
      </w:r>
    </w:p>
    <w:p w14:paraId="5863E6BD">
      <w:pPr>
        <w:snapToGrid w:val="0"/>
        <w:spacing w:line="400" w:lineRule="exact"/>
        <w:ind w:firstLine="482" w:firstLineChars="200"/>
        <w:rPr>
          <w:rFonts w:cs="方正仿宋_GBK" w:asciiTheme="minorEastAsia" w:hAnsiTheme="minorEastAsia" w:eastAsiaTheme="minorEastAsia"/>
          <w:b/>
          <w:bCs/>
          <w:color w:val="auto"/>
          <w:sz w:val="24"/>
          <w:szCs w:val="24"/>
          <w:highlight w:val="none"/>
        </w:rPr>
      </w:pPr>
      <w:r>
        <w:rPr>
          <w:rFonts w:hint="eastAsia" w:cs="方正仿宋_GBK" w:asciiTheme="minorEastAsia" w:hAnsiTheme="minorEastAsia" w:eastAsiaTheme="minorEastAsia"/>
          <w:b/>
          <w:bCs/>
          <w:color w:val="auto"/>
          <w:sz w:val="24"/>
          <w:szCs w:val="24"/>
          <w:highlight w:val="none"/>
        </w:rPr>
        <w:t>（六）本项目不接受联合体参与投标。</w:t>
      </w:r>
    </w:p>
    <w:p w14:paraId="2DD25835">
      <w:pPr>
        <w:snapToGrid w:val="0"/>
        <w:spacing w:line="400" w:lineRule="exact"/>
        <w:ind w:firstLine="482" w:firstLineChars="200"/>
        <w:rPr>
          <w:rFonts w:cs="方正仿宋_GBK" w:asciiTheme="minorEastAsia" w:hAnsiTheme="minorEastAsia" w:eastAsiaTheme="minorEastAsia"/>
          <w:b/>
          <w:bCs/>
          <w:color w:val="auto"/>
          <w:sz w:val="24"/>
          <w:szCs w:val="24"/>
          <w:highlight w:val="none"/>
        </w:rPr>
      </w:pPr>
      <w:r>
        <w:rPr>
          <w:rFonts w:hint="eastAsia" w:cs="方正仿宋_GBK" w:asciiTheme="minorEastAsia" w:hAnsiTheme="minorEastAsia" w:eastAsiaTheme="minorEastAsia"/>
          <w:b/>
          <w:bCs/>
          <w:color w:val="auto"/>
          <w:sz w:val="24"/>
          <w:szCs w:val="24"/>
          <w:highlight w:val="none"/>
        </w:rPr>
        <w:t>（七）本项目不接受除落实政府采购政策分包以外的其他分包。</w:t>
      </w:r>
    </w:p>
    <w:p w14:paraId="51FA5E8C">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（八）</w:t>
      </w:r>
      <w:bookmarkStart w:id="138" w:name="OLE_LINK2"/>
      <w:bookmarkStart w:id="139" w:name="OLE_LINK1"/>
      <w:r>
        <w:rPr>
          <w:rFonts w:hint="eastAsia" w:cs="方正仿宋_GBK" w:asciiTheme="minorEastAsia" w:hAnsiTheme="minorEastAsia" w:eastAsiaTheme="minorEastAsia"/>
          <w:color w:val="auto"/>
          <w:sz w:val="24"/>
          <w:szCs w:val="24"/>
          <w:highlight w:val="none"/>
        </w:rPr>
        <w:t>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w:t>
      </w:r>
      <w:bookmarkEnd w:id="138"/>
      <w:bookmarkEnd w:id="139"/>
      <w:r>
        <w:rPr>
          <w:rFonts w:hint="eastAsia" w:cs="方正仿宋_GBK" w:asciiTheme="minorEastAsia" w:hAnsiTheme="minorEastAsia" w:eastAsiaTheme="minorEastAsia"/>
          <w:color w:val="auto"/>
          <w:sz w:val="24"/>
          <w:szCs w:val="24"/>
          <w:highlight w:val="none"/>
        </w:rPr>
        <w:t>投标人，将拒绝其参与政府采购活动。</w:t>
      </w:r>
    </w:p>
    <w:p w14:paraId="0A3BE1CA">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140" w:name="_Toc19676"/>
      <w:bookmarkStart w:id="141" w:name="_Toc13885"/>
      <w:bookmarkStart w:id="142" w:name="_Toc29351"/>
      <w:bookmarkStart w:id="143" w:name="_Toc30488"/>
      <w:bookmarkStart w:id="144" w:name="_Toc12717"/>
      <w:bookmarkStart w:id="145" w:name="_Toc26782"/>
      <w:bookmarkStart w:id="146" w:name="_Toc9632"/>
      <w:bookmarkStart w:id="147" w:name="_Toc67"/>
      <w:bookmarkStart w:id="148" w:name="_Toc15522"/>
      <w:bookmarkStart w:id="149" w:name="_Toc24181"/>
      <w:bookmarkStart w:id="150" w:name="_Toc11494"/>
      <w:bookmarkStart w:id="151" w:name="_Toc20452"/>
      <w:bookmarkStart w:id="152" w:name="_Toc5228"/>
      <w:bookmarkStart w:id="153" w:name="_Toc7808"/>
      <w:bookmarkStart w:id="154" w:name="_Toc204345205"/>
      <w:bookmarkStart w:id="155" w:name="_Toc28772"/>
      <w:bookmarkStart w:id="156" w:name="_Toc75793503"/>
      <w:r>
        <w:rPr>
          <w:rFonts w:hint="eastAsia" w:cs="方正仿宋_GBK" w:asciiTheme="minorEastAsia" w:hAnsiTheme="minorEastAsia" w:eastAsiaTheme="minorEastAsia"/>
          <w:b/>
          <w:color w:val="auto"/>
          <w:sz w:val="24"/>
          <w:highlight w:val="none"/>
        </w:rPr>
        <w:t>八、联系方式</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7ACF343A">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（一）采购人：重庆工商大学</w:t>
      </w:r>
    </w:p>
    <w:p w14:paraId="5FA9EE41">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联系人：阎老师</w:t>
      </w:r>
    </w:p>
    <w:p w14:paraId="45D47CE6">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电</w:t>
      </w:r>
      <w:r>
        <w:rPr>
          <w:rFonts w:cs="方正仿宋_GBK" w:asciiTheme="minorEastAsia" w:hAnsiTheme="minorEastAsia" w:eastAsiaTheme="minorEastAsia"/>
          <w:color w:val="auto"/>
          <w:sz w:val="24"/>
          <w:szCs w:val="24"/>
          <w:highlight w:val="none"/>
        </w:rPr>
        <w:t xml:space="preserve">  </w:t>
      </w:r>
      <w:r>
        <w:rPr>
          <w:rFonts w:hint="eastAsia" w:cs="方正仿宋_GBK" w:asciiTheme="minorEastAsia" w:hAnsiTheme="minorEastAsia" w:eastAsiaTheme="minorEastAsia"/>
          <w:color w:val="auto"/>
          <w:sz w:val="24"/>
          <w:szCs w:val="24"/>
          <w:highlight w:val="none"/>
        </w:rPr>
        <w:t>话：</w:t>
      </w:r>
      <w:r>
        <w:rPr>
          <w:rFonts w:cs="方正仿宋_GBK" w:asciiTheme="minorEastAsia" w:hAnsiTheme="minorEastAsia" w:eastAsiaTheme="minorEastAsia"/>
          <w:color w:val="auto"/>
          <w:sz w:val="24"/>
          <w:szCs w:val="24"/>
          <w:highlight w:val="none"/>
        </w:rPr>
        <w:t>023-62769774</w:t>
      </w:r>
    </w:p>
    <w:p w14:paraId="1AD3D464">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地  址：重庆市南岸区学府大道19号</w:t>
      </w:r>
    </w:p>
    <w:p w14:paraId="76B81202">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（二）采购代理机构：垚鑫工程项目管理有限公司</w:t>
      </w:r>
    </w:p>
    <w:p w14:paraId="0E97D25D">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联系人：彭老师</w:t>
      </w:r>
    </w:p>
    <w:p w14:paraId="716DE22B">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电话：</w:t>
      </w:r>
      <w:r>
        <w:rPr>
          <w:rFonts w:cs="方正仿宋_GBK" w:asciiTheme="minorEastAsia" w:hAnsiTheme="minorEastAsia" w:eastAsiaTheme="minorEastAsia"/>
          <w:color w:val="auto"/>
          <w:sz w:val="24"/>
          <w:szCs w:val="24"/>
          <w:highlight w:val="none"/>
        </w:rPr>
        <w:t>023-60368871</w:t>
      </w:r>
    </w:p>
    <w:p w14:paraId="1F8A8827">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地址：重庆市北部新区金开大道</w:t>
      </w:r>
      <w:r>
        <w:rPr>
          <w:rFonts w:cs="方正仿宋_GBK" w:asciiTheme="minorEastAsia" w:hAnsiTheme="minorEastAsia" w:eastAsiaTheme="minorEastAsia"/>
          <w:color w:val="auto"/>
          <w:sz w:val="24"/>
          <w:szCs w:val="24"/>
          <w:highlight w:val="none"/>
        </w:rPr>
        <w:t>1228号3幢9楼</w:t>
      </w:r>
    </w:p>
    <w:p w14:paraId="7DAA81C5">
      <w:pPr>
        <w:numPr>
          <w:ilvl w:val="0"/>
          <w:numId w:val="1"/>
        </w:num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技术咨询</w:t>
      </w:r>
    </w:p>
    <w:p w14:paraId="1BCB5A54">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联系人：崔老师</w:t>
      </w:r>
    </w:p>
    <w:p w14:paraId="66C4C072">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电</w:t>
      </w:r>
      <w:r>
        <w:rPr>
          <w:rFonts w:cs="方正仿宋_GBK" w:asciiTheme="minorEastAsia" w:hAnsiTheme="minorEastAsia" w:eastAsiaTheme="minorEastAsia"/>
          <w:color w:val="auto"/>
          <w:sz w:val="24"/>
          <w:szCs w:val="24"/>
          <w:highlight w:val="none"/>
        </w:rPr>
        <w:t xml:space="preserve">  </w:t>
      </w:r>
      <w:r>
        <w:rPr>
          <w:rFonts w:hint="eastAsia" w:cs="方正仿宋_GBK" w:asciiTheme="minorEastAsia" w:hAnsiTheme="minorEastAsia" w:eastAsiaTheme="minorEastAsia"/>
          <w:color w:val="auto"/>
          <w:sz w:val="24"/>
          <w:szCs w:val="24"/>
          <w:highlight w:val="none"/>
        </w:rPr>
        <w:t>话：18426415588</w:t>
      </w:r>
    </w:p>
    <w:p w14:paraId="243B4C2A">
      <w:pPr>
        <w:numPr>
          <w:ilvl w:val="255"/>
          <w:numId w:val="0"/>
        </w:num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地  址：重庆市南岸区学府大道19号</w:t>
      </w:r>
    </w:p>
    <w:p w14:paraId="296BC6F7">
      <w:pPr>
        <w:rPr>
          <w:rFonts w:cs="方正仿宋_GBK" w:asciiTheme="minorEastAsia" w:hAnsiTheme="minorEastAsia" w:eastAsiaTheme="minorEastAsia"/>
          <w:b/>
          <w:color w:val="auto"/>
          <w:highlight w:val="none"/>
        </w:rPr>
      </w:pPr>
      <w:r>
        <w:rPr>
          <w:rFonts w:ascii="宋体" w:hAnsi="宋体" w:cs="宋体"/>
          <w:color w:val="auto"/>
          <w:sz w:val="24"/>
          <w:szCs w:val="24"/>
          <w:highlight w:val="none"/>
        </w:rPr>
        <w:br w:type="textWrapping"/>
      </w:r>
      <w:bookmarkStart w:id="157" w:name="_Toc23143"/>
      <w:bookmarkStart w:id="158" w:name="_Toc32686"/>
      <w:bookmarkStart w:id="159" w:name="_Toc11017"/>
      <w:bookmarkStart w:id="160" w:name="_Toc25639"/>
      <w:bookmarkStart w:id="161" w:name="_Toc1625"/>
      <w:bookmarkStart w:id="162" w:name="_Toc2070"/>
      <w:bookmarkStart w:id="163" w:name="_Toc8649"/>
      <w:bookmarkStart w:id="164" w:name="_Toc12959"/>
      <w:bookmarkStart w:id="165" w:name="_Toc725"/>
      <w:bookmarkStart w:id="166" w:name="_Toc75793504"/>
      <w:bookmarkStart w:id="167" w:name="_Toc26176"/>
      <w:bookmarkStart w:id="168" w:name="_Toc5461"/>
      <w:bookmarkStart w:id="169" w:name="_Toc2422"/>
      <w:bookmarkStart w:id="170" w:name="_Toc1492"/>
      <w:bookmarkStart w:id="171" w:name="_Toc19886"/>
      <w:bookmarkStart w:id="172" w:name="_Toc204345206"/>
    </w:p>
    <w:p w14:paraId="20F90ADB">
      <w:pPr>
        <w:pStyle w:val="2"/>
        <w:spacing w:before="0" w:beforeLines="0" w:after="0" w:afterLines="0" w:line="360" w:lineRule="auto"/>
        <w:rPr>
          <w:rFonts w:cs="方正仿宋_GBK" w:asciiTheme="minorEastAsia" w:hAnsiTheme="minorEastAsia" w:eastAsiaTheme="minorEastAsia"/>
          <w:b/>
          <w:color w:val="auto"/>
          <w:highlight w:val="none"/>
        </w:rPr>
      </w:pPr>
      <w:bookmarkStart w:id="173" w:name="_Toc15360"/>
      <w:r>
        <w:rPr>
          <w:rFonts w:hint="eastAsia" w:cs="方正仿宋_GBK" w:asciiTheme="minorEastAsia" w:hAnsiTheme="minorEastAsia" w:eastAsiaTheme="minorEastAsia"/>
          <w:b/>
          <w:color w:val="auto"/>
          <w:highlight w:val="none"/>
        </w:rPr>
        <w:t xml:space="preserve">第二篇 </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Pr>
          <w:rFonts w:hint="eastAsia" w:cs="方正仿宋_GBK" w:asciiTheme="minorEastAsia" w:hAnsiTheme="minorEastAsia" w:eastAsiaTheme="minorEastAsia"/>
          <w:b/>
          <w:color w:val="auto"/>
          <w:highlight w:val="none"/>
        </w:rPr>
        <w:t>项目技术（质量）需求</w:t>
      </w:r>
      <w:bookmarkEnd w:id="172"/>
      <w:bookmarkEnd w:id="173"/>
    </w:p>
    <w:p w14:paraId="4BA6D2EE">
      <w:pPr>
        <w:spacing w:line="400" w:lineRule="exact"/>
        <w:ind w:firstLine="482" w:firstLineChars="200"/>
        <w:outlineLvl w:val="2"/>
        <w:rPr>
          <w:rFonts w:cs="方正仿宋_GBK" w:asciiTheme="minorEastAsia" w:hAnsiTheme="minorEastAsia" w:eastAsiaTheme="minorEastAsia"/>
          <w:b/>
          <w:color w:val="auto"/>
          <w:sz w:val="24"/>
          <w:szCs w:val="24"/>
          <w:highlight w:val="none"/>
        </w:rPr>
      </w:pPr>
      <w:bookmarkStart w:id="174" w:name="_Toc23656"/>
      <w:bookmarkStart w:id="175" w:name="_Toc11703"/>
      <w:bookmarkStart w:id="176" w:name="_Toc9261"/>
      <w:bookmarkStart w:id="177" w:name="_Toc8370"/>
      <w:bookmarkStart w:id="178" w:name="_Toc29985"/>
      <w:bookmarkStart w:id="179" w:name="_Toc23504"/>
      <w:bookmarkStart w:id="180" w:name="_Toc688"/>
      <w:bookmarkStart w:id="181" w:name="_Toc4913"/>
      <w:bookmarkStart w:id="182" w:name="_Toc4531"/>
      <w:bookmarkStart w:id="183" w:name="_Toc20979"/>
      <w:bookmarkStart w:id="184" w:name="_Toc7027"/>
      <w:bookmarkStart w:id="185" w:name="_Toc4519"/>
      <w:bookmarkStart w:id="186" w:name="_Toc75793505"/>
      <w:bookmarkStart w:id="187" w:name="_Toc19238"/>
      <w:bookmarkStart w:id="188" w:name="_Toc22910"/>
      <w:r>
        <w:rPr>
          <w:rFonts w:hint="eastAsia" w:cs="方正仿宋_GBK" w:asciiTheme="minorEastAsia" w:hAnsiTheme="minorEastAsia" w:eastAsiaTheme="minorEastAsia"/>
          <w:b/>
          <w:color w:val="auto"/>
          <w:sz w:val="24"/>
          <w:szCs w:val="24"/>
          <w:highlight w:val="none"/>
        </w:rPr>
        <w:t>“</w:t>
      </w:r>
      <w:r>
        <w:rPr>
          <w:rFonts w:hint="eastAsia" w:asciiTheme="minorEastAsia" w:hAnsiTheme="minorEastAsia" w:eastAsiaTheme="minorEastAsia" w:cstheme="minorEastAsia"/>
          <w:color w:val="auto"/>
          <w:spacing w:val="-4"/>
          <w:sz w:val="24"/>
          <w:szCs w:val="24"/>
          <w:highlight w:val="none"/>
        </w:rPr>
        <w:t>〇</w:t>
      </w:r>
      <w:r>
        <w:rPr>
          <w:rFonts w:hint="eastAsia" w:cs="方正仿宋_GBK" w:asciiTheme="minorEastAsia" w:hAnsiTheme="minorEastAsia" w:eastAsiaTheme="minorEastAsia"/>
          <w:b/>
          <w:color w:val="auto"/>
          <w:sz w:val="24"/>
          <w:szCs w:val="24"/>
          <w:highlight w:val="none"/>
        </w:rPr>
        <w:t>”标注的技术需求为一般技术需求，若不满足将按照评标因素中相关规定处理。</w:t>
      </w:r>
    </w:p>
    <w:p w14:paraId="59F6D019">
      <w:pPr>
        <w:spacing w:line="400" w:lineRule="exact"/>
        <w:ind w:firstLine="482" w:firstLineChars="200"/>
        <w:outlineLvl w:val="2"/>
        <w:rPr>
          <w:rFonts w:cs="方正仿宋_GBK" w:asciiTheme="minorEastAsia" w:hAnsiTheme="minorEastAsia" w:eastAsiaTheme="minorEastAsia"/>
          <w:b/>
          <w:color w:val="auto"/>
          <w:sz w:val="24"/>
          <w:szCs w:val="24"/>
          <w:highlight w:val="none"/>
        </w:rPr>
      </w:pPr>
      <w:r>
        <w:rPr>
          <w:rFonts w:hint="eastAsia" w:cs="方正仿宋_GBK" w:asciiTheme="minorEastAsia" w:hAnsiTheme="minorEastAsia" w:eastAsiaTheme="minorEastAsia"/>
          <w:b/>
          <w:color w:val="auto"/>
          <w:sz w:val="24"/>
          <w:szCs w:val="24"/>
          <w:highlight w:val="none"/>
        </w:rPr>
        <w:t>“▲”标注的技术需求为重要技术需求，若不满足将按照评标因素中相关规定处理。</w:t>
      </w:r>
    </w:p>
    <w:p w14:paraId="0240CEC2">
      <w:pPr>
        <w:spacing w:line="400" w:lineRule="exact"/>
        <w:ind w:firstLine="482" w:firstLineChars="200"/>
        <w:outlineLvl w:val="2"/>
        <w:rPr>
          <w:rFonts w:cs="方正仿宋_GBK" w:asciiTheme="minorEastAsia" w:hAnsiTheme="minorEastAsia" w:eastAsiaTheme="minorEastAsia"/>
          <w:b/>
          <w:color w:val="auto"/>
          <w:sz w:val="24"/>
          <w:szCs w:val="28"/>
          <w:highlight w:val="none"/>
        </w:rPr>
      </w:pPr>
      <w:r>
        <w:rPr>
          <w:rFonts w:hint="eastAsia" w:cs="方正仿宋_GBK" w:asciiTheme="minorEastAsia" w:hAnsiTheme="minorEastAsia" w:eastAsiaTheme="minorEastAsia"/>
          <w:b/>
          <w:color w:val="auto"/>
          <w:sz w:val="24"/>
          <w:szCs w:val="24"/>
          <w:highlight w:val="none"/>
        </w:rPr>
        <w:t>“※”标注的技术需求为符合性审查中的实质性要求，若不满足按无效投标处理</w:t>
      </w:r>
      <w:r>
        <w:rPr>
          <w:rFonts w:hint="eastAsia" w:cs="方正仿宋_GBK" w:asciiTheme="minorEastAsia" w:hAnsiTheme="minorEastAsia" w:eastAsiaTheme="minorEastAsia"/>
          <w:b/>
          <w:color w:val="auto"/>
          <w:sz w:val="24"/>
          <w:szCs w:val="28"/>
          <w:highlight w:val="none"/>
        </w:rPr>
        <w:t>。</w:t>
      </w:r>
    </w:p>
    <w:p w14:paraId="668D5D97">
      <w:pPr>
        <w:pStyle w:val="3"/>
        <w:spacing w:line="400" w:lineRule="exact"/>
        <w:ind w:firstLine="482" w:firstLineChars="200"/>
        <w:jc w:val="left"/>
        <w:rPr>
          <w:b/>
          <w:color w:val="auto"/>
          <w:sz w:val="24"/>
          <w:szCs w:val="24"/>
          <w:highlight w:val="none"/>
        </w:rPr>
      </w:pPr>
      <w:bookmarkStart w:id="189" w:name="_Toc9241"/>
      <w:bookmarkStart w:id="190" w:name="_Toc204345207"/>
      <w:r>
        <w:rPr>
          <w:rFonts w:hint="eastAsia" w:cs="方正仿宋_GBK"/>
          <w:b/>
          <w:color w:val="auto"/>
          <w:kern w:val="0"/>
          <w:sz w:val="24"/>
          <w:szCs w:val="24"/>
          <w:highlight w:val="none"/>
        </w:rPr>
        <w:t>※</w:t>
      </w:r>
      <w:r>
        <w:rPr>
          <w:rFonts w:hint="eastAsia"/>
          <w:b/>
          <w:color w:val="auto"/>
          <w:sz w:val="24"/>
          <w:highlight w:val="none"/>
        </w:rPr>
        <w:t>一、</w:t>
      </w:r>
      <w:r>
        <w:rPr>
          <w:rFonts w:hint="eastAsia"/>
          <w:b/>
          <w:color w:val="auto"/>
          <w:sz w:val="24"/>
          <w:szCs w:val="24"/>
          <w:highlight w:val="none"/>
        </w:rPr>
        <w:t>招标项目一览表</w:t>
      </w:r>
      <w:bookmarkEnd w:id="189"/>
      <w:r>
        <w:rPr>
          <w:b/>
          <w:color w:val="auto"/>
          <w:sz w:val="24"/>
          <w:szCs w:val="24"/>
          <w:highlight w:val="none"/>
        </w:rPr>
        <w:t xml:space="preserve"> </w:t>
      </w:r>
    </w:p>
    <w:p w14:paraId="38BC51EC">
      <w:pPr>
        <w:spacing w:before="120" w:beforeLines="50" w:after="120" w:afterLines="50"/>
        <w:ind w:firstLine="482" w:firstLineChars="200"/>
        <w:jc w:val="left"/>
        <w:rPr>
          <w:rFonts w:ascii="宋体" w:hAnsi="宋体" w:cs="宋体"/>
          <w:color w:val="auto"/>
          <w:kern w:val="0"/>
          <w:sz w:val="24"/>
          <w:szCs w:val="24"/>
          <w:highlight w:val="none"/>
        </w:rPr>
      </w:pPr>
      <w:r>
        <w:rPr>
          <w:rFonts w:hint="eastAsia" w:ascii="宋体" w:hAnsi="宋体" w:cs="宋体"/>
          <w:b/>
          <w:bCs/>
          <w:color w:val="auto"/>
          <w:kern w:val="0"/>
          <w:sz w:val="24"/>
          <w:szCs w:val="24"/>
          <w:highlight w:val="none"/>
        </w:rPr>
        <w:t>包1：样品制备与品质分析系统</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2650"/>
        <w:gridCol w:w="1023"/>
        <w:gridCol w:w="1488"/>
        <w:gridCol w:w="1492"/>
        <w:gridCol w:w="1779"/>
      </w:tblGrid>
      <w:tr w14:paraId="3E5A5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77" w:type="dxa"/>
            <w:vAlign w:val="center"/>
          </w:tcPr>
          <w:p w14:paraId="2B9F9EE1">
            <w:pPr>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序号</w:t>
            </w:r>
          </w:p>
        </w:tc>
        <w:tc>
          <w:tcPr>
            <w:tcW w:w="2650" w:type="dxa"/>
            <w:vAlign w:val="center"/>
          </w:tcPr>
          <w:p w14:paraId="259EF6E8">
            <w:pPr>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仪器或设备名称</w:t>
            </w:r>
          </w:p>
        </w:tc>
        <w:tc>
          <w:tcPr>
            <w:tcW w:w="1023" w:type="dxa"/>
            <w:vAlign w:val="center"/>
          </w:tcPr>
          <w:p w14:paraId="0E03204C">
            <w:pPr>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数量</w:t>
            </w:r>
          </w:p>
          <w:p w14:paraId="5E72DB9A">
            <w:pPr>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（台）</w:t>
            </w:r>
          </w:p>
        </w:tc>
        <w:tc>
          <w:tcPr>
            <w:tcW w:w="1488" w:type="dxa"/>
            <w:tcBorders>
              <w:bottom w:val="single" w:color="auto" w:sz="4" w:space="0"/>
            </w:tcBorders>
            <w:vAlign w:val="center"/>
          </w:tcPr>
          <w:p w14:paraId="668FA2E2">
            <w:pPr>
              <w:jc w:val="center"/>
              <w:rPr>
                <w:rFonts w:ascii="宋体" w:hAnsi="宋体"/>
                <w:b/>
                <w:color w:val="auto"/>
                <w:sz w:val="24"/>
                <w:szCs w:val="24"/>
                <w:highlight w:val="none"/>
              </w:rPr>
            </w:pPr>
            <w:r>
              <w:rPr>
                <w:rFonts w:hint="eastAsia" w:ascii="宋体" w:hAnsi="宋体"/>
                <w:b/>
                <w:color w:val="auto"/>
                <w:sz w:val="24"/>
                <w:szCs w:val="24"/>
                <w:highlight w:val="none"/>
              </w:rPr>
              <w:t>单价</w:t>
            </w:r>
          </w:p>
          <w:p w14:paraId="31E13C7B">
            <w:pPr>
              <w:jc w:val="center"/>
              <w:rPr>
                <w:rFonts w:ascii="宋体" w:hAnsi="宋体"/>
                <w:b/>
                <w:color w:val="auto"/>
                <w:sz w:val="24"/>
                <w:szCs w:val="24"/>
                <w:highlight w:val="none"/>
              </w:rPr>
            </w:pPr>
            <w:r>
              <w:rPr>
                <w:rFonts w:hint="eastAsia" w:ascii="宋体" w:hAnsi="宋体"/>
                <w:b/>
                <w:color w:val="auto"/>
                <w:sz w:val="24"/>
                <w:szCs w:val="24"/>
                <w:highlight w:val="none"/>
              </w:rPr>
              <w:t>最高限价</w:t>
            </w:r>
          </w:p>
          <w:p w14:paraId="775F7B0F">
            <w:pPr>
              <w:jc w:val="center"/>
              <w:rPr>
                <w:rFonts w:ascii="宋体" w:hAnsi="宋体" w:cs="宋体"/>
                <w:b/>
                <w:bCs/>
                <w:color w:val="auto"/>
                <w:kern w:val="0"/>
                <w:sz w:val="24"/>
                <w:szCs w:val="24"/>
                <w:highlight w:val="none"/>
              </w:rPr>
            </w:pPr>
            <w:r>
              <w:rPr>
                <w:rFonts w:hint="eastAsia" w:ascii="宋体" w:hAnsi="宋体"/>
                <w:b/>
                <w:color w:val="auto"/>
                <w:sz w:val="24"/>
                <w:szCs w:val="24"/>
                <w:highlight w:val="none"/>
              </w:rPr>
              <w:t>（元）</w:t>
            </w:r>
          </w:p>
        </w:tc>
        <w:tc>
          <w:tcPr>
            <w:tcW w:w="1492" w:type="dxa"/>
            <w:tcBorders>
              <w:bottom w:val="single" w:color="auto" w:sz="4" w:space="0"/>
            </w:tcBorders>
            <w:vAlign w:val="center"/>
          </w:tcPr>
          <w:p w14:paraId="37409319">
            <w:pPr>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合计</w:t>
            </w:r>
          </w:p>
          <w:p w14:paraId="2500DFAB">
            <w:pPr>
              <w:jc w:val="center"/>
              <w:rPr>
                <w:rFonts w:ascii="宋体" w:hAnsi="宋体" w:cs="宋体"/>
                <w:b/>
                <w:bCs/>
                <w:color w:val="auto"/>
                <w:kern w:val="0"/>
                <w:sz w:val="24"/>
                <w:szCs w:val="24"/>
                <w:highlight w:val="none"/>
              </w:rPr>
            </w:pPr>
            <w:r>
              <w:rPr>
                <w:rFonts w:hint="eastAsia" w:ascii="宋体" w:hAnsi="宋体"/>
                <w:b/>
                <w:color w:val="auto"/>
                <w:sz w:val="24"/>
                <w:szCs w:val="24"/>
                <w:highlight w:val="none"/>
              </w:rPr>
              <w:t>（元）</w:t>
            </w:r>
          </w:p>
        </w:tc>
        <w:tc>
          <w:tcPr>
            <w:tcW w:w="1779" w:type="dxa"/>
            <w:vAlign w:val="center"/>
          </w:tcPr>
          <w:p w14:paraId="2D916848">
            <w:pPr>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备注</w:t>
            </w:r>
          </w:p>
        </w:tc>
      </w:tr>
      <w:tr w14:paraId="61AEE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77" w:type="dxa"/>
            <w:vAlign w:val="center"/>
          </w:tcPr>
          <w:p w14:paraId="6FA3F7E8">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2650" w:type="dxa"/>
            <w:vAlign w:val="center"/>
          </w:tcPr>
          <w:p w14:paraId="006A833C">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全自动粉质分析仪</w:t>
            </w:r>
          </w:p>
        </w:tc>
        <w:tc>
          <w:tcPr>
            <w:tcW w:w="1023" w:type="dxa"/>
            <w:vAlign w:val="center"/>
          </w:tcPr>
          <w:p w14:paraId="11394355">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488" w:type="dxa"/>
            <w:vAlign w:val="center"/>
          </w:tcPr>
          <w:p w14:paraId="5CD8BFA3">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640000</w:t>
            </w:r>
          </w:p>
        </w:tc>
        <w:tc>
          <w:tcPr>
            <w:tcW w:w="1492" w:type="dxa"/>
            <w:vAlign w:val="center"/>
          </w:tcPr>
          <w:p w14:paraId="023CB88E">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640000</w:t>
            </w:r>
          </w:p>
        </w:tc>
        <w:tc>
          <w:tcPr>
            <w:tcW w:w="1779" w:type="dxa"/>
            <w:vMerge w:val="restart"/>
          </w:tcPr>
          <w:p w14:paraId="731137C5">
            <w:pPr>
              <w:rPr>
                <w:rFonts w:ascii="宋体" w:hAnsi="宋体" w:cs="宋体"/>
                <w:color w:val="auto"/>
                <w:kern w:val="0"/>
                <w:sz w:val="24"/>
                <w:szCs w:val="24"/>
                <w:highlight w:val="none"/>
              </w:rPr>
            </w:pPr>
            <w:r>
              <w:rPr>
                <w:rFonts w:hint="eastAsia" w:ascii="宋体" w:hAnsi="宋体" w:cs="宋体"/>
                <w:color w:val="auto"/>
                <w:kern w:val="0"/>
                <w:sz w:val="24"/>
                <w:szCs w:val="24"/>
                <w:highlight w:val="none"/>
              </w:rPr>
              <w:t>1.该项目核心产品为饮料分析仪。</w:t>
            </w:r>
          </w:p>
          <w:p w14:paraId="6E80E3C5">
            <w:pPr>
              <w:rPr>
                <w:rFonts w:ascii="宋体" w:hAnsi="宋体" w:cs="宋体"/>
                <w:color w:val="auto"/>
                <w:kern w:val="0"/>
                <w:sz w:val="24"/>
                <w:szCs w:val="24"/>
                <w:highlight w:val="none"/>
              </w:rPr>
            </w:pPr>
            <w:r>
              <w:rPr>
                <w:rFonts w:hint="eastAsia" w:ascii="宋体" w:hAnsi="宋体" w:cs="宋体"/>
                <w:color w:val="auto"/>
                <w:kern w:val="0"/>
                <w:sz w:val="24"/>
                <w:szCs w:val="24"/>
                <w:highlight w:val="none"/>
              </w:rPr>
              <w:t>2.本包不接受进口产品投标，否则按无效投标处理。</w:t>
            </w:r>
          </w:p>
        </w:tc>
      </w:tr>
      <w:tr w14:paraId="42839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77" w:type="dxa"/>
            <w:vAlign w:val="center"/>
          </w:tcPr>
          <w:p w14:paraId="0D136910">
            <w:pPr>
              <w:widowControl/>
              <w:jc w:val="center"/>
              <w:rPr>
                <w:rFonts w:ascii="宋体" w:hAnsi="宋体" w:cs="宋体"/>
                <w:color w:val="auto"/>
                <w:kern w:val="0"/>
                <w:sz w:val="24"/>
                <w:szCs w:val="24"/>
                <w:highlight w:val="none"/>
              </w:rPr>
            </w:pPr>
            <w:bookmarkStart w:id="191" w:name="_Hlk205839244"/>
            <w:r>
              <w:rPr>
                <w:rFonts w:hint="eastAsia" w:ascii="宋体" w:hAnsi="宋体" w:cs="宋体"/>
                <w:color w:val="auto"/>
                <w:kern w:val="0"/>
                <w:sz w:val="24"/>
                <w:szCs w:val="24"/>
                <w:highlight w:val="none"/>
              </w:rPr>
              <w:t>2</w:t>
            </w:r>
          </w:p>
        </w:tc>
        <w:tc>
          <w:tcPr>
            <w:tcW w:w="2650" w:type="dxa"/>
            <w:vAlign w:val="center"/>
          </w:tcPr>
          <w:p w14:paraId="3CB2306D">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饮料分析仪</w:t>
            </w:r>
          </w:p>
        </w:tc>
        <w:tc>
          <w:tcPr>
            <w:tcW w:w="1023" w:type="dxa"/>
            <w:vAlign w:val="center"/>
          </w:tcPr>
          <w:p w14:paraId="1AF8A67C">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488" w:type="dxa"/>
            <w:vAlign w:val="center"/>
          </w:tcPr>
          <w:p w14:paraId="50179134">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650000</w:t>
            </w:r>
          </w:p>
        </w:tc>
        <w:tc>
          <w:tcPr>
            <w:tcW w:w="1492" w:type="dxa"/>
            <w:vAlign w:val="center"/>
          </w:tcPr>
          <w:p w14:paraId="332A4D89">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eastAsia="zh-CN"/>
              </w:rPr>
              <w:t>6</w:t>
            </w:r>
            <w:r>
              <w:rPr>
                <w:rFonts w:hint="eastAsia" w:ascii="宋体" w:hAnsi="宋体" w:cs="宋体"/>
                <w:color w:val="auto"/>
                <w:kern w:val="0"/>
                <w:sz w:val="24"/>
                <w:szCs w:val="24"/>
                <w:highlight w:val="none"/>
                <w:lang w:val="en-US" w:eastAsia="zh-CN"/>
              </w:rPr>
              <w:t>50000</w:t>
            </w:r>
          </w:p>
        </w:tc>
        <w:tc>
          <w:tcPr>
            <w:tcW w:w="1779" w:type="dxa"/>
            <w:vMerge w:val="continue"/>
          </w:tcPr>
          <w:p w14:paraId="78ED4BD8">
            <w:pPr>
              <w:snapToGrid w:val="0"/>
              <w:jc w:val="center"/>
              <w:rPr>
                <w:rFonts w:ascii="宋体" w:hAnsi="宋体" w:cs="宋体"/>
                <w:color w:val="auto"/>
                <w:sz w:val="24"/>
                <w:szCs w:val="24"/>
                <w:highlight w:val="none"/>
              </w:rPr>
            </w:pPr>
          </w:p>
        </w:tc>
      </w:tr>
      <w:tr w14:paraId="3C251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77" w:type="dxa"/>
            <w:vAlign w:val="center"/>
          </w:tcPr>
          <w:p w14:paraId="4E4A60F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2650" w:type="dxa"/>
            <w:vAlign w:val="center"/>
          </w:tcPr>
          <w:p w14:paraId="16770893">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实验室超纯水机</w:t>
            </w:r>
          </w:p>
        </w:tc>
        <w:tc>
          <w:tcPr>
            <w:tcW w:w="1023" w:type="dxa"/>
            <w:vAlign w:val="center"/>
          </w:tcPr>
          <w:p w14:paraId="6F90BA41">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488" w:type="dxa"/>
            <w:vAlign w:val="center"/>
          </w:tcPr>
          <w:p w14:paraId="1E463B10">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500000</w:t>
            </w:r>
          </w:p>
        </w:tc>
        <w:tc>
          <w:tcPr>
            <w:tcW w:w="1492" w:type="dxa"/>
            <w:vAlign w:val="center"/>
          </w:tcPr>
          <w:p w14:paraId="07549A93">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500000</w:t>
            </w:r>
          </w:p>
        </w:tc>
        <w:tc>
          <w:tcPr>
            <w:tcW w:w="1779" w:type="dxa"/>
            <w:vMerge w:val="continue"/>
          </w:tcPr>
          <w:p w14:paraId="53BAB100">
            <w:pPr>
              <w:snapToGrid w:val="0"/>
              <w:jc w:val="center"/>
              <w:rPr>
                <w:rFonts w:ascii="宋体" w:hAnsi="宋体" w:cs="宋体"/>
                <w:color w:val="auto"/>
                <w:sz w:val="24"/>
                <w:szCs w:val="24"/>
                <w:highlight w:val="none"/>
              </w:rPr>
            </w:pPr>
          </w:p>
        </w:tc>
      </w:tr>
      <w:tr w14:paraId="341E8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77" w:type="dxa"/>
            <w:vAlign w:val="center"/>
          </w:tcPr>
          <w:p w14:paraId="77082684">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650" w:type="dxa"/>
            <w:vAlign w:val="center"/>
          </w:tcPr>
          <w:p w14:paraId="0EBA9F26">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超高速冷冻离心系统</w:t>
            </w:r>
          </w:p>
        </w:tc>
        <w:tc>
          <w:tcPr>
            <w:tcW w:w="1023" w:type="dxa"/>
            <w:vAlign w:val="center"/>
          </w:tcPr>
          <w:p w14:paraId="28783EC3">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488" w:type="dxa"/>
            <w:vAlign w:val="center"/>
          </w:tcPr>
          <w:p w14:paraId="280C7D08">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380000</w:t>
            </w:r>
          </w:p>
        </w:tc>
        <w:tc>
          <w:tcPr>
            <w:tcW w:w="1492" w:type="dxa"/>
            <w:vAlign w:val="center"/>
          </w:tcPr>
          <w:p w14:paraId="02256C9C">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380000</w:t>
            </w:r>
          </w:p>
        </w:tc>
        <w:tc>
          <w:tcPr>
            <w:tcW w:w="1779" w:type="dxa"/>
            <w:vMerge w:val="continue"/>
          </w:tcPr>
          <w:p w14:paraId="70C441D5">
            <w:pPr>
              <w:snapToGrid w:val="0"/>
              <w:jc w:val="center"/>
              <w:rPr>
                <w:rFonts w:ascii="宋体" w:hAnsi="宋体" w:cs="宋体"/>
                <w:color w:val="auto"/>
                <w:sz w:val="24"/>
                <w:szCs w:val="24"/>
                <w:highlight w:val="none"/>
              </w:rPr>
            </w:pPr>
          </w:p>
        </w:tc>
      </w:tr>
      <w:tr w14:paraId="60ED1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vAlign w:val="center"/>
          </w:tcPr>
          <w:p w14:paraId="12F49E9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5</w:t>
            </w:r>
          </w:p>
        </w:tc>
        <w:tc>
          <w:tcPr>
            <w:tcW w:w="2650" w:type="dxa"/>
            <w:vAlign w:val="center"/>
          </w:tcPr>
          <w:p w14:paraId="4D751DE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冷冻干燥机</w:t>
            </w:r>
          </w:p>
        </w:tc>
        <w:tc>
          <w:tcPr>
            <w:tcW w:w="1023" w:type="dxa"/>
            <w:vAlign w:val="center"/>
          </w:tcPr>
          <w:p w14:paraId="210954AE">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488" w:type="dxa"/>
            <w:vAlign w:val="center"/>
          </w:tcPr>
          <w:p w14:paraId="7E02534D">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280000</w:t>
            </w:r>
          </w:p>
        </w:tc>
        <w:tc>
          <w:tcPr>
            <w:tcW w:w="1492" w:type="dxa"/>
            <w:vAlign w:val="center"/>
          </w:tcPr>
          <w:p w14:paraId="3A42A4BD">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280000</w:t>
            </w:r>
          </w:p>
        </w:tc>
        <w:tc>
          <w:tcPr>
            <w:tcW w:w="1779" w:type="dxa"/>
            <w:vMerge w:val="continue"/>
          </w:tcPr>
          <w:p w14:paraId="29B6B290">
            <w:pPr>
              <w:snapToGrid w:val="0"/>
              <w:jc w:val="center"/>
              <w:rPr>
                <w:rFonts w:ascii="宋体" w:hAnsi="宋体" w:cs="宋体"/>
                <w:color w:val="auto"/>
                <w:sz w:val="24"/>
                <w:szCs w:val="24"/>
                <w:highlight w:val="none"/>
              </w:rPr>
            </w:pPr>
          </w:p>
        </w:tc>
      </w:tr>
      <w:bookmarkEnd w:id="191"/>
      <w:tr w14:paraId="6D9DA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38" w:type="dxa"/>
            <w:gridSpan w:val="4"/>
            <w:shd w:val="clear" w:color="auto" w:fill="D8D8D8" w:themeFill="background1" w:themeFillShade="D9"/>
            <w:vAlign w:val="center"/>
          </w:tcPr>
          <w:p w14:paraId="02C741B7">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总计</w:t>
            </w:r>
          </w:p>
        </w:tc>
        <w:tc>
          <w:tcPr>
            <w:tcW w:w="1492" w:type="dxa"/>
            <w:shd w:val="clear" w:color="auto" w:fill="D8D8D8" w:themeFill="background1" w:themeFillShade="D9"/>
            <w:vAlign w:val="center"/>
          </w:tcPr>
          <w:p w14:paraId="3130B863">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2450000</w:t>
            </w:r>
          </w:p>
        </w:tc>
        <w:tc>
          <w:tcPr>
            <w:tcW w:w="1779" w:type="dxa"/>
            <w:shd w:val="clear" w:color="auto" w:fill="D8D8D8" w:themeFill="background1" w:themeFillShade="D9"/>
            <w:vAlign w:val="center"/>
          </w:tcPr>
          <w:p w14:paraId="351E7C91">
            <w:pPr>
              <w:widowControl/>
              <w:jc w:val="center"/>
              <w:rPr>
                <w:rFonts w:ascii="宋体" w:hAnsi="宋体" w:cs="宋体"/>
                <w:color w:val="auto"/>
                <w:kern w:val="0"/>
                <w:sz w:val="24"/>
                <w:szCs w:val="24"/>
                <w:highlight w:val="none"/>
              </w:rPr>
            </w:pPr>
          </w:p>
        </w:tc>
      </w:tr>
    </w:tbl>
    <w:p w14:paraId="27527E0A">
      <w:pPr>
        <w:pStyle w:val="3"/>
        <w:numPr>
          <w:ilvl w:val="0"/>
          <w:numId w:val="2"/>
        </w:numPr>
        <w:spacing w:line="400" w:lineRule="exact"/>
        <w:ind w:firstLine="482" w:firstLineChars="200"/>
        <w:rPr>
          <w:b/>
          <w:color w:val="auto"/>
          <w:sz w:val="24"/>
          <w:highlight w:val="none"/>
        </w:rPr>
      </w:pPr>
      <w:bookmarkStart w:id="192" w:name="_Toc22000"/>
      <w:r>
        <w:rPr>
          <w:b/>
          <w:color w:val="auto"/>
          <w:sz w:val="24"/>
          <w:highlight w:val="none"/>
        </w:rPr>
        <w:t>项目功能和质量要求</w:t>
      </w:r>
      <w:bookmarkEnd w:id="192"/>
    </w:p>
    <w:p w14:paraId="25781ACC">
      <w:pPr>
        <w:spacing w:line="400" w:lineRule="exact"/>
        <w:ind w:firstLine="480" w:firstLineChars="200"/>
        <w:rPr>
          <w:bCs/>
          <w:color w:val="auto"/>
          <w:sz w:val="24"/>
          <w:highlight w:val="none"/>
        </w:rPr>
      </w:pPr>
      <w:r>
        <w:rPr>
          <w:bCs/>
          <w:color w:val="auto"/>
          <w:sz w:val="24"/>
          <w:highlight w:val="none"/>
        </w:rPr>
        <w:t>该项目采购的设备主要服务于</w:t>
      </w:r>
      <w:r>
        <w:rPr>
          <w:rFonts w:hint="eastAsia"/>
          <w:bCs/>
          <w:color w:val="auto"/>
          <w:sz w:val="24"/>
          <w:highlight w:val="none"/>
        </w:rPr>
        <w:t>采购人</w:t>
      </w:r>
      <w:r>
        <w:rPr>
          <w:bCs/>
          <w:color w:val="auto"/>
          <w:sz w:val="24"/>
          <w:highlight w:val="none"/>
        </w:rPr>
        <w:t>食品科学与工程学院食品科学与工程、制药工程、食品安全与检测等3个本科专业学生的实验教学，以及食品科学与工程一级学科的食品科学、农产品加工与贮藏工程等2个二级学科硕士点，生物与医药类专业硕士点的研究生实验和实践任务，满足食品科学与工程国家一流专业建设点的建设，以及食品营养与健康专业建设需求，为食品营养与健康专业人才培养、食品行业技能大赛以及社会培训及科普活动举办提供条件保障和办学水平。同时还可开展社会培训及科普活动。</w:t>
      </w:r>
    </w:p>
    <w:p w14:paraId="2397AB5C">
      <w:pPr>
        <w:pStyle w:val="3"/>
        <w:numPr>
          <w:ilvl w:val="0"/>
          <w:numId w:val="2"/>
        </w:numPr>
        <w:spacing w:line="400" w:lineRule="exact"/>
        <w:ind w:firstLine="482" w:firstLineChars="200"/>
        <w:rPr>
          <w:b/>
          <w:color w:val="auto"/>
          <w:sz w:val="24"/>
          <w:highlight w:val="none"/>
        </w:rPr>
      </w:pPr>
      <w:bookmarkStart w:id="193" w:name="_Toc15926"/>
      <w:r>
        <w:rPr>
          <w:rFonts w:hint="eastAsia"/>
          <w:b/>
          <w:color w:val="auto"/>
          <w:sz w:val="24"/>
          <w:highlight w:val="none"/>
        </w:rPr>
        <w:t>项目详细技术指标</w:t>
      </w:r>
      <w:bookmarkEnd w:id="193"/>
    </w:p>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90"/>
    <w:p w14:paraId="76F52FF8">
      <w:pPr>
        <w:rPr>
          <w:rFonts w:ascii="宋体" w:hAnsi="宋体" w:cs="宋体"/>
          <w:b/>
          <w:color w:val="auto"/>
          <w:sz w:val="24"/>
          <w:szCs w:val="24"/>
          <w:highlight w:val="none"/>
        </w:rPr>
      </w:pPr>
      <w:r>
        <w:rPr>
          <w:rFonts w:hint="eastAsia" w:ascii="宋体" w:hAnsi="宋体" w:cs="宋体"/>
          <w:b/>
          <w:color w:val="auto"/>
          <w:sz w:val="24"/>
          <w:szCs w:val="24"/>
          <w:highlight w:val="none"/>
        </w:rPr>
        <w:t>包1 样品制备与品质分析系统</w:t>
      </w:r>
    </w:p>
    <w:tbl>
      <w:tblPr>
        <w:tblStyle w:val="16"/>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804"/>
        <w:gridCol w:w="7751"/>
      </w:tblGrid>
      <w:tr w14:paraId="493EE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vAlign w:val="center"/>
          </w:tcPr>
          <w:p w14:paraId="475C275A">
            <w:pPr>
              <w:snapToGrid w:val="0"/>
              <w:spacing w:line="360" w:lineRule="exact"/>
              <w:jc w:val="center"/>
              <w:rPr>
                <w:rFonts w:ascii="宋体" w:hAnsi="宋体" w:cs="宋体"/>
                <w:b/>
                <w:color w:val="auto"/>
                <w:sz w:val="24"/>
                <w:szCs w:val="24"/>
                <w:highlight w:val="none"/>
              </w:rPr>
            </w:pPr>
            <w:bookmarkStart w:id="194" w:name="_Hlk203087701"/>
            <w:r>
              <w:rPr>
                <w:rFonts w:hint="eastAsia" w:ascii="宋体" w:hAnsi="宋体" w:cs="宋体"/>
                <w:b/>
                <w:color w:val="auto"/>
                <w:sz w:val="24"/>
                <w:szCs w:val="24"/>
                <w:highlight w:val="none"/>
              </w:rPr>
              <w:t>序号</w:t>
            </w:r>
          </w:p>
        </w:tc>
        <w:tc>
          <w:tcPr>
            <w:tcW w:w="804" w:type="dxa"/>
            <w:vAlign w:val="center"/>
          </w:tcPr>
          <w:p w14:paraId="1ECE22A4">
            <w:pPr>
              <w:snapToGrid w:val="0"/>
              <w:spacing w:line="36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标注</w:t>
            </w:r>
          </w:p>
        </w:tc>
        <w:tc>
          <w:tcPr>
            <w:tcW w:w="7751" w:type="dxa"/>
            <w:vAlign w:val="center"/>
          </w:tcPr>
          <w:p w14:paraId="1822EA62">
            <w:pPr>
              <w:snapToGrid w:val="0"/>
              <w:spacing w:line="36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技术需求</w:t>
            </w:r>
          </w:p>
        </w:tc>
      </w:tr>
      <w:tr w14:paraId="4EEB1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4C56294">
            <w:pPr>
              <w:snapToGrid w:val="0"/>
              <w:spacing w:line="360" w:lineRule="exact"/>
              <w:jc w:val="center"/>
              <w:rPr>
                <w:rFonts w:ascii="宋体" w:hAnsi="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760E0BF7">
            <w:pPr>
              <w:snapToGrid w:val="0"/>
              <w:spacing w:line="360" w:lineRule="exact"/>
              <w:jc w:val="center"/>
              <w:rPr>
                <w:rFonts w:ascii="宋体" w:hAnsi="宋体" w:cs="宋体"/>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3B72730">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设备1：全自动粉质分析仪</w:t>
            </w:r>
          </w:p>
        </w:tc>
      </w:tr>
      <w:tr w14:paraId="30D7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88D8011">
            <w:pPr>
              <w:snapToGrid w:val="0"/>
              <w:spacing w:line="360" w:lineRule="exact"/>
              <w:jc w:val="center"/>
              <w:rPr>
                <w:rFonts w:ascii="宋体" w:hAnsi="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11FCDDBD">
            <w:pPr>
              <w:snapToGrid w:val="0"/>
              <w:spacing w:line="360" w:lineRule="exact"/>
              <w:jc w:val="center"/>
              <w:rPr>
                <w:rFonts w:ascii="宋体" w:hAnsi="宋体" w:cs="宋体"/>
                <w:b/>
                <w:bCs/>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B4A8BAF">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主机：</w:t>
            </w:r>
          </w:p>
        </w:tc>
      </w:tr>
      <w:tr w14:paraId="0BACB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7F777BC">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804" w:type="dxa"/>
            <w:tcBorders>
              <w:top w:val="single" w:color="auto" w:sz="4" w:space="0"/>
              <w:left w:val="single" w:color="auto" w:sz="4" w:space="0"/>
              <w:bottom w:val="single" w:color="auto" w:sz="4" w:space="0"/>
              <w:right w:val="single" w:color="auto" w:sz="4" w:space="0"/>
            </w:tcBorders>
            <w:vAlign w:val="center"/>
          </w:tcPr>
          <w:p w14:paraId="4B0B0CD6">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7F3EC98">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1.转速可调：1~200rpm。</w:t>
            </w:r>
          </w:p>
        </w:tc>
      </w:tr>
      <w:tr w14:paraId="553D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2BEDB9D">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804" w:type="dxa"/>
            <w:tcBorders>
              <w:top w:val="single" w:color="auto" w:sz="4" w:space="0"/>
              <w:left w:val="single" w:color="auto" w:sz="4" w:space="0"/>
              <w:bottom w:val="single" w:color="auto" w:sz="4" w:space="0"/>
              <w:right w:val="single" w:color="auto" w:sz="4" w:space="0"/>
            </w:tcBorders>
            <w:vAlign w:val="center"/>
          </w:tcPr>
          <w:p w14:paraId="2299B1EC">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92A7617">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2.扭矩范围：0~2</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Nm。</w:t>
            </w:r>
          </w:p>
        </w:tc>
      </w:tr>
      <w:tr w14:paraId="2F08D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99874AE">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804" w:type="dxa"/>
            <w:tcBorders>
              <w:top w:val="single" w:color="auto" w:sz="4" w:space="0"/>
              <w:left w:val="single" w:color="auto" w:sz="4" w:space="0"/>
              <w:bottom w:val="single" w:color="auto" w:sz="4" w:space="0"/>
              <w:right w:val="single" w:color="auto" w:sz="4" w:space="0"/>
            </w:tcBorders>
            <w:vAlign w:val="center"/>
          </w:tcPr>
          <w:p w14:paraId="54A6BB03">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F88AB1E">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3.测量范围：0~1000（FU/BU）。</w:t>
            </w:r>
          </w:p>
        </w:tc>
      </w:tr>
      <w:tr w14:paraId="79559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E182A76">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804" w:type="dxa"/>
            <w:tcBorders>
              <w:top w:val="single" w:color="auto" w:sz="4" w:space="0"/>
              <w:left w:val="single" w:color="auto" w:sz="4" w:space="0"/>
              <w:bottom w:val="single" w:color="auto" w:sz="4" w:space="0"/>
              <w:right w:val="single" w:color="auto" w:sz="4" w:space="0"/>
            </w:tcBorders>
            <w:vAlign w:val="center"/>
          </w:tcPr>
          <w:p w14:paraId="1A554F76">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26ECBE4">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4.安全装置：需具有紧急停机按钮；双手操作，外接和面钵盖打开时用于蠕速启动的双手开关，即自动停机的开关接口；感应盖板开启的微动开关，与测力计内部电路配合, 扭矩过载保护。</w:t>
            </w:r>
          </w:p>
        </w:tc>
      </w:tr>
      <w:tr w14:paraId="5815C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1CDA4DB">
            <w:pPr>
              <w:snapToGrid w:val="0"/>
              <w:spacing w:line="360" w:lineRule="exact"/>
              <w:jc w:val="center"/>
              <w:rPr>
                <w:rFonts w:ascii="宋体" w:hAnsi="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7C842EC8">
            <w:pPr>
              <w:snapToGrid w:val="0"/>
              <w:spacing w:line="360" w:lineRule="exact"/>
              <w:jc w:val="center"/>
              <w:rPr>
                <w:rFonts w:ascii="宋体" w:hAnsi="宋体" w:cs="宋体"/>
                <w:b/>
                <w:bCs/>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82DC851">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揉面钵</w:t>
            </w:r>
          </w:p>
        </w:tc>
      </w:tr>
      <w:tr w14:paraId="2C5CE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FB0F5DF">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804" w:type="dxa"/>
            <w:tcBorders>
              <w:top w:val="single" w:color="auto" w:sz="4" w:space="0"/>
              <w:left w:val="single" w:color="auto" w:sz="4" w:space="0"/>
              <w:bottom w:val="single" w:color="auto" w:sz="4" w:space="0"/>
              <w:right w:val="single" w:color="auto" w:sz="4" w:space="0"/>
            </w:tcBorders>
            <w:vAlign w:val="center"/>
          </w:tcPr>
          <w:p w14:paraId="2CA1BA71">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E45A077">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5.钵容量：50g~100g。</w:t>
            </w:r>
          </w:p>
        </w:tc>
      </w:tr>
      <w:tr w14:paraId="53C71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830F9D0">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804" w:type="dxa"/>
            <w:tcBorders>
              <w:top w:val="single" w:color="auto" w:sz="4" w:space="0"/>
              <w:left w:val="single" w:color="auto" w:sz="4" w:space="0"/>
              <w:bottom w:val="single" w:color="auto" w:sz="4" w:space="0"/>
              <w:right w:val="single" w:color="auto" w:sz="4" w:space="0"/>
            </w:tcBorders>
            <w:vAlign w:val="center"/>
          </w:tcPr>
          <w:p w14:paraId="084EB5F2">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19FBC65">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6.结构：不锈钢夹套结构，内置水循环恒温，标准温度为30℃，可以按需要随时调节。</w:t>
            </w:r>
          </w:p>
        </w:tc>
      </w:tr>
      <w:tr w14:paraId="2E568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B373D91">
            <w:pPr>
              <w:snapToGrid w:val="0"/>
              <w:spacing w:line="360" w:lineRule="exact"/>
              <w:jc w:val="center"/>
              <w:rPr>
                <w:rFonts w:ascii="宋体" w:hAnsi="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1E976285">
            <w:pPr>
              <w:snapToGrid w:val="0"/>
              <w:spacing w:line="360" w:lineRule="exact"/>
              <w:jc w:val="center"/>
              <w:rPr>
                <w:rFonts w:ascii="宋体" w:hAnsi="宋体" w:cs="宋体"/>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86184A7">
            <w:pPr>
              <w:tabs>
                <w:tab w:val="left" w:pos="1800"/>
              </w:tabs>
              <w:snapToGrid w:val="0"/>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全自动加水系统</w:t>
            </w:r>
          </w:p>
        </w:tc>
      </w:tr>
      <w:tr w14:paraId="3535C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537940E">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804" w:type="dxa"/>
            <w:tcBorders>
              <w:top w:val="single" w:color="auto" w:sz="4" w:space="0"/>
              <w:left w:val="single" w:color="auto" w:sz="4" w:space="0"/>
              <w:bottom w:val="single" w:color="auto" w:sz="4" w:space="0"/>
              <w:right w:val="single" w:color="auto" w:sz="4" w:space="0"/>
            </w:tcBorders>
            <w:vAlign w:val="center"/>
          </w:tcPr>
          <w:p w14:paraId="71201C84">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ED0F955">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7.自动定量水：0.3~2000mL，样品加水范围：1~300mL，精度：0.1%</w:t>
            </w:r>
          </w:p>
        </w:tc>
      </w:tr>
      <w:tr w14:paraId="3BC7B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3F6B827">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804" w:type="dxa"/>
            <w:tcBorders>
              <w:top w:val="single" w:color="auto" w:sz="4" w:space="0"/>
              <w:left w:val="single" w:color="auto" w:sz="4" w:space="0"/>
              <w:bottom w:val="single" w:color="auto" w:sz="4" w:space="0"/>
              <w:right w:val="single" w:color="auto" w:sz="4" w:space="0"/>
            </w:tcBorders>
            <w:vAlign w:val="center"/>
          </w:tcPr>
          <w:p w14:paraId="5F56FDEF">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8B4E9E7">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8.配置温湿度传感器：监控并现实样品温度、搅拌钵温度和循环水温度，记录空气湿度和气压数据，并自动传输到系统软件。</w:t>
            </w:r>
          </w:p>
        </w:tc>
      </w:tr>
      <w:tr w14:paraId="73B21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77A1901">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804" w:type="dxa"/>
            <w:tcBorders>
              <w:top w:val="single" w:color="auto" w:sz="4" w:space="0"/>
              <w:left w:val="single" w:color="auto" w:sz="4" w:space="0"/>
              <w:bottom w:val="single" w:color="auto" w:sz="4" w:space="0"/>
              <w:right w:val="single" w:color="auto" w:sz="4" w:space="0"/>
            </w:tcBorders>
            <w:vAlign w:val="center"/>
          </w:tcPr>
          <w:p w14:paraId="68BF657F">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47821AE">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9.软件系统：预装粉质仪软件，分析，打印，输出测量结果。菜单显示准备和执行测试。中央化测试数据存储和管理。</w:t>
            </w:r>
          </w:p>
        </w:tc>
      </w:tr>
      <w:tr w14:paraId="58011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50BF4A8">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804" w:type="dxa"/>
            <w:tcBorders>
              <w:top w:val="single" w:color="auto" w:sz="4" w:space="0"/>
              <w:left w:val="single" w:color="auto" w:sz="4" w:space="0"/>
              <w:bottom w:val="single" w:color="auto" w:sz="4" w:space="0"/>
              <w:right w:val="single" w:color="auto" w:sz="4" w:space="0"/>
            </w:tcBorders>
            <w:vAlign w:val="center"/>
          </w:tcPr>
          <w:p w14:paraId="47039451">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10E0202">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11.操作软件可以在任何时候看到仪器的状态，实现对样品质量的实时监测。</w:t>
            </w:r>
          </w:p>
        </w:tc>
      </w:tr>
      <w:tr w14:paraId="0404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57C197D">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p>
        </w:tc>
        <w:tc>
          <w:tcPr>
            <w:tcW w:w="804" w:type="dxa"/>
            <w:tcBorders>
              <w:top w:val="single" w:color="auto" w:sz="4" w:space="0"/>
              <w:left w:val="single" w:color="auto" w:sz="4" w:space="0"/>
              <w:bottom w:val="single" w:color="auto" w:sz="4" w:space="0"/>
              <w:right w:val="single" w:color="auto" w:sz="4" w:space="0"/>
            </w:tcBorders>
            <w:vAlign w:val="center"/>
          </w:tcPr>
          <w:p w14:paraId="74A547FC">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6D752A0">
            <w:pPr>
              <w:tabs>
                <w:tab w:val="left" w:pos="1800"/>
              </w:tabs>
              <w:snapToGrid w:val="0"/>
              <w:spacing w:line="360" w:lineRule="exact"/>
              <w:rPr>
                <w:rFonts w:ascii="宋体" w:hAnsi="宋体" w:cs="宋体"/>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2</w:t>
            </w:r>
            <w:r>
              <w:rPr>
                <w:color w:val="auto"/>
                <w:sz w:val="24"/>
                <w:szCs w:val="24"/>
                <w:highlight w:val="none"/>
              </w:rPr>
              <w:t>.</w:t>
            </w:r>
            <w:r>
              <w:rPr>
                <w:rFonts w:hint="eastAsia"/>
                <w:color w:val="auto"/>
                <w:sz w:val="24"/>
                <w:szCs w:val="24"/>
                <w:highlight w:val="none"/>
              </w:rPr>
              <w:t>具备数据可视、报告输出、分析、处理功能</w:t>
            </w:r>
          </w:p>
        </w:tc>
      </w:tr>
      <w:tr w14:paraId="018BE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048F104">
            <w:pPr>
              <w:snapToGrid w:val="0"/>
              <w:spacing w:line="360" w:lineRule="exact"/>
              <w:jc w:val="center"/>
              <w:rPr>
                <w:rFonts w:ascii="宋体" w:hAns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p>
        </w:tc>
        <w:tc>
          <w:tcPr>
            <w:tcW w:w="804" w:type="dxa"/>
            <w:tcBorders>
              <w:top w:val="single" w:color="auto" w:sz="4" w:space="0"/>
              <w:left w:val="single" w:color="auto" w:sz="4" w:space="0"/>
              <w:bottom w:val="single" w:color="auto" w:sz="4" w:space="0"/>
              <w:right w:val="single" w:color="auto" w:sz="4" w:space="0"/>
            </w:tcBorders>
            <w:vAlign w:val="center"/>
          </w:tcPr>
          <w:p w14:paraId="3B44FA95">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7DA3BA6">
            <w:pPr>
              <w:rPr>
                <w:rFonts w:ascii="宋体" w:hAns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.配置要求</w:t>
            </w:r>
          </w:p>
          <w:p w14:paraId="57DA3BA6">
            <w:pPr>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全自动粉质仪主机 1台；</w:t>
            </w:r>
          </w:p>
          <w:p w14:paraId="57DA3BA6">
            <w:pPr>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操作系统1套；</w:t>
            </w:r>
          </w:p>
          <w:p w14:paraId="57DA3BA6">
            <w:pPr>
              <w:rPr>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揉面钵 1套；</w:t>
            </w:r>
            <w:bookmarkStart w:id="730" w:name="_GoBack"/>
            <w:bookmarkEnd w:id="730"/>
          </w:p>
          <w:p w14:paraId="57DA3BA6">
            <w:pPr>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温湿度传感器1套；</w:t>
            </w:r>
          </w:p>
          <w:p w14:paraId="57DA3BA6">
            <w:pPr>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全自动加水装置1套；</w:t>
            </w:r>
          </w:p>
          <w:p w14:paraId="57DA3BA6">
            <w:pPr>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数据处理系统1 套</w:t>
            </w:r>
            <w:r>
              <w:rPr>
                <w:rFonts w:hint="eastAsia" w:ascii="宋体" w:hAnsi="宋体" w:cs="宋体"/>
                <w:color w:val="auto"/>
                <w:sz w:val="24"/>
                <w:szCs w:val="24"/>
                <w:highlight w:val="none"/>
                <w:lang w:val="en-US" w:eastAsia="zh-CN"/>
              </w:rPr>
              <w:t>.</w:t>
            </w:r>
          </w:p>
        </w:tc>
      </w:tr>
      <w:tr w14:paraId="24DA5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AEE1CF3">
            <w:pPr>
              <w:snapToGrid w:val="0"/>
              <w:spacing w:line="360" w:lineRule="exact"/>
              <w:jc w:val="center"/>
              <w:rPr>
                <w:rFonts w:ascii="宋体" w:hAnsi="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67281BD7">
            <w:pPr>
              <w:snapToGrid w:val="0"/>
              <w:spacing w:line="360" w:lineRule="exact"/>
              <w:jc w:val="center"/>
              <w:rPr>
                <w:rFonts w:ascii="宋体" w:hAnsi="宋体" w:cs="宋体"/>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C7B77E1">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设备2：饮料分析仪</w:t>
            </w:r>
          </w:p>
        </w:tc>
      </w:tr>
      <w:tr w14:paraId="5CE94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1DF578C">
            <w:pPr>
              <w:pStyle w:val="22"/>
              <w:snapToGrid w:val="0"/>
              <w:spacing w:line="360" w:lineRule="exact"/>
              <w:ind w:left="57" w:firstLine="0" w:firstLineChars="0"/>
              <w:jc w:val="center"/>
              <w:rPr>
                <w:rFonts w:ascii="宋体" w:hAnsi="宋体" w:cs="宋体"/>
                <w:b/>
                <w:bCs/>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1951878C">
            <w:pPr>
              <w:snapToGrid w:val="0"/>
              <w:spacing w:line="360" w:lineRule="exact"/>
              <w:jc w:val="center"/>
              <w:rPr>
                <w:rFonts w:ascii="宋体" w:hAnsi="宋体" w:cs="宋体"/>
                <w:b/>
                <w:bCs/>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9F78EFB">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主机：</w:t>
            </w:r>
          </w:p>
        </w:tc>
      </w:tr>
      <w:tr w14:paraId="756FE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08A4CD3">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1</w:t>
            </w:r>
          </w:p>
        </w:tc>
        <w:tc>
          <w:tcPr>
            <w:tcW w:w="804" w:type="dxa"/>
            <w:tcBorders>
              <w:top w:val="single" w:color="auto" w:sz="4" w:space="0"/>
              <w:left w:val="single" w:color="auto" w:sz="4" w:space="0"/>
              <w:bottom w:val="single" w:color="auto" w:sz="4" w:space="0"/>
              <w:right w:val="single" w:color="auto" w:sz="4" w:space="0"/>
            </w:tcBorders>
            <w:vAlign w:val="center"/>
          </w:tcPr>
          <w:p w14:paraId="483406CA">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9896FF8">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1.用途：样品密度、Brix白利糖度、酒精%、API比重测量；内置浓度转换表格，可对硫酸%、硝酸%、盐酸%、NaOH%、磷酸%等浓度进行测量。</w:t>
            </w:r>
          </w:p>
        </w:tc>
      </w:tr>
      <w:tr w14:paraId="43F9F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0601CAE">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2</w:t>
            </w:r>
          </w:p>
        </w:tc>
        <w:tc>
          <w:tcPr>
            <w:tcW w:w="804" w:type="dxa"/>
            <w:tcBorders>
              <w:top w:val="single" w:color="auto" w:sz="4" w:space="0"/>
              <w:left w:val="single" w:color="auto" w:sz="4" w:space="0"/>
              <w:bottom w:val="single" w:color="auto" w:sz="4" w:space="0"/>
              <w:right w:val="single" w:color="auto" w:sz="4" w:space="0"/>
            </w:tcBorders>
            <w:vAlign w:val="center"/>
          </w:tcPr>
          <w:p w14:paraId="30E39EB0">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B0C7D8A">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2.密度测量原理：U 型振荡管法。管体材质：硼硅玻璃；</w:t>
            </w:r>
            <w:r>
              <w:rPr>
                <w:color w:val="auto"/>
                <w:sz w:val="24"/>
                <w:szCs w:val="24"/>
                <w:highlight w:val="none"/>
              </w:rPr>
              <w:t>主机界面可视无遮挡</w:t>
            </w:r>
            <w:r>
              <w:rPr>
                <w:rFonts w:hint="eastAsia" w:ascii="宋体" w:hAnsi="宋体" w:cs="宋体"/>
                <w:color w:val="auto"/>
                <w:sz w:val="24"/>
                <w:szCs w:val="24"/>
                <w:highlight w:val="none"/>
              </w:rPr>
              <w:t>；</w:t>
            </w:r>
            <w:r>
              <w:rPr>
                <w:color w:val="auto"/>
                <w:sz w:val="24"/>
                <w:szCs w:val="24"/>
                <w:highlight w:val="none"/>
              </w:rPr>
              <w:t>具备气泡自动检测功能，可直观显示U型管中气泡的情况</w:t>
            </w:r>
            <w:r>
              <w:rPr>
                <w:rFonts w:hint="eastAsia"/>
                <w:color w:val="auto"/>
                <w:sz w:val="24"/>
                <w:szCs w:val="24"/>
                <w:highlight w:val="none"/>
              </w:rPr>
              <w:t>。</w:t>
            </w:r>
          </w:p>
        </w:tc>
      </w:tr>
      <w:tr w14:paraId="16D8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0DF882B">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3</w:t>
            </w:r>
          </w:p>
        </w:tc>
        <w:tc>
          <w:tcPr>
            <w:tcW w:w="804" w:type="dxa"/>
            <w:tcBorders>
              <w:top w:val="single" w:color="auto" w:sz="4" w:space="0"/>
              <w:left w:val="single" w:color="auto" w:sz="4" w:space="0"/>
              <w:bottom w:val="single" w:color="auto" w:sz="4" w:space="0"/>
              <w:right w:val="single" w:color="auto" w:sz="4" w:space="0"/>
            </w:tcBorders>
            <w:vAlign w:val="center"/>
          </w:tcPr>
          <w:p w14:paraId="6AA7C7F6">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1E8C418">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3.测量范围：密度：0～3.0g/cm</w:t>
            </w:r>
            <w:r>
              <w:rPr>
                <w:rFonts w:hint="eastAsia" w:ascii="宋体" w:hAnsi="宋体" w:cs="宋体"/>
                <w:color w:val="auto"/>
                <w:sz w:val="24"/>
                <w:szCs w:val="24"/>
                <w:highlight w:val="none"/>
                <w:vertAlign w:val="superscript"/>
              </w:rPr>
              <w:t>3</w:t>
            </w:r>
            <w:r>
              <w:rPr>
                <w:rFonts w:hint="eastAsia" w:ascii="宋体" w:hAnsi="宋体" w:cs="宋体"/>
                <w:color w:val="auto"/>
                <w:sz w:val="24"/>
                <w:szCs w:val="24"/>
                <w:highlight w:val="none"/>
              </w:rPr>
              <w:t>；糖浓度：0～80 °Brix。</w:t>
            </w:r>
          </w:p>
        </w:tc>
      </w:tr>
      <w:tr w14:paraId="30D90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95AAB8B">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4</w:t>
            </w:r>
          </w:p>
        </w:tc>
        <w:tc>
          <w:tcPr>
            <w:tcW w:w="804" w:type="dxa"/>
            <w:tcBorders>
              <w:top w:val="single" w:color="auto" w:sz="4" w:space="0"/>
              <w:left w:val="single" w:color="auto" w:sz="4" w:space="0"/>
              <w:bottom w:val="single" w:color="auto" w:sz="4" w:space="0"/>
              <w:right w:val="single" w:color="auto" w:sz="4" w:space="0"/>
            </w:tcBorders>
            <w:vAlign w:val="center"/>
          </w:tcPr>
          <w:p w14:paraId="61BCC2C3">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5D730A6">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4. 测量精度：</w:t>
            </w:r>
          </w:p>
          <w:p w14:paraId="01D4619B">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（1）密度准确性：±0.00005g/cm</w:t>
            </w:r>
            <w:r>
              <w:rPr>
                <w:rFonts w:hint="eastAsia" w:ascii="宋体" w:hAnsi="宋体" w:cs="宋体"/>
                <w:color w:val="auto"/>
                <w:sz w:val="24"/>
                <w:szCs w:val="24"/>
                <w:highlight w:val="none"/>
                <w:vertAlign w:val="superscript"/>
              </w:rPr>
              <w:t>3</w:t>
            </w:r>
            <w:r>
              <w:rPr>
                <w:rFonts w:hint="eastAsia" w:ascii="宋体" w:hAnsi="宋体" w:cs="宋体"/>
                <w:color w:val="auto"/>
                <w:sz w:val="24"/>
                <w:szCs w:val="24"/>
                <w:highlight w:val="none"/>
              </w:rPr>
              <w:tab/>
            </w:r>
            <w:r>
              <w:rPr>
                <w:rFonts w:hint="eastAsia" w:ascii="宋体" w:hAnsi="宋体" w:cs="宋体"/>
                <w:color w:val="auto"/>
                <w:sz w:val="24"/>
                <w:szCs w:val="24"/>
                <w:highlight w:val="none"/>
              </w:rPr>
              <w:t>；</w:t>
            </w:r>
          </w:p>
          <w:p w14:paraId="346AC633">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（2）温度准确性：±0.03 ℃；</w:t>
            </w:r>
          </w:p>
          <w:p w14:paraId="159377E2">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（3）密度重现性：±0.00001g/cm</w:t>
            </w:r>
            <w:r>
              <w:rPr>
                <w:rFonts w:hint="eastAsia" w:ascii="宋体" w:hAnsi="宋体" w:cs="宋体"/>
                <w:color w:val="auto"/>
                <w:sz w:val="24"/>
                <w:szCs w:val="24"/>
                <w:highlight w:val="none"/>
                <w:vertAlign w:val="superscript"/>
              </w:rPr>
              <w:t>3</w:t>
            </w:r>
            <w:r>
              <w:rPr>
                <w:rFonts w:hint="eastAsia" w:ascii="宋体" w:hAnsi="宋体" w:cs="宋体"/>
                <w:color w:val="auto"/>
                <w:sz w:val="24"/>
                <w:szCs w:val="24"/>
                <w:highlight w:val="none"/>
              </w:rPr>
              <w:t>；</w:t>
            </w:r>
          </w:p>
          <w:p w14:paraId="0E8E4E9C">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（4）温度重现性：±0.01℃；</w:t>
            </w:r>
          </w:p>
          <w:p w14:paraId="08B5D789">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（5）实际糖浓度：±0.01°Brix。</w:t>
            </w:r>
          </w:p>
        </w:tc>
      </w:tr>
      <w:tr w14:paraId="0E0FE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E03C03E">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5</w:t>
            </w:r>
          </w:p>
        </w:tc>
        <w:tc>
          <w:tcPr>
            <w:tcW w:w="804" w:type="dxa"/>
            <w:tcBorders>
              <w:top w:val="single" w:color="auto" w:sz="4" w:space="0"/>
              <w:left w:val="single" w:color="auto" w:sz="4" w:space="0"/>
              <w:bottom w:val="single" w:color="auto" w:sz="4" w:space="0"/>
              <w:right w:val="single" w:color="auto" w:sz="4" w:space="0"/>
            </w:tcBorders>
            <w:vAlign w:val="center"/>
          </w:tcPr>
          <w:p w14:paraId="3016C4E6">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939EDB2">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5.温控系统：半导体控温；温度控制范围：0～100℃，温度控制准确度0.03℃。</w:t>
            </w:r>
          </w:p>
        </w:tc>
      </w:tr>
      <w:tr w14:paraId="69124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66F9C4C">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6</w:t>
            </w:r>
          </w:p>
        </w:tc>
        <w:tc>
          <w:tcPr>
            <w:tcW w:w="804" w:type="dxa"/>
            <w:tcBorders>
              <w:top w:val="single" w:color="auto" w:sz="4" w:space="0"/>
              <w:left w:val="single" w:color="auto" w:sz="4" w:space="0"/>
              <w:bottom w:val="single" w:color="auto" w:sz="4" w:space="0"/>
              <w:right w:val="single" w:color="auto" w:sz="4" w:space="0"/>
            </w:tcBorders>
            <w:vAlign w:val="center"/>
          </w:tcPr>
          <w:p w14:paraId="1620F24A">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BBAA640">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6.</w:t>
            </w:r>
            <w:r>
              <w:rPr>
                <w:color w:val="auto"/>
                <w:sz w:val="24"/>
                <w:szCs w:val="24"/>
                <w:highlight w:val="none"/>
              </w:rPr>
              <w:t>测量过程可自动进行粘度范围修正，且主机屏幕可显示样品粘度</w:t>
            </w:r>
            <w:r>
              <w:rPr>
                <w:rFonts w:hint="eastAsia"/>
                <w:color w:val="auto"/>
                <w:sz w:val="24"/>
                <w:szCs w:val="24"/>
                <w:highlight w:val="none"/>
              </w:rPr>
              <w:t>修正</w:t>
            </w:r>
            <w:r>
              <w:rPr>
                <w:color w:val="auto"/>
                <w:sz w:val="24"/>
                <w:szCs w:val="24"/>
                <w:highlight w:val="none"/>
              </w:rPr>
              <w:t>和</w:t>
            </w:r>
            <w:r>
              <w:rPr>
                <w:rFonts w:hint="eastAsia"/>
                <w:color w:val="auto"/>
                <w:sz w:val="24"/>
                <w:szCs w:val="24"/>
                <w:highlight w:val="none"/>
              </w:rPr>
              <w:t>未</w:t>
            </w:r>
            <w:r>
              <w:rPr>
                <w:color w:val="auto"/>
                <w:sz w:val="24"/>
                <w:szCs w:val="24"/>
                <w:highlight w:val="none"/>
              </w:rPr>
              <w:t>粘度</w:t>
            </w:r>
            <w:r>
              <w:rPr>
                <w:rFonts w:hint="eastAsia"/>
                <w:color w:val="auto"/>
                <w:sz w:val="24"/>
                <w:szCs w:val="24"/>
                <w:highlight w:val="none"/>
              </w:rPr>
              <w:t>修正</w:t>
            </w:r>
            <w:r>
              <w:rPr>
                <w:color w:val="auto"/>
                <w:sz w:val="24"/>
                <w:szCs w:val="24"/>
                <w:highlight w:val="none"/>
              </w:rPr>
              <w:t>的</w:t>
            </w:r>
            <w:r>
              <w:rPr>
                <w:rFonts w:hint="eastAsia"/>
                <w:color w:val="auto"/>
                <w:sz w:val="24"/>
                <w:szCs w:val="24"/>
                <w:highlight w:val="none"/>
              </w:rPr>
              <w:t>结果</w:t>
            </w:r>
            <w:r>
              <w:rPr>
                <w:color w:val="auto"/>
                <w:sz w:val="24"/>
                <w:szCs w:val="24"/>
                <w:highlight w:val="none"/>
              </w:rPr>
              <w:t>。</w:t>
            </w:r>
          </w:p>
        </w:tc>
      </w:tr>
      <w:tr w14:paraId="174B6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6E13839">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7</w:t>
            </w:r>
          </w:p>
        </w:tc>
        <w:tc>
          <w:tcPr>
            <w:tcW w:w="804" w:type="dxa"/>
            <w:tcBorders>
              <w:top w:val="single" w:color="auto" w:sz="4" w:space="0"/>
              <w:left w:val="single" w:color="auto" w:sz="4" w:space="0"/>
              <w:bottom w:val="single" w:color="auto" w:sz="4" w:space="0"/>
              <w:right w:val="single" w:color="auto" w:sz="4" w:space="0"/>
            </w:tcBorders>
            <w:vAlign w:val="center"/>
          </w:tcPr>
          <w:p w14:paraId="7B992B5A">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6CD3E26">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7.集成自动温度扫描系统，可按设定温度</w:t>
            </w:r>
            <w:r>
              <w:rPr>
                <w:color w:val="auto"/>
                <w:sz w:val="24"/>
                <w:szCs w:val="24"/>
                <w:highlight w:val="none"/>
              </w:rPr>
              <w:t>等间隔</w:t>
            </w:r>
            <w:r>
              <w:rPr>
                <w:rFonts w:hint="eastAsia" w:ascii="宋体" w:hAnsi="宋体" w:cs="宋体"/>
                <w:color w:val="auto"/>
                <w:sz w:val="24"/>
                <w:szCs w:val="24"/>
                <w:highlight w:val="none"/>
              </w:rPr>
              <w:t>步进扫描，也可</w:t>
            </w:r>
            <w:r>
              <w:rPr>
                <w:rFonts w:hint="eastAsia" w:ascii="宋体" w:hAnsi="宋体" w:cs="宋体"/>
                <w:color w:val="auto"/>
                <w:sz w:val="24"/>
                <w:szCs w:val="24"/>
                <w:highlight w:val="none"/>
                <w:lang w:val="en-US" w:eastAsia="zh-CN"/>
              </w:rPr>
              <w:t>根据</w:t>
            </w:r>
            <w:r>
              <w:rPr>
                <w:rFonts w:hint="eastAsia" w:ascii="宋体" w:hAnsi="宋体" w:cs="宋体"/>
                <w:color w:val="auto"/>
                <w:sz w:val="24"/>
                <w:szCs w:val="24"/>
                <w:highlight w:val="none"/>
              </w:rPr>
              <w:t>用户预设的离散温度点序列扫描。</w:t>
            </w:r>
          </w:p>
        </w:tc>
      </w:tr>
      <w:tr w14:paraId="27A69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798E78A">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8</w:t>
            </w:r>
          </w:p>
        </w:tc>
        <w:tc>
          <w:tcPr>
            <w:tcW w:w="804" w:type="dxa"/>
            <w:tcBorders>
              <w:top w:val="single" w:color="auto" w:sz="4" w:space="0"/>
              <w:left w:val="single" w:color="auto" w:sz="4" w:space="0"/>
              <w:bottom w:val="single" w:color="auto" w:sz="4" w:space="0"/>
              <w:right w:val="single" w:color="auto" w:sz="4" w:space="0"/>
            </w:tcBorders>
            <w:vAlign w:val="center"/>
          </w:tcPr>
          <w:p w14:paraId="524887FD">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E366A9F">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8.</w:t>
            </w:r>
            <w:r>
              <w:rPr>
                <w:color w:val="auto"/>
                <w:sz w:val="24"/>
                <w:szCs w:val="24"/>
                <w:highlight w:val="none"/>
              </w:rPr>
              <w:t>内置U型管的参比测量池，避免系统漂移，并在不同温度下实现快速测量。</w:t>
            </w:r>
          </w:p>
        </w:tc>
      </w:tr>
      <w:tr w14:paraId="733B2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AF0C027">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9</w:t>
            </w:r>
          </w:p>
        </w:tc>
        <w:tc>
          <w:tcPr>
            <w:tcW w:w="804" w:type="dxa"/>
            <w:tcBorders>
              <w:top w:val="single" w:color="auto" w:sz="4" w:space="0"/>
              <w:left w:val="single" w:color="auto" w:sz="4" w:space="0"/>
              <w:bottom w:val="single" w:color="auto" w:sz="4" w:space="0"/>
              <w:right w:val="single" w:color="auto" w:sz="4" w:space="0"/>
            </w:tcBorders>
            <w:vAlign w:val="center"/>
          </w:tcPr>
          <w:p w14:paraId="08E91674">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FAC882D">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9</w:t>
            </w:r>
            <w:r>
              <w:rPr>
                <w:rFonts w:ascii="宋体" w:hAnsi="宋体" w:cs="宋体"/>
                <w:color w:val="auto"/>
                <w:sz w:val="24"/>
                <w:szCs w:val="24"/>
                <w:highlight w:val="none"/>
              </w:rPr>
              <w:t>.</w:t>
            </w:r>
            <w:r>
              <w:rPr>
                <w:rFonts w:hint="eastAsia" w:ascii="宋体" w:hAnsi="宋体" w:cs="宋体"/>
                <w:color w:val="auto"/>
                <w:sz w:val="24"/>
                <w:szCs w:val="24"/>
                <w:highlight w:val="none"/>
              </w:rPr>
              <w:t>内置高精密大气压力传感器，具有自动空气校正功能，可实时检测并显示当前大气压力。</w:t>
            </w:r>
          </w:p>
        </w:tc>
      </w:tr>
      <w:tr w14:paraId="14CC1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2E30C8F">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10</w:t>
            </w:r>
          </w:p>
        </w:tc>
        <w:tc>
          <w:tcPr>
            <w:tcW w:w="804" w:type="dxa"/>
            <w:tcBorders>
              <w:top w:val="single" w:color="auto" w:sz="4" w:space="0"/>
              <w:left w:val="single" w:color="auto" w:sz="4" w:space="0"/>
              <w:bottom w:val="single" w:color="auto" w:sz="4" w:space="0"/>
              <w:right w:val="single" w:color="auto" w:sz="4" w:space="0"/>
            </w:tcBorders>
            <w:vAlign w:val="center"/>
          </w:tcPr>
          <w:p w14:paraId="53879B8C">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7984614">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10.具备扩展联用接口，</w:t>
            </w:r>
            <w:r>
              <w:rPr>
                <w:rFonts w:hint="eastAsia"/>
                <w:color w:val="auto"/>
                <w:sz w:val="24"/>
                <w:szCs w:val="24"/>
                <w:highlight w:val="none"/>
              </w:rPr>
              <w:t>可与酒精测定仪、二氧化碳测定仪、</w:t>
            </w:r>
            <w:r>
              <w:rPr>
                <w:color w:val="auto"/>
                <w:sz w:val="24"/>
                <w:szCs w:val="24"/>
                <w:highlight w:val="none"/>
              </w:rPr>
              <w:t>近红外红酒、啤酒分析仪、粘度测量仪、自动进样器、折光率喷雾适配器等</w:t>
            </w:r>
            <w:r>
              <w:rPr>
                <w:rFonts w:hint="eastAsia"/>
                <w:color w:val="auto"/>
                <w:sz w:val="24"/>
                <w:szCs w:val="24"/>
                <w:highlight w:val="none"/>
              </w:rPr>
              <w:t>组成联用系统。对样品进行多参数表征；具备数据可视、报告输出、分析、处理功能。</w:t>
            </w:r>
          </w:p>
        </w:tc>
      </w:tr>
      <w:tr w14:paraId="26BC4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0CBB3B7">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11</w:t>
            </w:r>
          </w:p>
        </w:tc>
        <w:tc>
          <w:tcPr>
            <w:tcW w:w="804" w:type="dxa"/>
            <w:tcBorders>
              <w:top w:val="single" w:color="auto" w:sz="4" w:space="0"/>
              <w:left w:val="single" w:color="auto" w:sz="4" w:space="0"/>
              <w:bottom w:val="single" w:color="auto" w:sz="4" w:space="0"/>
              <w:right w:val="single" w:color="auto" w:sz="4" w:space="0"/>
            </w:tcBorders>
            <w:vAlign w:val="center"/>
          </w:tcPr>
          <w:p w14:paraId="15F66BC5">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7BDC4F8">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11.出厂配置多种样品标准方法：Brix白利糖度、酒精%、API比重、硫酸%、硝酸%、盐酸%、NaOH%、磷酸%等浓度转换表格，可检测硫酸、硝酸、盐酸、NaOH等样品密度和浓度。浓度检测误差</w:t>
            </w:r>
            <w:r>
              <w:rPr>
                <w:rFonts w:hint="eastAsia" w:ascii="宋体" w:hAnsi="宋体"/>
                <w:color w:val="auto"/>
                <w:sz w:val="24"/>
                <w:szCs w:val="24"/>
                <w:highlight w:val="none"/>
              </w:rPr>
              <w:t>≤</w:t>
            </w:r>
            <w:r>
              <w:rPr>
                <w:rFonts w:hint="eastAsia" w:ascii="宋体" w:hAnsi="宋体" w:cs="宋体"/>
                <w:color w:val="auto"/>
                <w:sz w:val="24"/>
                <w:szCs w:val="24"/>
                <w:highlight w:val="none"/>
              </w:rPr>
              <w:t>0.05%。</w:t>
            </w:r>
          </w:p>
        </w:tc>
      </w:tr>
      <w:tr w14:paraId="25C43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20D2E8C">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12</w:t>
            </w:r>
          </w:p>
        </w:tc>
        <w:tc>
          <w:tcPr>
            <w:tcW w:w="804" w:type="dxa"/>
            <w:tcBorders>
              <w:top w:val="single" w:color="auto" w:sz="4" w:space="0"/>
              <w:left w:val="single" w:color="auto" w:sz="4" w:space="0"/>
              <w:bottom w:val="single" w:color="auto" w:sz="4" w:space="0"/>
              <w:right w:val="single" w:color="auto" w:sz="4" w:space="0"/>
            </w:tcBorders>
            <w:vAlign w:val="center"/>
          </w:tcPr>
          <w:p w14:paraId="788315FE">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DDADA78">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12.</w:t>
            </w:r>
            <w:r>
              <w:rPr>
                <w:rFonts w:hint="eastAsia" w:ascii="宋体" w:hAnsi="宋体" w:cs="宋体"/>
                <w:b/>
                <w:bCs/>
                <w:color w:val="auto"/>
                <w:sz w:val="24"/>
                <w:szCs w:val="24"/>
                <w:highlight w:val="none"/>
              </w:rPr>
              <w:t>酒精含量及浸出物含量测定功能：</w:t>
            </w:r>
            <w:r>
              <w:rPr>
                <w:rFonts w:hint="eastAsia"/>
                <w:color w:val="auto"/>
                <w:sz w:val="24"/>
                <w:szCs w:val="24"/>
                <w:highlight w:val="none"/>
              </w:rPr>
              <w:t>采用</w:t>
            </w:r>
            <w:r>
              <w:rPr>
                <w:color w:val="auto"/>
                <w:sz w:val="24"/>
                <w:szCs w:val="24"/>
                <w:highlight w:val="none"/>
              </w:rPr>
              <w:t>近红外</w:t>
            </w:r>
            <w:r>
              <w:rPr>
                <w:rFonts w:hint="eastAsia"/>
                <w:color w:val="auto"/>
                <w:sz w:val="24"/>
                <w:szCs w:val="24"/>
                <w:highlight w:val="none"/>
              </w:rPr>
              <w:t>测量技术</w:t>
            </w:r>
            <w:r>
              <w:rPr>
                <w:color w:val="auto"/>
                <w:sz w:val="24"/>
                <w:szCs w:val="24"/>
                <w:highlight w:val="none"/>
              </w:rPr>
              <w:t>，通过建立多种综合数据模型测试酒精含量</w:t>
            </w:r>
            <w:r>
              <w:rPr>
                <w:rFonts w:hint="eastAsia"/>
                <w:color w:val="auto"/>
                <w:sz w:val="24"/>
                <w:szCs w:val="24"/>
                <w:highlight w:val="none"/>
              </w:rPr>
              <w:t>。可配合U型管振荡技术，监控发酵过程参数。满足浑浊型啤酒和葡萄酒测试，</w:t>
            </w:r>
            <w:r>
              <w:rPr>
                <w:color w:val="auto"/>
                <w:sz w:val="24"/>
                <w:szCs w:val="24"/>
                <w:highlight w:val="none"/>
              </w:rPr>
              <w:t>样品无需蒸馏，直接检测。</w:t>
            </w:r>
            <w:r>
              <w:rPr>
                <w:rFonts w:hint="eastAsia"/>
                <w:color w:val="auto"/>
                <w:sz w:val="24"/>
                <w:szCs w:val="24"/>
                <w:highlight w:val="none"/>
              </w:rPr>
              <w:t xml:space="preserve"> </w:t>
            </w:r>
          </w:p>
        </w:tc>
      </w:tr>
      <w:tr w14:paraId="3CC69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F728CA0">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13</w:t>
            </w:r>
          </w:p>
        </w:tc>
        <w:tc>
          <w:tcPr>
            <w:tcW w:w="804" w:type="dxa"/>
            <w:tcBorders>
              <w:top w:val="single" w:color="auto" w:sz="4" w:space="0"/>
              <w:left w:val="single" w:color="auto" w:sz="4" w:space="0"/>
              <w:bottom w:val="single" w:color="auto" w:sz="4" w:space="0"/>
              <w:right w:val="single" w:color="auto" w:sz="4" w:space="0"/>
            </w:tcBorders>
            <w:vAlign w:val="center"/>
          </w:tcPr>
          <w:p w14:paraId="2F04F53C">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ED74BBF">
            <w:pPr>
              <w:tabs>
                <w:tab w:val="left" w:pos="1800"/>
              </w:tabs>
              <w:snapToGrid w:val="0"/>
              <w:spacing w:line="360" w:lineRule="exact"/>
              <w:rPr>
                <w:rFonts w:ascii="宋体" w:hAnsi="宋体" w:cs="宋体"/>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rPr>
              <w:t>酒精测量范围：</w:t>
            </w:r>
          </w:p>
          <w:p w14:paraId="72BC5601">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（1）酒精度：</w:t>
            </w:r>
            <w:r>
              <w:rPr>
                <w:rFonts w:hint="eastAsia"/>
                <w:color w:val="auto"/>
                <w:sz w:val="24"/>
                <w:szCs w:val="24"/>
                <w:highlight w:val="none"/>
              </w:rPr>
              <w:t>4</w:t>
            </w:r>
            <w:r>
              <w:rPr>
                <w:color w:val="auto"/>
                <w:sz w:val="24"/>
                <w:szCs w:val="24"/>
                <w:highlight w:val="none"/>
              </w:rPr>
              <w:t>% v/v～</w:t>
            </w:r>
            <w:r>
              <w:rPr>
                <w:rFonts w:hint="eastAsia"/>
                <w:color w:val="auto"/>
                <w:sz w:val="24"/>
                <w:szCs w:val="24"/>
                <w:highlight w:val="none"/>
              </w:rPr>
              <w:t>45</w:t>
            </w:r>
            <w:r>
              <w:rPr>
                <w:color w:val="auto"/>
                <w:sz w:val="24"/>
                <w:szCs w:val="24"/>
                <w:highlight w:val="none"/>
              </w:rPr>
              <w:t>% v/v</w:t>
            </w:r>
            <w:r>
              <w:rPr>
                <w:rFonts w:hint="eastAsia" w:ascii="宋体" w:hAnsi="宋体" w:cs="宋体"/>
                <w:color w:val="auto"/>
                <w:sz w:val="24"/>
                <w:szCs w:val="24"/>
                <w:highlight w:val="none"/>
              </w:rPr>
              <w:t>；密度：0.95g/cm3～1.2g/cm</w:t>
            </w:r>
            <w:r>
              <w:rPr>
                <w:rFonts w:hint="eastAsia" w:ascii="宋体" w:hAnsi="宋体" w:cs="宋体"/>
                <w:color w:val="auto"/>
                <w:sz w:val="24"/>
                <w:szCs w:val="24"/>
                <w:highlight w:val="none"/>
                <w:vertAlign w:val="superscript"/>
              </w:rPr>
              <w:t>3</w:t>
            </w:r>
            <w:r>
              <w:rPr>
                <w:rFonts w:hint="eastAsia" w:ascii="宋体" w:hAnsi="宋体" w:cs="宋体"/>
                <w:color w:val="auto"/>
                <w:sz w:val="24"/>
                <w:szCs w:val="24"/>
                <w:highlight w:val="none"/>
              </w:rPr>
              <w:t>；温度：10～32℃。</w:t>
            </w:r>
          </w:p>
          <w:p w14:paraId="3E4B5D77">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（2）准确度：酒精度±0.2 % v/v；密度±0.001 g/cm</w:t>
            </w:r>
            <w:r>
              <w:rPr>
                <w:rFonts w:hint="eastAsia" w:ascii="宋体" w:hAnsi="宋体" w:cs="宋体"/>
                <w:color w:val="auto"/>
                <w:sz w:val="24"/>
                <w:szCs w:val="24"/>
                <w:highlight w:val="none"/>
                <w:vertAlign w:val="superscript"/>
              </w:rPr>
              <w:t>3</w:t>
            </w:r>
            <w:r>
              <w:rPr>
                <w:rFonts w:hint="eastAsia" w:ascii="宋体" w:hAnsi="宋体" w:cs="宋体"/>
                <w:color w:val="auto"/>
                <w:sz w:val="24"/>
                <w:szCs w:val="24"/>
                <w:highlight w:val="none"/>
              </w:rPr>
              <w:t>。</w:t>
            </w:r>
          </w:p>
          <w:p w14:paraId="75A9D25B">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（3）重复性偏差：酒精度±0.1 % v/v；密度±0.0005 g/cm</w:t>
            </w:r>
            <w:r>
              <w:rPr>
                <w:rFonts w:hint="eastAsia" w:ascii="宋体" w:hAnsi="宋体" w:cs="宋体"/>
                <w:color w:val="auto"/>
                <w:sz w:val="24"/>
                <w:szCs w:val="24"/>
                <w:highlight w:val="none"/>
                <w:vertAlign w:val="superscript"/>
              </w:rPr>
              <w:t>3</w:t>
            </w:r>
            <w:r>
              <w:rPr>
                <w:rFonts w:hint="eastAsia" w:ascii="宋体" w:hAnsi="宋体" w:cs="宋体"/>
                <w:color w:val="auto"/>
                <w:sz w:val="24"/>
                <w:szCs w:val="24"/>
                <w:highlight w:val="none"/>
              </w:rPr>
              <w:t>。</w:t>
            </w:r>
          </w:p>
        </w:tc>
      </w:tr>
      <w:tr w14:paraId="728F6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D5A68F4">
            <w:pPr>
              <w:pStyle w:val="22"/>
              <w:numPr>
                <w:ilvl w:val="0"/>
                <w:numId w:val="0"/>
              </w:numPr>
              <w:snapToGrid w:val="0"/>
              <w:spacing w:line="360" w:lineRule="exact"/>
              <w:ind w:left="0" w:firstLine="0" w:firstLineChars="0"/>
              <w:jc w:val="center"/>
              <w:rPr>
                <w:rFonts w:ascii="宋体" w:hAnsi="宋体" w:cs="宋体"/>
                <w:color w:val="auto"/>
                <w:sz w:val="24"/>
                <w:szCs w:val="24"/>
                <w:highlight w:val="none"/>
              </w:rPr>
            </w:pPr>
            <w:r>
              <w:rPr>
                <w:rFonts w:cs="宋体"/>
                <w:color w:val="auto"/>
                <w:sz w:val="24"/>
                <w:szCs w:val="24"/>
                <w:highlight w:val="none"/>
              </w:rPr>
              <w:t>14</w:t>
            </w:r>
          </w:p>
        </w:tc>
        <w:tc>
          <w:tcPr>
            <w:tcW w:w="804" w:type="dxa"/>
            <w:tcBorders>
              <w:top w:val="single" w:color="auto" w:sz="4" w:space="0"/>
              <w:left w:val="single" w:color="auto" w:sz="4" w:space="0"/>
              <w:bottom w:val="single" w:color="auto" w:sz="4" w:space="0"/>
              <w:right w:val="single" w:color="auto" w:sz="4" w:space="0"/>
            </w:tcBorders>
            <w:vAlign w:val="center"/>
          </w:tcPr>
          <w:p w14:paraId="5B6E24CA">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0C85750">
            <w:pPr>
              <w:tabs>
                <w:tab w:val="left" w:pos="1800"/>
              </w:tabs>
              <w:snapToGrid w:val="0"/>
              <w:spacing w:line="360" w:lineRule="exact"/>
              <w:rPr>
                <w:rFonts w:ascii="宋体" w:hAnsi="宋体" w:cs="宋体"/>
                <w:color w:val="auto"/>
                <w:sz w:val="24"/>
                <w:szCs w:val="24"/>
                <w:highlight w:val="none"/>
              </w:rPr>
            </w:pPr>
            <w:r>
              <w:rPr>
                <w:rFonts w:ascii="宋体" w:hAnsi="宋体" w:cs="宋体"/>
                <w:color w:val="auto"/>
                <w:sz w:val="24"/>
                <w:szCs w:val="24"/>
                <w:highlight w:val="none"/>
              </w:rPr>
              <w:t>14</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酒精含量及浸出物含量</w:t>
            </w:r>
            <w:r>
              <w:rPr>
                <w:rFonts w:hint="eastAsia" w:ascii="宋体" w:hAnsi="宋体" w:cs="宋体"/>
                <w:color w:val="auto"/>
                <w:sz w:val="24"/>
                <w:szCs w:val="24"/>
                <w:highlight w:val="none"/>
              </w:rPr>
              <w:t>测量单位： 密度、酒精浓度、糖/浸出物浓度、真/表观发酵度、卡路里、真/原/表观浓度、比重、葡萄酒总浸出物；</w:t>
            </w:r>
            <w:r>
              <w:rPr>
                <w:color w:val="auto"/>
                <w:sz w:val="24"/>
                <w:szCs w:val="24"/>
                <w:highlight w:val="none"/>
              </w:rPr>
              <w:t>支持</w:t>
            </w:r>
            <w:r>
              <w:rPr>
                <w:rFonts w:hint="eastAsia"/>
                <w:color w:val="auto"/>
                <w:sz w:val="24"/>
                <w:szCs w:val="24"/>
                <w:highlight w:val="none"/>
              </w:rPr>
              <w:t>至少9</w:t>
            </w:r>
            <w:r>
              <w:rPr>
                <w:color w:val="auto"/>
                <w:sz w:val="24"/>
                <w:szCs w:val="24"/>
                <w:highlight w:val="none"/>
              </w:rPr>
              <w:t>个可编程自定义单位。可监控的发酵过程参数包括：密度（Density）、比重（SG）、白利糖度（°Brix）、原麦汁浓度（°Plato）</w:t>
            </w:r>
            <w:r>
              <w:rPr>
                <w:rFonts w:hint="eastAsia"/>
                <w:color w:val="auto"/>
                <w:sz w:val="24"/>
                <w:szCs w:val="24"/>
                <w:highlight w:val="none"/>
              </w:rPr>
              <w:t>、</w:t>
            </w:r>
            <w:r>
              <w:rPr>
                <w:color w:val="auto"/>
                <w:sz w:val="24"/>
                <w:szCs w:val="24"/>
                <w:highlight w:val="none"/>
              </w:rPr>
              <w:t>波美度（°Baumé）等。</w:t>
            </w:r>
          </w:p>
        </w:tc>
      </w:tr>
      <w:tr w14:paraId="4C795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8C771DA">
            <w:pPr>
              <w:pStyle w:val="22"/>
              <w:snapToGrid w:val="0"/>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p>
        </w:tc>
        <w:tc>
          <w:tcPr>
            <w:tcW w:w="804" w:type="dxa"/>
            <w:tcBorders>
              <w:top w:val="single" w:color="auto" w:sz="4" w:space="0"/>
              <w:left w:val="single" w:color="auto" w:sz="4" w:space="0"/>
              <w:bottom w:val="single" w:color="auto" w:sz="4" w:space="0"/>
              <w:right w:val="single" w:color="auto" w:sz="4" w:space="0"/>
            </w:tcBorders>
            <w:vAlign w:val="center"/>
          </w:tcPr>
          <w:p w14:paraId="1E14C0AB">
            <w:pPr>
              <w:snapToGrid w:val="0"/>
              <w:spacing w:line="360" w:lineRule="exact"/>
              <w:jc w:val="center"/>
              <w:rPr>
                <w:rFonts w:ascii="宋体" w:hAnsi="宋体" w:cs="宋体"/>
                <w:b/>
                <w:bCs/>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F390367">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5</w:t>
            </w:r>
            <w:r>
              <w:rPr>
                <w:rFonts w:ascii="宋体" w:hAnsi="宋体" w:cs="宋体"/>
                <w:b/>
                <w:bCs/>
                <w:color w:val="auto"/>
                <w:sz w:val="24"/>
                <w:szCs w:val="24"/>
                <w:highlight w:val="none"/>
              </w:rPr>
              <w:t>.</w:t>
            </w:r>
            <w:r>
              <w:rPr>
                <w:rFonts w:hint="eastAsia" w:ascii="宋体" w:hAnsi="宋体" w:cs="宋体"/>
                <w:b/>
                <w:bCs/>
                <w:color w:val="auto"/>
                <w:sz w:val="24"/>
                <w:szCs w:val="24"/>
                <w:highlight w:val="none"/>
              </w:rPr>
              <w:t>粘度测试功能：</w:t>
            </w:r>
          </w:p>
          <w:p w14:paraId="454D5C32">
            <w:pPr>
              <w:tabs>
                <w:tab w:val="left" w:pos="1800"/>
              </w:tabs>
              <w:snapToGrid w:val="0"/>
              <w:spacing w:line="360" w:lineRule="exact"/>
              <w:rPr>
                <w:rFonts w:ascii="宋体" w:hAnsi="宋体" w:cs="宋体"/>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color w:val="auto"/>
                <w:sz w:val="24"/>
                <w:szCs w:val="24"/>
                <w:highlight w:val="none"/>
              </w:rPr>
              <w:t>）测量范围</w:t>
            </w:r>
            <w:r>
              <w:rPr>
                <w:rFonts w:ascii="宋体" w:hAnsi="宋体" w:cs="宋体"/>
                <w:color w:val="auto"/>
                <w:sz w:val="24"/>
                <w:szCs w:val="24"/>
                <w:highlight w:val="none"/>
              </w:rPr>
              <w:t>[mPa.s]</w:t>
            </w:r>
            <w:r>
              <w:rPr>
                <w:rFonts w:hint="eastAsia" w:ascii="宋体" w:hAnsi="宋体" w:cs="宋体"/>
                <w:color w:val="auto"/>
                <w:sz w:val="24"/>
                <w:szCs w:val="24"/>
                <w:highlight w:val="none"/>
              </w:rPr>
              <w:t>：</w:t>
            </w:r>
            <w:r>
              <w:rPr>
                <w:rFonts w:ascii="宋体" w:hAnsi="宋体" w:cs="宋体"/>
                <w:color w:val="auto"/>
                <w:sz w:val="24"/>
                <w:szCs w:val="24"/>
                <w:highlight w:val="none"/>
              </w:rPr>
              <w:t>1</w:t>
            </w:r>
            <w:r>
              <w:rPr>
                <w:rFonts w:hint="eastAsia" w:ascii="宋体" w:hAnsi="宋体" w:cs="宋体"/>
                <w:color w:val="auto"/>
                <w:sz w:val="24"/>
                <w:szCs w:val="24"/>
                <w:highlight w:val="none"/>
              </w:rPr>
              <w:t>～</w:t>
            </w:r>
            <w:r>
              <w:rPr>
                <w:rFonts w:ascii="宋体" w:hAnsi="宋体" w:cs="宋体"/>
                <w:color w:val="auto"/>
                <w:sz w:val="24"/>
                <w:szCs w:val="24"/>
                <w:highlight w:val="none"/>
              </w:rPr>
              <w:t>6M</w:t>
            </w:r>
            <w:r>
              <w:rPr>
                <w:rFonts w:hint="eastAsia" w:ascii="宋体" w:hAnsi="宋体" w:cs="宋体"/>
                <w:color w:val="auto"/>
                <w:sz w:val="24"/>
                <w:szCs w:val="24"/>
                <w:highlight w:val="none"/>
              </w:rPr>
              <w:t>。</w:t>
            </w:r>
          </w:p>
          <w:p w14:paraId="66E4809C">
            <w:pPr>
              <w:snapToGrid/>
              <w:spacing w:line="240" w:lineRule="auto"/>
              <w:rPr>
                <w:rFonts w:ascii="宋体" w:hAnsi="宋体" w:cs="宋体"/>
                <w:color w:val="auto"/>
                <w:sz w:val="24"/>
                <w:szCs w:val="24"/>
                <w:highlight w:val="none"/>
              </w:rPr>
            </w:pPr>
            <w:r>
              <w:rPr>
                <w:rFonts w:hint="eastAsia"/>
                <w:b w:val="0"/>
                <w:bCs/>
                <w:color w:val="auto"/>
                <w:sz w:val="24"/>
                <w:szCs w:val="24"/>
                <w:highlight w:val="none"/>
              </w:rPr>
              <w:t>（</w:t>
            </w:r>
            <w:r>
              <w:rPr>
                <w:b w:val="0"/>
                <w:bCs/>
                <w:color w:val="auto"/>
                <w:sz w:val="24"/>
                <w:szCs w:val="24"/>
                <w:highlight w:val="none"/>
              </w:rPr>
              <w:t>2</w:t>
            </w:r>
            <w:r>
              <w:rPr>
                <w:rFonts w:hint="eastAsia"/>
                <w:b w:val="0"/>
                <w:bCs/>
                <w:color w:val="auto"/>
                <w:sz w:val="24"/>
                <w:szCs w:val="24"/>
                <w:highlight w:val="none"/>
              </w:rPr>
              <w:t>）</w:t>
            </w:r>
            <w:r>
              <w:rPr>
                <w:rFonts w:hint="eastAsia" w:ascii="宋体" w:hAnsi="宋体" w:cs="宋体"/>
                <w:color w:val="auto"/>
                <w:sz w:val="24"/>
                <w:szCs w:val="24"/>
                <w:highlight w:val="none"/>
              </w:rPr>
              <w:t>转速 [rpm]：0.1～200，</w:t>
            </w:r>
            <w:r>
              <w:rPr>
                <w:rFonts w:hint="eastAsia"/>
                <w:color w:val="auto"/>
                <w:sz w:val="24"/>
                <w:szCs w:val="24"/>
                <w:highlight w:val="none"/>
              </w:rPr>
              <w:t>预设转速≥15个；可编辑转速≥5个</w:t>
            </w:r>
            <w:r>
              <w:rPr>
                <w:rFonts w:hint="eastAsia" w:ascii="宋体" w:hAnsi="宋体" w:cs="宋体"/>
                <w:color w:val="auto"/>
                <w:sz w:val="24"/>
                <w:szCs w:val="24"/>
                <w:highlight w:val="none"/>
              </w:rPr>
              <w:t>。</w:t>
            </w:r>
          </w:p>
          <w:p w14:paraId="525D6504">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（3）测量精度：±1.0%（全量程范围）, 重复性±0.2%（全量程范围）。</w:t>
            </w:r>
          </w:p>
          <w:p w14:paraId="623CBDB3">
            <w:pPr>
              <w:snapToGrid/>
              <w:spacing w:line="240" w:lineRule="auto"/>
              <w:rPr>
                <w:color w:val="auto"/>
                <w:sz w:val="24"/>
                <w:szCs w:val="24"/>
                <w:highlight w:val="none"/>
              </w:rPr>
            </w:pPr>
            <w:r>
              <w:rPr>
                <w:rFonts w:hint="eastAsia" w:ascii="宋体" w:hAnsi="宋体" w:cs="宋体"/>
                <w:color w:val="auto"/>
                <w:sz w:val="24"/>
                <w:szCs w:val="24"/>
                <w:highlight w:val="none"/>
              </w:rPr>
              <w:t>（4）</w:t>
            </w:r>
            <w:r>
              <w:rPr>
                <w:color w:val="auto"/>
                <w:sz w:val="24"/>
                <w:szCs w:val="24"/>
                <w:highlight w:val="none"/>
              </w:rPr>
              <w:t>内置磁耦合器可实现单手更换转子操作，并可自动识别转子</w:t>
            </w:r>
            <w:r>
              <w:rPr>
                <w:rFonts w:hint="eastAsia" w:ascii="宋体" w:hAnsi="宋体" w:cs="宋体"/>
                <w:color w:val="auto"/>
                <w:sz w:val="24"/>
                <w:szCs w:val="24"/>
                <w:highlight w:val="none"/>
              </w:rPr>
              <w:t>；</w:t>
            </w:r>
            <w:r>
              <w:rPr>
                <w:color w:val="auto"/>
                <w:sz w:val="24"/>
                <w:szCs w:val="24"/>
                <w:highlight w:val="none"/>
              </w:rPr>
              <w:t>可根据未知样品物性自动识别最佳测量转速</w:t>
            </w:r>
            <w:r>
              <w:rPr>
                <w:rFonts w:hint="eastAsia"/>
                <w:color w:val="auto"/>
                <w:sz w:val="24"/>
                <w:szCs w:val="24"/>
                <w:highlight w:val="none"/>
              </w:rPr>
              <w:t>；</w:t>
            </w:r>
            <w:r>
              <w:rPr>
                <w:color w:val="auto"/>
                <w:sz w:val="24"/>
                <w:szCs w:val="24"/>
                <w:highlight w:val="none"/>
              </w:rPr>
              <w:t>具有自动轴承检查功能</w:t>
            </w:r>
            <w:r>
              <w:rPr>
                <w:rFonts w:hint="eastAsia"/>
                <w:color w:val="auto"/>
                <w:sz w:val="24"/>
                <w:szCs w:val="24"/>
                <w:highlight w:val="none"/>
              </w:rPr>
              <w:t>。</w:t>
            </w:r>
          </w:p>
          <w:p w14:paraId="5F60FA88">
            <w:pPr>
              <w:snapToGrid/>
              <w:spacing w:line="240" w:lineRule="auto"/>
              <w:rPr>
                <w:b/>
                <w:bCs/>
                <w:color w:val="auto"/>
                <w:sz w:val="24"/>
                <w:szCs w:val="24"/>
                <w:highlight w:val="none"/>
              </w:rPr>
            </w:pPr>
            <w:r>
              <w:rPr>
                <w:rFonts w:hint="eastAsia"/>
                <w:color w:val="auto"/>
                <w:sz w:val="24"/>
                <w:szCs w:val="24"/>
                <w:highlight w:val="none"/>
              </w:rPr>
              <w:t>（5）</w:t>
            </w:r>
            <w:r>
              <w:rPr>
                <w:color w:val="auto"/>
                <w:sz w:val="24"/>
                <w:szCs w:val="24"/>
                <w:highlight w:val="none"/>
              </w:rPr>
              <w:t>转子材质：耐腐蚀AISI 316L不锈钢</w:t>
            </w:r>
            <w:r>
              <w:rPr>
                <w:rFonts w:hint="eastAsia" w:ascii="宋体" w:hAnsi="宋体" w:cs="宋体"/>
                <w:color w:val="auto"/>
                <w:sz w:val="24"/>
                <w:szCs w:val="24"/>
                <w:highlight w:val="none"/>
              </w:rPr>
              <w:t>。</w:t>
            </w:r>
          </w:p>
        </w:tc>
      </w:tr>
      <w:tr w14:paraId="7523C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729DA4F">
            <w:pPr>
              <w:pStyle w:val="22"/>
              <w:snapToGrid w:val="0"/>
              <w:spacing w:line="360" w:lineRule="exact"/>
              <w:ind w:left="57" w:firstLine="0" w:firstLineChars="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6</w:t>
            </w:r>
          </w:p>
        </w:tc>
        <w:tc>
          <w:tcPr>
            <w:tcW w:w="804" w:type="dxa"/>
            <w:tcBorders>
              <w:top w:val="single" w:color="auto" w:sz="4" w:space="0"/>
              <w:left w:val="single" w:color="auto" w:sz="4" w:space="0"/>
              <w:bottom w:val="single" w:color="auto" w:sz="4" w:space="0"/>
              <w:right w:val="single" w:color="auto" w:sz="4" w:space="0"/>
            </w:tcBorders>
            <w:vAlign w:val="center"/>
          </w:tcPr>
          <w:p w14:paraId="2DF9E215">
            <w:pPr>
              <w:snapToGrid w:val="0"/>
              <w:spacing w:line="360" w:lineRule="exact"/>
              <w:jc w:val="center"/>
              <w:rPr>
                <w:rFonts w:ascii="宋体" w:hAnsi="宋体" w:cs="宋体"/>
                <w:b/>
                <w:bCs/>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77FE43B">
            <w:pPr>
              <w:tabs>
                <w:tab w:val="left" w:pos="1800"/>
              </w:tabs>
              <w:snapToGrid w:val="0"/>
              <w:spacing w:line="360" w:lineRule="exact"/>
              <w:rPr>
                <w:rFonts w:ascii="宋体" w:hAnsi="宋体" w:cs="宋体"/>
                <w:b w:val="0"/>
                <w:bCs/>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6</w:t>
            </w:r>
            <w:r>
              <w:rPr>
                <w:rFonts w:ascii="宋体" w:hAnsi="宋体" w:cs="宋体"/>
                <w:bCs/>
                <w:color w:val="auto"/>
                <w:sz w:val="24"/>
                <w:szCs w:val="24"/>
                <w:highlight w:val="none"/>
              </w:rPr>
              <w:t>.</w:t>
            </w:r>
            <w:r>
              <w:rPr>
                <w:rFonts w:hint="eastAsia" w:ascii="宋体" w:hAnsi="宋体" w:cs="宋体"/>
                <w:b w:val="0"/>
                <w:bCs/>
                <w:color w:val="auto"/>
                <w:sz w:val="24"/>
                <w:szCs w:val="24"/>
                <w:highlight w:val="none"/>
              </w:rPr>
              <w:t>全自动折光率测定功能：</w:t>
            </w:r>
          </w:p>
          <w:p w14:paraId="3AFFDF1A">
            <w:pPr>
              <w:tabs>
                <w:tab w:val="left" w:pos="1800"/>
              </w:tabs>
              <w:snapToGrid w:val="0"/>
              <w:spacing w:line="360" w:lineRule="exact"/>
              <w:rPr>
                <w:rFonts w:ascii="宋体" w:hAnsi="宋体" w:cs="宋体"/>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color w:val="auto"/>
                <w:sz w:val="24"/>
                <w:szCs w:val="24"/>
                <w:highlight w:val="none"/>
              </w:rPr>
              <w:t>）测量范围：</w:t>
            </w:r>
            <w:r>
              <w:rPr>
                <w:rFonts w:ascii="宋体" w:hAnsi="宋体" w:cs="宋体"/>
                <w:color w:val="auto"/>
                <w:sz w:val="24"/>
                <w:szCs w:val="24"/>
                <w:highlight w:val="none"/>
              </w:rPr>
              <w:t>20</w:t>
            </w:r>
            <w:r>
              <w:rPr>
                <w:rFonts w:hint="eastAsia" w:ascii="宋体" w:hAnsi="宋体" w:cs="宋体"/>
                <w:color w:val="auto"/>
                <w:sz w:val="24"/>
                <w:szCs w:val="24"/>
                <w:highlight w:val="none"/>
              </w:rPr>
              <w:t>℃下的折光率</w:t>
            </w:r>
            <w:r>
              <w:rPr>
                <w:rFonts w:ascii="宋体" w:hAnsi="宋体" w:cs="宋体"/>
                <w:color w:val="auto"/>
                <w:sz w:val="24"/>
                <w:szCs w:val="24"/>
                <w:highlight w:val="none"/>
              </w:rPr>
              <w:t>1.3330</w:t>
            </w:r>
            <w:r>
              <w:rPr>
                <w:rFonts w:hint="eastAsia" w:ascii="宋体" w:hAnsi="宋体" w:cs="宋体"/>
                <w:color w:val="auto"/>
                <w:sz w:val="24"/>
                <w:szCs w:val="24"/>
                <w:highlight w:val="none"/>
              </w:rPr>
              <w:t>～</w:t>
            </w:r>
            <w:r>
              <w:rPr>
                <w:rFonts w:ascii="宋体" w:hAnsi="宋体" w:cs="宋体"/>
                <w:color w:val="auto"/>
                <w:sz w:val="24"/>
                <w:szCs w:val="24"/>
                <w:highlight w:val="none"/>
              </w:rPr>
              <w:t>1.5040</w:t>
            </w:r>
            <w:r>
              <w:rPr>
                <w:rFonts w:hint="eastAsia" w:ascii="宋体" w:hAnsi="宋体" w:cs="宋体"/>
                <w:color w:val="auto"/>
                <w:sz w:val="24"/>
                <w:szCs w:val="24"/>
                <w:highlight w:val="none"/>
              </w:rPr>
              <w:t>；</w:t>
            </w:r>
            <w:r>
              <w:rPr>
                <w:rFonts w:ascii="宋体" w:hAnsi="宋体" w:cs="宋体"/>
                <w:color w:val="auto"/>
                <w:sz w:val="24"/>
                <w:szCs w:val="24"/>
                <w:highlight w:val="none"/>
              </w:rPr>
              <w:t>Brix</w:t>
            </w:r>
            <w:r>
              <w:rPr>
                <w:rFonts w:hint="eastAsia" w:ascii="宋体" w:hAnsi="宋体" w:cs="宋体"/>
                <w:color w:val="auto"/>
                <w:sz w:val="24"/>
                <w:szCs w:val="24"/>
                <w:highlight w:val="none"/>
              </w:rPr>
              <w:t>：</w:t>
            </w:r>
            <w:r>
              <w:rPr>
                <w:rFonts w:ascii="宋体" w:hAnsi="宋体" w:cs="宋体"/>
                <w:color w:val="auto"/>
                <w:sz w:val="24"/>
                <w:szCs w:val="24"/>
                <w:highlight w:val="none"/>
              </w:rPr>
              <w:t>0</w:t>
            </w:r>
            <w:r>
              <w:rPr>
                <w:rFonts w:hint="eastAsia" w:ascii="宋体" w:hAnsi="宋体" w:cs="宋体"/>
                <w:color w:val="auto"/>
                <w:sz w:val="24"/>
                <w:szCs w:val="24"/>
                <w:highlight w:val="none"/>
              </w:rPr>
              <w:t>°～</w:t>
            </w:r>
            <w:r>
              <w:rPr>
                <w:rFonts w:ascii="宋体" w:hAnsi="宋体" w:cs="宋体"/>
                <w:color w:val="auto"/>
                <w:sz w:val="24"/>
                <w:szCs w:val="24"/>
                <w:highlight w:val="none"/>
              </w:rPr>
              <w:t>85</w:t>
            </w:r>
            <w:r>
              <w:rPr>
                <w:rFonts w:hint="eastAsia" w:ascii="宋体" w:hAnsi="宋体" w:cs="宋体"/>
                <w:color w:val="auto"/>
                <w:sz w:val="24"/>
                <w:szCs w:val="24"/>
                <w:highlight w:val="none"/>
              </w:rPr>
              <w:t>°；样品温度：</w:t>
            </w:r>
            <w:r>
              <w:rPr>
                <w:rFonts w:ascii="宋体" w:hAnsi="宋体" w:cs="宋体"/>
                <w:color w:val="auto"/>
                <w:sz w:val="24"/>
                <w:szCs w:val="24"/>
                <w:highlight w:val="none"/>
              </w:rPr>
              <w:t>10</w:t>
            </w:r>
            <w:r>
              <w:rPr>
                <w:rFonts w:hint="eastAsia" w:ascii="宋体" w:hAnsi="宋体" w:cs="宋体"/>
                <w:color w:val="auto"/>
                <w:sz w:val="24"/>
                <w:szCs w:val="24"/>
                <w:highlight w:val="none"/>
              </w:rPr>
              <w:t>℃～</w:t>
            </w:r>
            <w:r>
              <w:rPr>
                <w:rFonts w:ascii="宋体" w:hAnsi="宋体" w:cs="宋体"/>
                <w:color w:val="auto"/>
                <w:sz w:val="24"/>
                <w:szCs w:val="24"/>
                <w:highlight w:val="none"/>
              </w:rPr>
              <w:t>100</w:t>
            </w:r>
            <w:r>
              <w:rPr>
                <w:rFonts w:hint="eastAsia" w:ascii="宋体" w:hAnsi="宋体" w:cs="宋体"/>
                <w:color w:val="auto"/>
                <w:sz w:val="24"/>
                <w:szCs w:val="24"/>
                <w:highlight w:val="none"/>
              </w:rPr>
              <w:t>℃。</w:t>
            </w:r>
          </w:p>
          <w:p w14:paraId="2360F208">
            <w:pPr>
              <w:snapToGrid w:val="0"/>
              <w:spacing w:line="360" w:lineRule="exact"/>
              <w:rPr>
                <w:rFonts w:ascii="宋体" w:hAnsi="宋体" w:cs="宋体"/>
                <w:color w:val="auto"/>
                <w:sz w:val="24"/>
                <w:szCs w:val="24"/>
                <w:highlight w:val="none"/>
              </w:rPr>
            </w:pPr>
            <w:r>
              <w:rPr>
                <w:rFonts w:hint="eastAsia"/>
                <w:b w:val="0"/>
                <w:bCs/>
                <w:color w:val="auto"/>
                <w:sz w:val="24"/>
                <w:szCs w:val="24"/>
                <w:highlight w:val="none"/>
              </w:rPr>
              <w:t>（</w:t>
            </w:r>
            <w:r>
              <w:rPr>
                <w:b w:val="0"/>
                <w:bCs/>
                <w:color w:val="auto"/>
                <w:sz w:val="24"/>
                <w:szCs w:val="24"/>
                <w:highlight w:val="none"/>
              </w:rPr>
              <w:t>2</w:t>
            </w:r>
            <w:r>
              <w:rPr>
                <w:rFonts w:hint="eastAsia"/>
                <w:b w:val="0"/>
                <w:bCs/>
                <w:color w:val="auto"/>
                <w:sz w:val="24"/>
                <w:szCs w:val="24"/>
                <w:highlight w:val="none"/>
              </w:rPr>
              <w:t>）</w:t>
            </w:r>
            <w:r>
              <w:rPr>
                <w:rFonts w:hint="eastAsia" w:ascii="宋体" w:hAnsi="宋体" w:cs="宋体"/>
                <w:color w:val="auto"/>
                <w:sz w:val="24"/>
                <w:szCs w:val="24"/>
                <w:highlight w:val="none"/>
              </w:rPr>
              <w:t>准确度：折光率±0.0003；Brix±0.2°，温度±0.5℃。</w:t>
            </w:r>
          </w:p>
        </w:tc>
      </w:tr>
      <w:tr w14:paraId="33670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8DE2690">
            <w:pPr>
              <w:pStyle w:val="22"/>
              <w:snapToGrid w:val="0"/>
              <w:spacing w:line="360" w:lineRule="exact"/>
              <w:ind w:left="57" w:firstLine="0" w:firstLineChars="0"/>
              <w:jc w:val="center"/>
              <w:rPr>
                <w:rFonts w:cs="宋体"/>
                <w:color w:val="auto"/>
                <w:sz w:val="24"/>
                <w:szCs w:val="24"/>
                <w:highlight w:val="none"/>
              </w:rPr>
            </w:pPr>
            <w:r>
              <w:rPr>
                <w:rFonts w:cs="宋体"/>
                <w:color w:val="auto"/>
                <w:sz w:val="24"/>
                <w:szCs w:val="24"/>
                <w:highlight w:val="none"/>
              </w:rPr>
              <w:t>1</w:t>
            </w:r>
            <w:r>
              <w:rPr>
                <w:rFonts w:hint="eastAsia" w:cs="宋体"/>
                <w:color w:val="auto"/>
                <w:sz w:val="24"/>
                <w:szCs w:val="24"/>
                <w:highlight w:val="none"/>
                <w:lang w:val="en-US" w:eastAsia="zh-CN"/>
              </w:rPr>
              <w:t>7</w:t>
            </w:r>
          </w:p>
        </w:tc>
        <w:tc>
          <w:tcPr>
            <w:tcW w:w="804" w:type="dxa"/>
            <w:tcBorders>
              <w:top w:val="single" w:color="auto" w:sz="4" w:space="0"/>
              <w:left w:val="single" w:color="auto" w:sz="4" w:space="0"/>
              <w:bottom w:val="single" w:color="auto" w:sz="4" w:space="0"/>
              <w:right w:val="single" w:color="auto" w:sz="4" w:space="0"/>
            </w:tcBorders>
            <w:vAlign w:val="center"/>
          </w:tcPr>
          <w:p w14:paraId="04B83489">
            <w:pPr>
              <w:snapToGrid w:val="0"/>
              <w:spacing w:line="360" w:lineRule="exact"/>
              <w:jc w:val="center"/>
              <w:rPr>
                <w:rFonts w:ascii="宋体" w:hAnsi="宋体" w:cs="宋体"/>
                <w:color w:val="auto"/>
                <w:sz w:val="24"/>
                <w:szCs w:val="24"/>
                <w:highlight w:val="none"/>
              </w:rPr>
            </w:pPr>
            <w:r>
              <w:rPr>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E2493D6">
            <w:pPr>
              <w:tabs>
                <w:tab w:val="left" w:pos="1800"/>
              </w:tabs>
              <w:snapToGrid w:val="0"/>
              <w:spacing w:line="360" w:lineRule="exact"/>
              <w:rPr>
                <w:rFonts w:ascii="宋体" w:hAns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w:t>
            </w:r>
            <w:r>
              <w:rPr>
                <w:rFonts w:hint="eastAsia" w:ascii="宋体" w:hAnsi="宋体" w:cs="宋体"/>
                <w:b w:val="0"/>
                <w:bCs/>
                <w:color w:val="auto"/>
                <w:sz w:val="24"/>
                <w:szCs w:val="24"/>
                <w:highlight w:val="none"/>
              </w:rPr>
              <w:t>折光率测定功能可</w:t>
            </w:r>
            <w:r>
              <w:rPr>
                <w:rFonts w:hint="eastAsia"/>
                <w:color w:val="auto"/>
                <w:sz w:val="24"/>
                <w:szCs w:val="24"/>
                <w:highlight w:val="none"/>
              </w:rPr>
              <w:t>满足盐分含量、麦芽汁浓度和饮料糖分等测定；所需样品量</w:t>
            </w:r>
            <w:r>
              <w:rPr>
                <w:rFonts w:hint="eastAsia" w:ascii="宋体" w:hAnsi="宋体"/>
                <w:color w:val="auto"/>
                <w:sz w:val="24"/>
                <w:szCs w:val="24"/>
                <w:highlight w:val="none"/>
              </w:rPr>
              <w:t>≤</w:t>
            </w:r>
            <w:r>
              <w:rPr>
                <w:color w:val="auto"/>
                <w:sz w:val="24"/>
                <w:szCs w:val="24"/>
                <w:highlight w:val="none"/>
              </w:rPr>
              <w:t>0.4 mL</w:t>
            </w:r>
            <w:r>
              <w:rPr>
                <w:rFonts w:hint="eastAsia"/>
                <w:color w:val="auto"/>
                <w:sz w:val="24"/>
                <w:szCs w:val="24"/>
                <w:highlight w:val="none"/>
              </w:rPr>
              <w:t>；测定结果可蓝牙传输到手机</w:t>
            </w:r>
            <w:r>
              <w:rPr>
                <w:color w:val="auto"/>
                <w:sz w:val="24"/>
                <w:szCs w:val="24"/>
                <w:highlight w:val="none"/>
              </w:rPr>
              <w:t>APP</w:t>
            </w:r>
            <w:r>
              <w:rPr>
                <w:rFonts w:hint="eastAsia"/>
                <w:color w:val="auto"/>
                <w:sz w:val="24"/>
                <w:szCs w:val="24"/>
                <w:highlight w:val="none"/>
              </w:rPr>
              <w:t>进行查看分析。</w:t>
            </w:r>
          </w:p>
        </w:tc>
      </w:tr>
      <w:tr w14:paraId="3392A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5567B97">
            <w:pPr>
              <w:pStyle w:val="22"/>
              <w:snapToGrid w:val="0"/>
              <w:spacing w:line="360" w:lineRule="exact"/>
              <w:ind w:left="57" w:firstLine="0" w:firstLineChars="0"/>
              <w:jc w:val="center"/>
              <w:rPr>
                <w:rFonts w:cs="宋体"/>
                <w:color w:val="auto"/>
                <w:sz w:val="24"/>
                <w:szCs w:val="24"/>
                <w:highlight w:val="none"/>
              </w:rPr>
            </w:pPr>
            <w:r>
              <w:rPr>
                <w:rFonts w:hint="eastAsia" w:cs="宋体"/>
                <w:color w:val="auto"/>
                <w:sz w:val="24"/>
                <w:szCs w:val="24"/>
                <w:highlight w:val="none"/>
                <w:lang w:val="en-US" w:eastAsia="zh-CN"/>
              </w:rPr>
              <w:t>18</w:t>
            </w:r>
          </w:p>
        </w:tc>
        <w:tc>
          <w:tcPr>
            <w:tcW w:w="804" w:type="dxa"/>
            <w:tcBorders>
              <w:top w:val="single" w:color="auto" w:sz="4" w:space="0"/>
              <w:left w:val="single" w:color="auto" w:sz="4" w:space="0"/>
              <w:bottom w:val="single" w:color="auto" w:sz="4" w:space="0"/>
              <w:right w:val="single" w:color="auto" w:sz="4" w:space="0"/>
            </w:tcBorders>
            <w:vAlign w:val="center"/>
          </w:tcPr>
          <w:p w14:paraId="0B5020C3">
            <w:pPr>
              <w:snapToGrid w:val="0"/>
              <w:spacing w:line="360" w:lineRule="exact"/>
              <w:jc w:val="center"/>
              <w:rPr>
                <w:rFonts w:ascii="宋体" w:hAnsi="宋体" w:cs="宋体"/>
                <w:color w:val="auto"/>
                <w:sz w:val="24"/>
                <w:szCs w:val="24"/>
                <w:highlight w:val="none"/>
              </w:rPr>
            </w:pPr>
            <w:r>
              <w:rPr>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54EC0F8">
            <w:pPr>
              <w:tabs>
                <w:tab w:val="left" w:pos="1800"/>
              </w:tabs>
              <w:snapToGrid w:val="0"/>
              <w:spacing w:line="360" w:lineRule="exact"/>
              <w:rPr>
                <w:b/>
                <w:bCs/>
                <w:color w:val="auto"/>
                <w:sz w:val="24"/>
                <w:szCs w:val="24"/>
                <w:highlight w:val="none"/>
              </w:rPr>
            </w:pPr>
            <w:r>
              <w:rPr>
                <w:rFonts w:hint="eastAsia"/>
                <w:color w:val="auto"/>
                <w:sz w:val="24"/>
                <w:szCs w:val="24"/>
                <w:highlight w:val="none"/>
                <w:lang w:val="en-US" w:eastAsia="zh-CN"/>
              </w:rPr>
              <w:t>18</w:t>
            </w:r>
            <w:r>
              <w:rPr>
                <w:rFonts w:hint="eastAsia"/>
                <w:color w:val="auto"/>
                <w:sz w:val="24"/>
                <w:szCs w:val="24"/>
                <w:highlight w:val="none"/>
              </w:rPr>
              <w:t>.具备捣碎样品功能：转速：0 ~ 20000 rpm；样品杯材质：聚四氟乙烯或316L不锈钢；样品处理体积：100 ~ 1000 mL。</w:t>
            </w:r>
          </w:p>
        </w:tc>
      </w:tr>
      <w:tr w14:paraId="4381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7712D80">
            <w:pPr>
              <w:pStyle w:val="22"/>
              <w:snapToGrid w:val="0"/>
              <w:spacing w:line="360" w:lineRule="exact"/>
              <w:ind w:left="57" w:firstLine="0" w:firstLineChars="0"/>
              <w:jc w:val="center"/>
              <w:rPr>
                <w:rFonts w:hint="default" w:eastAsia="宋体" w:cs="宋体"/>
                <w:color w:val="auto"/>
                <w:sz w:val="24"/>
                <w:szCs w:val="24"/>
                <w:highlight w:val="none"/>
                <w:lang w:val="en-US" w:eastAsia="zh-CN"/>
              </w:rPr>
            </w:pPr>
            <w:r>
              <w:rPr>
                <w:rFonts w:hint="eastAsia" w:cs="宋体"/>
                <w:color w:val="auto"/>
                <w:sz w:val="24"/>
                <w:szCs w:val="24"/>
                <w:highlight w:val="none"/>
                <w:lang w:val="en-US" w:eastAsia="zh-CN"/>
              </w:rPr>
              <w:t>19</w:t>
            </w:r>
          </w:p>
        </w:tc>
        <w:tc>
          <w:tcPr>
            <w:tcW w:w="804" w:type="dxa"/>
            <w:tcBorders>
              <w:top w:val="single" w:color="auto" w:sz="4" w:space="0"/>
              <w:left w:val="single" w:color="auto" w:sz="4" w:space="0"/>
              <w:bottom w:val="single" w:color="auto" w:sz="4" w:space="0"/>
              <w:right w:val="single" w:color="auto" w:sz="4" w:space="0"/>
            </w:tcBorders>
            <w:vAlign w:val="center"/>
          </w:tcPr>
          <w:p w14:paraId="5DBFA1C8">
            <w:pPr>
              <w:snapToGrid w:val="0"/>
              <w:spacing w:line="360" w:lineRule="exact"/>
              <w:jc w:val="center"/>
              <w:rPr>
                <w:rFonts w:ascii="宋体" w:hAnsi="宋体" w:cs="宋体"/>
                <w:color w:val="auto"/>
                <w:sz w:val="24"/>
                <w:szCs w:val="24"/>
                <w:highlight w:val="none"/>
              </w:rPr>
            </w:pPr>
            <w:r>
              <w:rPr>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B64A3BF">
            <w:pPr>
              <w:tabs>
                <w:tab w:val="left" w:pos="1800"/>
              </w:tabs>
              <w:snapToGrid w:val="0"/>
              <w:spacing w:line="360" w:lineRule="exact"/>
              <w:rPr>
                <w:b/>
                <w:bCs/>
                <w:color w:val="auto"/>
                <w:sz w:val="24"/>
                <w:szCs w:val="24"/>
                <w:highlight w:val="none"/>
              </w:rPr>
            </w:pPr>
            <w:r>
              <w:rPr>
                <w:rFonts w:hint="eastAsia"/>
                <w:color w:val="auto"/>
                <w:sz w:val="24"/>
                <w:szCs w:val="24"/>
                <w:highlight w:val="none"/>
                <w:lang w:val="en-US" w:eastAsia="zh-CN"/>
              </w:rPr>
              <w:t>19</w:t>
            </w:r>
            <w:r>
              <w:rPr>
                <w:rFonts w:hint="eastAsia"/>
                <w:color w:val="auto"/>
                <w:sz w:val="24"/>
                <w:szCs w:val="24"/>
                <w:highlight w:val="none"/>
              </w:rPr>
              <w:t>.具备加热搅拌样品功能：最大处理量</w:t>
            </w:r>
            <w:r>
              <w:rPr>
                <w:rFonts w:hint="eastAsia" w:ascii="宋体" w:hAnsi="宋体"/>
                <w:color w:val="auto"/>
                <w:sz w:val="24"/>
                <w:szCs w:val="24"/>
                <w:highlight w:val="none"/>
              </w:rPr>
              <w:t>≥</w:t>
            </w:r>
            <w:r>
              <w:rPr>
                <w:rFonts w:hint="eastAsia"/>
                <w:color w:val="auto"/>
                <w:sz w:val="24"/>
                <w:szCs w:val="24"/>
                <w:highlight w:val="none"/>
              </w:rPr>
              <w:t>15 L；搅拌转速50 ~ 1500 rpm；加热盘材质：铝合金；盘面加热温度范围：RT ~ 300</w:t>
            </w:r>
            <w:r>
              <w:rPr>
                <w:color w:val="auto"/>
                <w:sz w:val="24"/>
                <w:szCs w:val="24"/>
                <w:highlight w:val="none"/>
              </w:rPr>
              <w:t>°</w:t>
            </w:r>
            <w:r>
              <w:rPr>
                <w:rFonts w:hint="eastAsia"/>
                <w:color w:val="auto"/>
                <w:sz w:val="24"/>
                <w:szCs w:val="24"/>
                <w:highlight w:val="none"/>
              </w:rPr>
              <w:t>C；加热功率</w:t>
            </w:r>
            <w:r>
              <w:rPr>
                <w:rFonts w:hint="eastAsia" w:ascii="宋体" w:hAnsi="宋体"/>
                <w:color w:val="auto"/>
                <w:sz w:val="24"/>
                <w:szCs w:val="24"/>
                <w:highlight w:val="none"/>
              </w:rPr>
              <w:t>≥</w:t>
            </w:r>
            <w:r>
              <w:rPr>
                <w:rFonts w:hint="eastAsia"/>
                <w:color w:val="auto"/>
                <w:sz w:val="24"/>
                <w:szCs w:val="24"/>
                <w:highlight w:val="none"/>
              </w:rPr>
              <w:t>600 W；显示屏可显示转速和温度值；加热盘温度高于50</w:t>
            </w:r>
            <w:r>
              <w:rPr>
                <w:color w:val="auto"/>
                <w:sz w:val="24"/>
                <w:szCs w:val="24"/>
                <w:highlight w:val="none"/>
              </w:rPr>
              <w:t>°</w:t>
            </w:r>
            <w:r>
              <w:rPr>
                <w:rFonts w:hint="eastAsia"/>
                <w:color w:val="auto"/>
                <w:sz w:val="24"/>
                <w:szCs w:val="24"/>
                <w:highlight w:val="none"/>
              </w:rPr>
              <w:t>C时会有光学指示器提醒；配备PT1000温度传感器。</w:t>
            </w:r>
          </w:p>
        </w:tc>
      </w:tr>
      <w:tr w14:paraId="577CB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F9B84DB">
            <w:pPr>
              <w:pStyle w:val="22"/>
              <w:snapToGrid w:val="0"/>
              <w:spacing w:line="360" w:lineRule="exact"/>
              <w:ind w:left="57" w:firstLine="0" w:firstLineChars="0"/>
              <w:jc w:val="center"/>
              <w:rPr>
                <w:rFonts w:cs="宋体"/>
                <w:color w:val="auto"/>
                <w:sz w:val="24"/>
                <w:szCs w:val="24"/>
                <w:highlight w:val="none"/>
              </w:rPr>
            </w:pPr>
            <w:r>
              <w:rPr>
                <w:rFonts w:cs="宋体"/>
                <w:color w:val="auto"/>
                <w:sz w:val="24"/>
                <w:szCs w:val="24"/>
                <w:highlight w:val="none"/>
              </w:rPr>
              <w:t>2</w:t>
            </w:r>
            <w:r>
              <w:rPr>
                <w:rFonts w:hint="eastAsia" w:cs="宋体"/>
                <w:color w:val="auto"/>
                <w:sz w:val="24"/>
                <w:szCs w:val="24"/>
                <w:highlight w:val="none"/>
                <w:lang w:val="en-US" w:eastAsia="zh-CN"/>
              </w:rPr>
              <w:t>0</w:t>
            </w:r>
          </w:p>
        </w:tc>
        <w:tc>
          <w:tcPr>
            <w:tcW w:w="804" w:type="dxa"/>
            <w:tcBorders>
              <w:top w:val="single" w:color="auto" w:sz="4" w:space="0"/>
              <w:left w:val="single" w:color="auto" w:sz="4" w:space="0"/>
              <w:bottom w:val="single" w:color="auto" w:sz="4" w:space="0"/>
              <w:right w:val="single" w:color="auto" w:sz="4" w:space="0"/>
            </w:tcBorders>
            <w:vAlign w:val="center"/>
          </w:tcPr>
          <w:p w14:paraId="51CA4BE5">
            <w:pPr>
              <w:snapToGrid w:val="0"/>
              <w:spacing w:line="360" w:lineRule="exact"/>
              <w:jc w:val="center"/>
              <w:rPr>
                <w:rFonts w:ascii="宋体" w:hAnsi="宋体" w:cs="宋体"/>
                <w:color w:val="auto"/>
                <w:sz w:val="24"/>
                <w:szCs w:val="24"/>
                <w:highlight w:val="none"/>
              </w:rPr>
            </w:pPr>
            <w:r>
              <w:rPr>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F43226B">
            <w:pPr>
              <w:tabs>
                <w:tab w:val="left" w:pos="1800"/>
              </w:tabs>
              <w:snapToGrid w:val="0"/>
              <w:spacing w:line="360" w:lineRule="exact"/>
              <w:rPr>
                <w:b/>
                <w:bCs/>
                <w:color w:val="auto"/>
                <w:sz w:val="24"/>
                <w:szCs w:val="24"/>
                <w:highlight w:val="none"/>
              </w:rPr>
            </w:pPr>
            <w:r>
              <w:rPr>
                <w:color w:val="auto"/>
                <w:sz w:val="24"/>
                <w:szCs w:val="24"/>
                <w:highlight w:val="none"/>
              </w:rPr>
              <w:t>2</w:t>
            </w:r>
            <w:r>
              <w:rPr>
                <w:rFonts w:hint="eastAsia"/>
                <w:color w:val="auto"/>
                <w:sz w:val="24"/>
                <w:szCs w:val="24"/>
                <w:highlight w:val="none"/>
                <w:lang w:val="en-US" w:eastAsia="zh-CN"/>
              </w:rPr>
              <w:t>0</w:t>
            </w:r>
            <w:r>
              <w:rPr>
                <w:rFonts w:hint="eastAsia"/>
                <w:color w:val="auto"/>
                <w:sz w:val="24"/>
                <w:szCs w:val="24"/>
                <w:highlight w:val="none"/>
              </w:rPr>
              <w:t>.具备定量转移样品功能：手动气体活塞式，双按钮操作；整体可高压灭菌；转移样品量：20 µL、100 µL、1000 µL、5 mL。</w:t>
            </w:r>
          </w:p>
        </w:tc>
      </w:tr>
      <w:tr w14:paraId="685C1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02E9872">
            <w:pPr>
              <w:pStyle w:val="22"/>
              <w:snapToGrid w:val="0"/>
              <w:spacing w:line="360" w:lineRule="exact"/>
              <w:ind w:left="57" w:firstLine="0" w:firstLineChars="0"/>
              <w:jc w:val="center"/>
              <w:rPr>
                <w:rFonts w:cs="宋体"/>
                <w:color w:val="auto"/>
                <w:sz w:val="24"/>
                <w:szCs w:val="24"/>
                <w:highlight w:val="none"/>
              </w:rPr>
            </w:pPr>
            <w:r>
              <w:rPr>
                <w:rFonts w:cs="宋体"/>
                <w:color w:val="auto"/>
                <w:sz w:val="24"/>
                <w:szCs w:val="24"/>
                <w:highlight w:val="none"/>
              </w:rPr>
              <w:t>2</w:t>
            </w:r>
            <w:r>
              <w:rPr>
                <w:rFonts w:hint="eastAsia" w:cs="宋体"/>
                <w:color w:val="auto"/>
                <w:sz w:val="24"/>
                <w:szCs w:val="24"/>
                <w:highlight w:val="none"/>
                <w:lang w:val="en-US" w:eastAsia="zh-CN"/>
              </w:rPr>
              <w:t>1</w:t>
            </w:r>
          </w:p>
        </w:tc>
        <w:tc>
          <w:tcPr>
            <w:tcW w:w="804" w:type="dxa"/>
            <w:tcBorders>
              <w:top w:val="single" w:color="auto" w:sz="4" w:space="0"/>
              <w:left w:val="single" w:color="auto" w:sz="4" w:space="0"/>
              <w:bottom w:val="single" w:color="auto" w:sz="4" w:space="0"/>
              <w:right w:val="single" w:color="auto" w:sz="4" w:space="0"/>
            </w:tcBorders>
            <w:vAlign w:val="center"/>
          </w:tcPr>
          <w:p w14:paraId="063C4630">
            <w:pPr>
              <w:snapToGrid w:val="0"/>
              <w:spacing w:line="360" w:lineRule="exact"/>
              <w:jc w:val="center"/>
              <w:rPr>
                <w:rFonts w:ascii="宋体" w:hAnsi="宋体" w:cs="宋体"/>
                <w:color w:val="auto"/>
                <w:sz w:val="24"/>
                <w:szCs w:val="24"/>
                <w:highlight w:val="none"/>
              </w:rPr>
            </w:pPr>
            <w:r>
              <w:rPr>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B5ED36D">
            <w:pPr>
              <w:tabs>
                <w:tab w:val="left" w:pos="1800"/>
              </w:tabs>
              <w:snapToGrid w:val="0"/>
              <w:spacing w:line="360" w:lineRule="exact"/>
              <w:rPr>
                <w:b/>
                <w:bCs/>
                <w:color w:val="auto"/>
                <w:sz w:val="24"/>
                <w:szCs w:val="24"/>
                <w:highlight w:val="none"/>
              </w:rPr>
            </w:pPr>
            <w:r>
              <w:rPr>
                <w:color w:val="auto"/>
                <w:sz w:val="24"/>
                <w:szCs w:val="24"/>
                <w:highlight w:val="none"/>
              </w:rPr>
              <w:t>2</w:t>
            </w:r>
            <w:r>
              <w:rPr>
                <w:rFonts w:hint="eastAsia"/>
                <w:color w:val="auto"/>
                <w:sz w:val="24"/>
                <w:szCs w:val="24"/>
                <w:highlight w:val="none"/>
                <w:lang w:val="en-US" w:eastAsia="zh-CN"/>
              </w:rPr>
              <w:t>1</w:t>
            </w:r>
            <w:r>
              <w:rPr>
                <w:rFonts w:hint="eastAsia"/>
                <w:color w:val="auto"/>
                <w:sz w:val="24"/>
                <w:szCs w:val="24"/>
                <w:highlight w:val="none"/>
              </w:rPr>
              <w:t>.具有称量样品功能：精度0.001 g，最大称量≥500 g</w:t>
            </w:r>
          </w:p>
        </w:tc>
      </w:tr>
      <w:tr w14:paraId="606F9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142E16A">
            <w:pPr>
              <w:pStyle w:val="22"/>
              <w:snapToGrid w:val="0"/>
              <w:spacing w:line="360" w:lineRule="exact"/>
              <w:ind w:left="57" w:firstLine="0" w:firstLineChars="0"/>
              <w:jc w:val="center"/>
              <w:rPr>
                <w:rFonts w:cs="宋体"/>
                <w:color w:val="auto"/>
                <w:sz w:val="24"/>
                <w:szCs w:val="24"/>
                <w:highlight w:val="none"/>
              </w:rPr>
            </w:pPr>
            <w:r>
              <w:rPr>
                <w:rFonts w:cs="宋体"/>
                <w:color w:val="auto"/>
                <w:sz w:val="24"/>
                <w:szCs w:val="24"/>
                <w:highlight w:val="none"/>
              </w:rPr>
              <w:t>2</w:t>
            </w:r>
            <w:r>
              <w:rPr>
                <w:rFonts w:hint="eastAsia" w:cs="宋体"/>
                <w:color w:val="auto"/>
                <w:sz w:val="24"/>
                <w:szCs w:val="24"/>
                <w:highlight w:val="none"/>
                <w:lang w:val="en-US" w:eastAsia="zh-CN"/>
              </w:rPr>
              <w:t>2</w:t>
            </w:r>
          </w:p>
        </w:tc>
        <w:tc>
          <w:tcPr>
            <w:tcW w:w="804" w:type="dxa"/>
            <w:tcBorders>
              <w:top w:val="single" w:color="auto" w:sz="4" w:space="0"/>
              <w:left w:val="single" w:color="auto" w:sz="4" w:space="0"/>
              <w:bottom w:val="single" w:color="auto" w:sz="4" w:space="0"/>
              <w:right w:val="single" w:color="auto" w:sz="4" w:space="0"/>
            </w:tcBorders>
            <w:vAlign w:val="center"/>
          </w:tcPr>
          <w:p w14:paraId="66165DE7">
            <w:pPr>
              <w:snapToGrid w:val="0"/>
              <w:spacing w:line="360" w:lineRule="exact"/>
              <w:jc w:val="center"/>
              <w:rPr>
                <w:rFonts w:ascii="宋体" w:hAnsi="宋体" w:cs="宋体"/>
                <w:color w:val="auto"/>
                <w:sz w:val="24"/>
                <w:szCs w:val="24"/>
                <w:highlight w:val="none"/>
              </w:rPr>
            </w:pPr>
            <w:r>
              <w:rPr>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7871ACB">
            <w:pPr>
              <w:tabs>
                <w:tab w:val="left" w:pos="1800"/>
              </w:tabs>
              <w:snapToGrid w:val="0"/>
              <w:spacing w:line="360" w:lineRule="exact"/>
              <w:rPr>
                <w:b/>
                <w:bCs/>
                <w:color w:val="auto"/>
                <w:sz w:val="24"/>
                <w:szCs w:val="24"/>
                <w:highlight w:val="none"/>
              </w:rPr>
            </w:pPr>
            <w:r>
              <w:rPr>
                <w:color w:val="auto"/>
                <w:sz w:val="24"/>
                <w:szCs w:val="24"/>
                <w:highlight w:val="none"/>
              </w:rPr>
              <w:t>2</w:t>
            </w:r>
            <w:r>
              <w:rPr>
                <w:rFonts w:hint="eastAsia"/>
                <w:color w:val="auto"/>
                <w:sz w:val="24"/>
                <w:szCs w:val="24"/>
                <w:highlight w:val="none"/>
                <w:lang w:val="en-US" w:eastAsia="zh-CN"/>
              </w:rPr>
              <w:t>2</w:t>
            </w:r>
            <w:r>
              <w:rPr>
                <w:rFonts w:hint="eastAsia"/>
                <w:color w:val="auto"/>
                <w:sz w:val="24"/>
                <w:szCs w:val="24"/>
                <w:highlight w:val="none"/>
              </w:rPr>
              <w:t>.具备样品pH值及mV测定功能：测量范围：pH：-2.00 ~ 16.00 pH，mV：-2000 ~ 2000 mV,温度：-5</w:t>
            </w:r>
            <w:r>
              <w:rPr>
                <w:color w:val="auto"/>
                <w:sz w:val="24"/>
                <w:szCs w:val="24"/>
                <w:highlight w:val="none"/>
              </w:rPr>
              <w:t>°</w:t>
            </w:r>
            <w:r>
              <w:rPr>
                <w:rFonts w:hint="eastAsia"/>
                <w:color w:val="auto"/>
                <w:sz w:val="24"/>
                <w:szCs w:val="24"/>
                <w:highlight w:val="none"/>
              </w:rPr>
              <w:t>C ~ 105</w:t>
            </w:r>
            <w:r>
              <w:rPr>
                <w:color w:val="auto"/>
                <w:sz w:val="24"/>
                <w:szCs w:val="24"/>
                <w:highlight w:val="none"/>
              </w:rPr>
              <w:t>°</w:t>
            </w:r>
            <w:r>
              <w:rPr>
                <w:rFonts w:hint="eastAsia"/>
                <w:color w:val="auto"/>
                <w:sz w:val="24"/>
                <w:szCs w:val="24"/>
                <w:highlight w:val="none"/>
              </w:rPr>
              <w:t>C；自动温度补偿，也可以手动；3点或5点校准，自动校正、自动识别缓冲液，可显示电极状态；含三合一复合pH电极</w:t>
            </w:r>
          </w:p>
        </w:tc>
      </w:tr>
      <w:tr w14:paraId="386A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6CC64CF">
            <w:pPr>
              <w:pStyle w:val="22"/>
              <w:snapToGrid w:val="0"/>
              <w:spacing w:line="360" w:lineRule="exact"/>
              <w:ind w:left="57" w:firstLine="0" w:firstLineChars="0"/>
              <w:jc w:val="center"/>
              <w:rPr>
                <w:rFonts w:cs="宋体"/>
                <w:color w:val="auto"/>
                <w:sz w:val="24"/>
                <w:szCs w:val="24"/>
                <w:highlight w:val="none"/>
              </w:rPr>
            </w:pPr>
            <w:r>
              <w:rPr>
                <w:rFonts w:cs="宋体"/>
                <w:color w:val="auto"/>
                <w:sz w:val="24"/>
                <w:szCs w:val="24"/>
                <w:highlight w:val="none"/>
              </w:rPr>
              <w:t>2</w:t>
            </w:r>
            <w:r>
              <w:rPr>
                <w:rFonts w:hint="eastAsia" w:cs="宋体"/>
                <w:color w:val="auto"/>
                <w:sz w:val="24"/>
                <w:szCs w:val="24"/>
                <w:highlight w:val="none"/>
                <w:lang w:val="en-US" w:eastAsia="zh-CN"/>
              </w:rPr>
              <w:t>3</w:t>
            </w:r>
          </w:p>
        </w:tc>
        <w:tc>
          <w:tcPr>
            <w:tcW w:w="804" w:type="dxa"/>
            <w:tcBorders>
              <w:top w:val="single" w:color="auto" w:sz="4" w:space="0"/>
              <w:left w:val="single" w:color="auto" w:sz="4" w:space="0"/>
              <w:bottom w:val="single" w:color="auto" w:sz="4" w:space="0"/>
              <w:right w:val="single" w:color="auto" w:sz="4" w:space="0"/>
            </w:tcBorders>
            <w:vAlign w:val="center"/>
          </w:tcPr>
          <w:p w14:paraId="1B26383F">
            <w:pPr>
              <w:snapToGrid w:val="0"/>
              <w:spacing w:line="360" w:lineRule="exact"/>
              <w:jc w:val="center"/>
              <w:rPr>
                <w:rFonts w:ascii="宋体" w:hAnsi="宋体" w:cs="宋体"/>
                <w:color w:val="auto"/>
                <w:sz w:val="24"/>
                <w:szCs w:val="24"/>
                <w:highlight w:val="none"/>
              </w:rPr>
            </w:pPr>
            <w:r>
              <w:rPr>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569F935">
            <w:pPr>
              <w:tabs>
                <w:tab w:val="left" w:pos="1800"/>
              </w:tabs>
              <w:snapToGrid w:val="0"/>
              <w:spacing w:line="360" w:lineRule="exact"/>
              <w:rPr>
                <w:b/>
                <w:bCs/>
                <w:color w:val="auto"/>
                <w:sz w:val="24"/>
                <w:szCs w:val="24"/>
                <w:highlight w:val="none"/>
              </w:rPr>
            </w:pPr>
            <w:r>
              <w:rPr>
                <w:color w:val="auto"/>
                <w:sz w:val="24"/>
                <w:szCs w:val="24"/>
                <w:highlight w:val="none"/>
              </w:rPr>
              <w:t>2</w:t>
            </w:r>
            <w:r>
              <w:rPr>
                <w:rFonts w:hint="eastAsia"/>
                <w:color w:val="auto"/>
                <w:sz w:val="24"/>
                <w:szCs w:val="24"/>
                <w:highlight w:val="none"/>
                <w:lang w:val="en-US" w:eastAsia="zh-CN"/>
              </w:rPr>
              <w:t>3</w:t>
            </w:r>
            <w:r>
              <w:rPr>
                <w:rFonts w:hint="eastAsia"/>
                <w:color w:val="auto"/>
                <w:sz w:val="24"/>
                <w:szCs w:val="24"/>
                <w:highlight w:val="none"/>
              </w:rPr>
              <w:t>.具备样品均质分散功能：样品处理量：0.001 ~ 1.5 L；转速4000 ~ 24000 rpm无极可调，LED显示；空载最大噪音</w:t>
            </w:r>
            <w:r>
              <w:rPr>
                <w:rFonts w:hint="eastAsia" w:ascii="宋体" w:hAnsi="宋体"/>
                <w:color w:val="auto"/>
                <w:sz w:val="24"/>
                <w:szCs w:val="24"/>
                <w:highlight w:val="none"/>
              </w:rPr>
              <w:t>≤</w:t>
            </w:r>
            <w:r>
              <w:rPr>
                <w:rFonts w:hint="eastAsia"/>
                <w:color w:val="auto"/>
                <w:sz w:val="24"/>
                <w:szCs w:val="24"/>
                <w:highlight w:val="none"/>
              </w:rPr>
              <w:t>75 dB（A）；含样品分散刀头，刀具杆长度</w:t>
            </w:r>
            <w:r>
              <w:rPr>
                <w:rFonts w:hint="eastAsia" w:ascii="宋体" w:hAnsi="宋体"/>
                <w:color w:val="auto"/>
                <w:sz w:val="24"/>
                <w:szCs w:val="24"/>
                <w:highlight w:val="none"/>
              </w:rPr>
              <w:t>≥</w:t>
            </w:r>
            <w:r>
              <w:rPr>
                <w:rFonts w:hint="eastAsia"/>
                <w:color w:val="auto"/>
                <w:sz w:val="24"/>
                <w:szCs w:val="24"/>
                <w:highlight w:val="none"/>
              </w:rPr>
              <w:t xml:space="preserve"> 20 cm，最大样品处理量为1.5L。</w:t>
            </w:r>
          </w:p>
        </w:tc>
      </w:tr>
      <w:tr w14:paraId="3AE50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FBA2D21">
            <w:pPr>
              <w:pStyle w:val="22"/>
              <w:numPr>
                <w:ilvl w:val="255"/>
                <w:numId w:val="0"/>
              </w:numPr>
              <w:snapToGrid w:val="0"/>
              <w:spacing w:line="360" w:lineRule="exact"/>
              <w:ind w:left="0" w:firstLine="0" w:firstLineChars="0"/>
              <w:jc w:val="center"/>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lang w:val="en-US" w:eastAsia="zh-CN"/>
              </w:rPr>
              <w:t>4</w:t>
            </w:r>
          </w:p>
        </w:tc>
        <w:tc>
          <w:tcPr>
            <w:tcW w:w="804" w:type="dxa"/>
            <w:tcBorders>
              <w:top w:val="single" w:color="auto" w:sz="4" w:space="0"/>
              <w:left w:val="single" w:color="auto" w:sz="4" w:space="0"/>
              <w:bottom w:val="single" w:color="auto" w:sz="4" w:space="0"/>
              <w:right w:val="single" w:color="auto" w:sz="4" w:space="0"/>
            </w:tcBorders>
            <w:vAlign w:val="center"/>
          </w:tcPr>
          <w:p w14:paraId="70ADA979">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9E4AF1F">
            <w:pPr>
              <w:snapToGrid w:val="0"/>
              <w:ind w:firstLineChars="0"/>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.配置要求：</w:t>
            </w:r>
          </w:p>
          <w:p w14:paraId="550CAAD9">
            <w:pPr>
              <w:ind w:firstLineChars="0"/>
              <w:rPr>
                <w:rFonts w:ascii="宋体" w:hAnsi="宋体" w:cs="宋体"/>
                <w:color w:val="auto"/>
                <w:sz w:val="24"/>
                <w:szCs w:val="24"/>
                <w:highlight w:val="none"/>
              </w:rPr>
            </w:pPr>
            <w:r>
              <w:rPr>
                <w:rFonts w:hint="eastAsia"/>
                <w:color w:val="auto"/>
                <w:sz w:val="24"/>
                <w:szCs w:val="24"/>
                <w:highlight w:val="none"/>
              </w:rPr>
              <w:t>饮料分析仪</w:t>
            </w:r>
            <w:r>
              <w:rPr>
                <w:color w:val="auto"/>
                <w:sz w:val="24"/>
                <w:szCs w:val="24"/>
                <w:highlight w:val="none"/>
              </w:rPr>
              <w:t>1</w:t>
            </w:r>
            <w:r>
              <w:rPr>
                <w:rFonts w:hint="eastAsia"/>
                <w:color w:val="auto"/>
                <w:sz w:val="24"/>
                <w:szCs w:val="24"/>
                <w:highlight w:val="none"/>
              </w:rPr>
              <w:t>套（包含酒精含量、粘度、折光率测定和</w:t>
            </w:r>
            <w:r>
              <w:rPr>
                <w:rFonts w:hint="eastAsia"/>
                <w:b/>
                <w:bCs/>
                <w:color w:val="auto"/>
                <w:sz w:val="24"/>
                <w:szCs w:val="24"/>
                <w:highlight w:val="none"/>
              </w:rPr>
              <w:t>饮料样品预处理</w:t>
            </w:r>
            <w:r>
              <w:rPr>
                <w:rFonts w:hint="eastAsia"/>
                <w:color w:val="auto"/>
                <w:sz w:val="24"/>
                <w:szCs w:val="24"/>
                <w:highlight w:val="none"/>
              </w:rPr>
              <w:t>功能）</w:t>
            </w:r>
          </w:p>
        </w:tc>
      </w:tr>
      <w:tr w14:paraId="64F95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C42E146">
            <w:pPr>
              <w:pStyle w:val="22"/>
              <w:spacing w:line="360" w:lineRule="exact"/>
              <w:ind w:left="57" w:firstLine="0" w:firstLineChars="0"/>
              <w:jc w:val="center"/>
              <w:rPr>
                <w:rFonts w:ascii="宋体" w:hAnsi="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07218243">
            <w:pPr>
              <w:snapToGrid w:val="0"/>
              <w:spacing w:line="360" w:lineRule="exact"/>
              <w:jc w:val="center"/>
              <w:rPr>
                <w:rFonts w:ascii="宋体" w:hAnsi="宋体" w:cs="宋体"/>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3540ED8">
            <w:pPr>
              <w:tabs>
                <w:tab w:val="left" w:pos="1800"/>
              </w:tabs>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设备3：实验室超纯水机</w:t>
            </w:r>
          </w:p>
        </w:tc>
      </w:tr>
      <w:tr w14:paraId="07F56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E4015F2">
            <w:pPr>
              <w:pStyle w:val="22"/>
              <w:spacing w:line="360" w:lineRule="exact"/>
              <w:ind w:left="57" w:firstLine="0" w:firstLineChars="0"/>
              <w:jc w:val="center"/>
              <w:rPr>
                <w:rFonts w:ascii="宋体" w:hAnsi="宋体" w:cs="宋体"/>
                <w:b/>
                <w:bCs/>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5AC3729E">
            <w:pPr>
              <w:snapToGrid w:val="0"/>
              <w:spacing w:line="360" w:lineRule="exact"/>
              <w:jc w:val="center"/>
              <w:rPr>
                <w:rFonts w:ascii="宋体" w:hAnsi="宋体" w:cs="宋体"/>
                <w:b/>
                <w:bCs/>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8BFAEC1">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超纯水机系统</w:t>
            </w:r>
          </w:p>
        </w:tc>
      </w:tr>
      <w:tr w14:paraId="75469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2021DB9">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804" w:type="dxa"/>
            <w:tcBorders>
              <w:top w:val="single" w:color="auto" w:sz="4" w:space="0"/>
              <w:left w:val="single" w:color="auto" w:sz="4" w:space="0"/>
              <w:bottom w:val="single" w:color="auto" w:sz="4" w:space="0"/>
              <w:right w:val="single" w:color="auto" w:sz="4" w:space="0"/>
            </w:tcBorders>
            <w:vAlign w:val="center"/>
          </w:tcPr>
          <w:p w14:paraId="26C12EB8">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F36A385">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 该系统由自来水作进水，生产EDI纯水和一级超纯水。纯水产水速度≥15L/hr，电阻率≥5 MΩ·cm @ 25℃，TOC含量≤30 ppb。</w:t>
            </w:r>
          </w:p>
        </w:tc>
      </w:tr>
      <w:tr w14:paraId="4E6CC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D54B94B">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804" w:type="dxa"/>
            <w:tcBorders>
              <w:top w:val="single" w:color="auto" w:sz="4" w:space="0"/>
              <w:left w:val="single" w:color="auto" w:sz="4" w:space="0"/>
              <w:bottom w:val="single" w:color="auto" w:sz="4" w:space="0"/>
              <w:right w:val="single" w:color="auto" w:sz="4" w:space="0"/>
            </w:tcBorders>
            <w:vAlign w:val="center"/>
          </w:tcPr>
          <w:p w14:paraId="19D83B57">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70CFAD3">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 超纯水电阻率≥18.2 MΩ•cm @ 25℃，最大取水流速2L/min，流速可调。</w:t>
            </w:r>
          </w:p>
        </w:tc>
      </w:tr>
      <w:tr w14:paraId="3A7F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A08D73B">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804" w:type="dxa"/>
            <w:tcBorders>
              <w:top w:val="single" w:color="auto" w:sz="4" w:space="0"/>
              <w:left w:val="single" w:color="auto" w:sz="4" w:space="0"/>
              <w:bottom w:val="single" w:color="auto" w:sz="4" w:space="0"/>
              <w:right w:val="single" w:color="auto" w:sz="4" w:space="0"/>
            </w:tcBorders>
            <w:vAlign w:val="center"/>
          </w:tcPr>
          <w:p w14:paraId="727E4934">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894F843">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3. 离子含量：Pb / Hg / Cr / As＜0.01 ug/L 、Mn / Fe / Cu / Zn＜0.01 ug/L、总Si＜10 ug/L、Cl-/F-＜0.5 ug/L。</w:t>
            </w:r>
          </w:p>
        </w:tc>
      </w:tr>
      <w:tr w14:paraId="65040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5E541F0">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804" w:type="dxa"/>
            <w:tcBorders>
              <w:top w:val="single" w:color="auto" w:sz="4" w:space="0"/>
              <w:left w:val="single" w:color="auto" w:sz="4" w:space="0"/>
              <w:bottom w:val="single" w:color="auto" w:sz="4" w:space="0"/>
              <w:right w:val="single" w:color="auto" w:sz="4" w:space="0"/>
            </w:tcBorders>
            <w:vAlign w:val="center"/>
          </w:tcPr>
          <w:p w14:paraId="5C8A1B01">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2F8F996">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4. 总有机碳＜3ppb。在线检测TOC，精度≤0.1ppb。</w:t>
            </w:r>
          </w:p>
        </w:tc>
      </w:tr>
      <w:tr w14:paraId="54106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E7708A1">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804" w:type="dxa"/>
            <w:tcBorders>
              <w:top w:val="single" w:color="auto" w:sz="4" w:space="0"/>
              <w:left w:val="single" w:color="auto" w:sz="4" w:space="0"/>
              <w:bottom w:val="single" w:color="auto" w:sz="4" w:space="0"/>
              <w:right w:val="single" w:color="auto" w:sz="4" w:space="0"/>
            </w:tcBorders>
            <w:vAlign w:val="center"/>
          </w:tcPr>
          <w:p w14:paraId="6B370CEC">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0485520">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5. 颗粒物（≥0.22um）数量：≤1/ml，热源≤0.001 EU/ml。微生物限度≤0.001cfu/ml。</w:t>
            </w:r>
          </w:p>
        </w:tc>
      </w:tr>
      <w:tr w14:paraId="01555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19541CD">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804" w:type="dxa"/>
            <w:tcBorders>
              <w:top w:val="single" w:color="auto" w:sz="4" w:space="0"/>
              <w:left w:val="single" w:color="auto" w:sz="4" w:space="0"/>
              <w:bottom w:val="single" w:color="auto" w:sz="4" w:space="0"/>
              <w:right w:val="single" w:color="auto" w:sz="4" w:space="0"/>
            </w:tcBorders>
            <w:vAlign w:val="center"/>
          </w:tcPr>
          <w:p w14:paraId="573C3862">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75AFAC3">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6. 内置RO柱、EDI模块和纯水管路紫外灯；EDI模块具备防结垢设计，无需软化柱或防毒柱；非双极RO设计；产水流速恒定，不受环境温度影响。</w:t>
            </w:r>
          </w:p>
        </w:tc>
      </w:tr>
      <w:tr w14:paraId="2585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D5EECF7">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804" w:type="dxa"/>
            <w:tcBorders>
              <w:top w:val="single" w:color="auto" w:sz="4" w:space="0"/>
              <w:left w:val="single" w:color="auto" w:sz="4" w:space="0"/>
              <w:bottom w:val="single" w:color="auto" w:sz="4" w:space="0"/>
              <w:right w:val="single" w:color="auto" w:sz="4" w:space="0"/>
            </w:tcBorders>
            <w:vAlign w:val="center"/>
          </w:tcPr>
          <w:p w14:paraId="0ADD297C">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D0E736D">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7. 升级虹膜识别身份验证，进行用水管理及记录。</w:t>
            </w:r>
          </w:p>
        </w:tc>
      </w:tr>
      <w:tr w14:paraId="1F21E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8083DFF">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804" w:type="dxa"/>
            <w:tcBorders>
              <w:top w:val="single" w:color="auto" w:sz="4" w:space="0"/>
              <w:left w:val="single" w:color="auto" w:sz="4" w:space="0"/>
              <w:bottom w:val="single" w:color="auto" w:sz="4" w:space="0"/>
              <w:right w:val="single" w:color="auto" w:sz="4" w:space="0"/>
            </w:tcBorders>
            <w:vAlign w:val="center"/>
          </w:tcPr>
          <w:p w14:paraId="2D089036">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3C2C221">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8. 独立控制屏幕≥8英寸，全触控和可移动设计，多种语言可选。</w:t>
            </w:r>
          </w:p>
        </w:tc>
      </w:tr>
      <w:tr w14:paraId="01B74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5C5234D">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804" w:type="dxa"/>
            <w:tcBorders>
              <w:top w:val="single" w:color="auto" w:sz="4" w:space="0"/>
              <w:left w:val="single" w:color="auto" w:sz="4" w:space="0"/>
              <w:bottom w:val="single" w:color="auto" w:sz="4" w:space="0"/>
              <w:right w:val="single" w:color="auto" w:sz="4" w:space="0"/>
            </w:tcBorders>
            <w:vAlign w:val="center"/>
          </w:tcPr>
          <w:p w14:paraId="1F5DAD3D">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4274AA8">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9. 非压力HDPE材质水箱≥60L液位控制水箱，配置无汞紫外消毒模块；水箱循环模式可自由开启或关闭。</w:t>
            </w:r>
          </w:p>
        </w:tc>
      </w:tr>
      <w:tr w14:paraId="0698D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5F6C0F7">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804" w:type="dxa"/>
            <w:tcBorders>
              <w:top w:val="single" w:color="auto" w:sz="4" w:space="0"/>
              <w:left w:val="single" w:color="auto" w:sz="4" w:space="0"/>
              <w:bottom w:val="single" w:color="auto" w:sz="4" w:space="0"/>
              <w:right w:val="single" w:color="auto" w:sz="4" w:space="0"/>
            </w:tcBorders>
            <w:vAlign w:val="center"/>
          </w:tcPr>
          <w:p w14:paraId="4809C2C6">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F4F79B5">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10. 大容量低TOC型超纯化柱，基础型、深层过滤型、低镁型、低有机物型、低硼型、ICP型等6种不同配方填料的超纯化柱。</w:t>
            </w:r>
          </w:p>
        </w:tc>
      </w:tr>
      <w:tr w14:paraId="3FEB1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D7A7B6D">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804" w:type="dxa"/>
            <w:tcBorders>
              <w:top w:val="single" w:color="auto" w:sz="4" w:space="0"/>
              <w:left w:val="single" w:color="auto" w:sz="4" w:space="0"/>
              <w:bottom w:val="single" w:color="auto" w:sz="4" w:space="0"/>
              <w:right w:val="single" w:color="auto" w:sz="4" w:space="0"/>
            </w:tcBorders>
            <w:vAlign w:val="center"/>
          </w:tcPr>
          <w:p w14:paraId="6568B99D">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8D31674">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11. 配置独立取水器，手柄≥2.4英寸，360°可旋转，上下5档可调。独立可通过无数据线方式与主机通讯连接，系统最多可连接8个以上取水器。</w:t>
            </w:r>
          </w:p>
        </w:tc>
      </w:tr>
      <w:tr w14:paraId="19F1A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705E92DE">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804" w:type="dxa"/>
            <w:tcBorders>
              <w:top w:val="single" w:color="auto" w:sz="4" w:space="0"/>
              <w:left w:val="single" w:color="auto" w:sz="4" w:space="0"/>
              <w:bottom w:val="single" w:color="auto" w:sz="4" w:space="0"/>
              <w:right w:val="single" w:color="auto" w:sz="4" w:space="0"/>
            </w:tcBorders>
            <w:vAlign w:val="center"/>
          </w:tcPr>
          <w:p w14:paraId="7699C540">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B8EE748">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12. 主机盖板采用磁吸式设计，开盖即见纯化柱和紫外灯。可自行更换耗材。</w:t>
            </w:r>
          </w:p>
        </w:tc>
      </w:tr>
      <w:tr w14:paraId="287F0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4385994">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804" w:type="dxa"/>
            <w:tcBorders>
              <w:top w:val="single" w:color="auto" w:sz="4" w:space="0"/>
              <w:left w:val="single" w:color="auto" w:sz="4" w:space="0"/>
              <w:bottom w:val="single" w:color="auto" w:sz="4" w:space="0"/>
              <w:right w:val="single" w:color="auto" w:sz="4" w:space="0"/>
            </w:tcBorders>
            <w:vAlign w:val="center"/>
          </w:tcPr>
          <w:p w14:paraId="55DFF0CE">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0AA6979">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13. 终端过滤器采用聚醚砜囊式过滤器，过滤器通过了完整性测试及细菌（微生物）截留性能测试；流速在6~12L/min之间的情况下过滤量大于12L；细菌挑战结果中，挑战水平大于1×10</w:t>
            </w:r>
            <w:r>
              <w:rPr>
                <w:rFonts w:hint="eastAsia" w:ascii="宋体" w:hAnsi="宋体" w:cs="宋体"/>
                <w:color w:val="auto"/>
                <w:sz w:val="24"/>
                <w:szCs w:val="24"/>
                <w:highlight w:val="none"/>
                <w:vertAlign w:val="superscript"/>
              </w:rPr>
              <w:t>7</w:t>
            </w:r>
            <w:r>
              <w:rPr>
                <w:rFonts w:hint="eastAsia" w:ascii="宋体" w:hAnsi="宋体" w:cs="宋体"/>
                <w:color w:val="auto"/>
                <w:sz w:val="24"/>
                <w:szCs w:val="24"/>
                <w:highlight w:val="none"/>
              </w:rPr>
              <w:t>CFU/cm</w:t>
            </w:r>
            <w:r>
              <w:rPr>
                <w:rFonts w:hint="eastAsia" w:ascii="宋体" w:hAnsi="宋体" w:cs="宋体"/>
                <w:color w:val="auto"/>
                <w:sz w:val="24"/>
                <w:szCs w:val="24"/>
                <w:highlight w:val="none"/>
                <w:vertAlign w:val="superscript"/>
              </w:rPr>
              <w:t>2</w:t>
            </w:r>
            <w:r>
              <w:rPr>
                <w:rFonts w:hint="eastAsia" w:ascii="宋体" w:hAnsi="宋体" w:cs="宋体"/>
                <w:color w:val="auto"/>
                <w:sz w:val="24"/>
                <w:szCs w:val="24"/>
                <w:highlight w:val="none"/>
              </w:rPr>
              <w:t>。</w:t>
            </w:r>
          </w:p>
        </w:tc>
      </w:tr>
      <w:tr w14:paraId="641F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EC881F3">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14</w:t>
            </w:r>
          </w:p>
        </w:tc>
        <w:tc>
          <w:tcPr>
            <w:tcW w:w="804" w:type="dxa"/>
            <w:tcBorders>
              <w:top w:val="single" w:color="auto" w:sz="4" w:space="0"/>
              <w:left w:val="single" w:color="auto" w:sz="4" w:space="0"/>
              <w:bottom w:val="single" w:color="auto" w:sz="4" w:space="0"/>
              <w:right w:val="single" w:color="auto" w:sz="4" w:space="0"/>
            </w:tcBorders>
            <w:vAlign w:val="center"/>
          </w:tcPr>
          <w:p w14:paraId="75AACFEE">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BBB9359">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14. 主机控制基于嵌入式Linux操作系统，满对接实验室信息化管理平台(LIMS系统)，满足高校信息化建设的要求。</w:t>
            </w:r>
          </w:p>
        </w:tc>
      </w:tr>
      <w:tr w14:paraId="4FED9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7FFC39F">
            <w:pPr>
              <w:pStyle w:val="22"/>
              <w:spacing w:line="360" w:lineRule="exact"/>
              <w:ind w:left="57" w:firstLine="0" w:firstLineChars="0"/>
              <w:jc w:val="center"/>
              <w:rPr>
                <w:rFonts w:ascii="宋体" w:hAnsi="宋体" w:cs="宋体"/>
                <w:b/>
                <w:bCs/>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63B832FB">
            <w:pPr>
              <w:snapToGrid w:val="0"/>
              <w:spacing w:line="360" w:lineRule="exact"/>
              <w:jc w:val="center"/>
              <w:rPr>
                <w:rFonts w:ascii="宋体" w:hAnsi="宋体" w:cs="宋体"/>
                <w:b/>
                <w:bCs/>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4224993">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纯水机系统</w:t>
            </w:r>
          </w:p>
        </w:tc>
      </w:tr>
      <w:tr w14:paraId="674CF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4128AB1">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804" w:type="dxa"/>
            <w:tcBorders>
              <w:top w:val="single" w:color="auto" w:sz="4" w:space="0"/>
              <w:left w:val="single" w:color="auto" w:sz="4" w:space="0"/>
              <w:bottom w:val="single" w:color="auto" w:sz="4" w:space="0"/>
              <w:right w:val="single" w:color="auto" w:sz="4" w:space="0"/>
            </w:tcBorders>
            <w:vAlign w:val="center"/>
          </w:tcPr>
          <w:p w14:paraId="617D62BC">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F7FEB98">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15. 该系统由自来水作进水，生产EDI纯水。纯水产水速度≥15L/hr，电阻率≥5 MΩ·cm @ 25℃，TOC含量≤30 ppb。</w:t>
            </w:r>
          </w:p>
        </w:tc>
      </w:tr>
      <w:tr w14:paraId="48E9F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BC2C060">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16</w:t>
            </w:r>
          </w:p>
        </w:tc>
        <w:tc>
          <w:tcPr>
            <w:tcW w:w="804" w:type="dxa"/>
            <w:tcBorders>
              <w:top w:val="single" w:color="auto" w:sz="4" w:space="0"/>
              <w:left w:val="single" w:color="auto" w:sz="4" w:space="0"/>
              <w:bottom w:val="single" w:color="auto" w:sz="4" w:space="0"/>
              <w:right w:val="single" w:color="auto" w:sz="4" w:space="0"/>
            </w:tcBorders>
            <w:vAlign w:val="center"/>
          </w:tcPr>
          <w:p w14:paraId="4E706C81">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6C1A076">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16. 颗粒物（≥0.22um）数量：≤1/ml，热源≤0.001 EU/ml。纯水微生物限度≤0.001cfu/ml。</w:t>
            </w:r>
          </w:p>
        </w:tc>
      </w:tr>
      <w:tr w14:paraId="6BCAD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54AA091">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17</w:t>
            </w:r>
          </w:p>
        </w:tc>
        <w:tc>
          <w:tcPr>
            <w:tcW w:w="804" w:type="dxa"/>
            <w:tcBorders>
              <w:top w:val="single" w:color="auto" w:sz="4" w:space="0"/>
              <w:left w:val="single" w:color="auto" w:sz="4" w:space="0"/>
              <w:bottom w:val="single" w:color="auto" w:sz="4" w:space="0"/>
              <w:right w:val="single" w:color="auto" w:sz="4" w:space="0"/>
            </w:tcBorders>
            <w:vAlign w:val="center"/>
          </w:tcPr>
          <w:p w14:paraId="179E2934">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237C6E0">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17. 内置RO柱、EDI模块和纯水管路紫外灯；EDI模块具备防结垢设计，无需软化柱或防毒柱；非双极RO设计；产水流速恒定，不受环境温度影响。</w:t>
            </w:r>
          </w:p>
        </w:tc>
      </w:tr>
      <w:tr w14:paraId="36F0A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A3FCB38">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18</w:t>
            </w:r>
          </w:p>
        </w:tc>
        <w:tc>
          <w:tcPr>
            <w:tcW w:w="804" w:type="dxa"/>
            <w:tcBorders>
              <w:top w:val="single" w:color="auto" w:sz="4" w:space="0"/>
              <w:left w:val="single" w:color="auto" w:sz="4" w:space="0"/>
              <w:bottom w:val="single" w:color="auto" w:sz="4" w:space="0"/>
              <w:right w:val="single" w:color="auto" w:sz="4" w:space="0"/>
            </w:tcBorders>
            <w:vAlign w:val="center"/>
          </w:tcPr>
          <w:p w14:paraId="4A7143B1">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09F73D7">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18. 可升级虹膜识别身份验证，进行用水管理及记录。</w:t>
            </w:r>
          </w:p>
        </w:tc>
      </w:tr>
      <w:tr w14:paraId="6C22F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2B7DD60">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19</w:t>
            </w:r>
          </w:p>
        </w:tc>
        <w:tc>
          <w:tcPr>
            <w:tcW w:w="804" w:type="dxa"/>
            <w:tcBorders>
              <w:top w:val="single" w:color="auto" w:sz="4" w:space="0"/>
              <w:left w:val="single" w:color="auto" w:sz="4" w:space="0"/>
              <w:bottom w:val="single" w:color="auto" w:sz="4" w:space="0"/>
              <w:right w:val="single" w:color="auto" w:sz="4" w:space="0"/>
            </w:tcBorders>
            <w:vAlign w:val="center"/>
          </w:tcPr>
          <w:p w14:paraId="5FA39298">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AC4A7B7">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19. 独立控制屏幕≥8英寸，全触控和可移动设计,中英文等多种语言可选。</w:t>
            </w:r>
          </w:p>
        </w:tc>
      </w:tr>
      <w:tr w14:paraId="02246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C41C762">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20</w:t>
            </w:r>
          </w:p>
        </w:tc>
        <w:tc>
          <w:tcPr>
            <w:tcW w:w="804" w:type="dxa"/>
            <w:tcBorders>
              <w:top w:val="single" w:color="auto" w:sz="4" w:space="0"/>
              <w:left w:val="single" w:color="auto" w:sz="4" w:space="0"/>
              <w:bottom w:val="single" w:color="auto" w:sz="4" w:space="0"/>
              <w:right w:val="single" w:color="auto" w:sz="4" w:space="0"/>
            </w:tcBorders>
            <w:vAlign w:val="center"/>
          </w:tcPr>
          <w:p w14:paraId="42AE63AA">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06B3930">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20. 非压力HDPE材质水箱≥60L ，一体开模，液位控制水箱，配置无汞紫外消毒模块；液位精度达到1%，液位信息可在主控屏幕和手柄可显示。</w:t>
            </w:r>
          </w:p>
        </w:tc>
      </w:tr>
      <w:tr w14:paraId="6EAB8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1628FEF">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21</w:t>
            </w:r>
          </w:p>
        </w:tc>
        <w:tc>
          <w:tcPr>
            <w:tcW w:w="804" w:type="dxa"/>
            <w:tcBorders>
              <w:top w:val="single" w:color="auto" w:sz="4" w:space="0"/>
              <w:left w:val="single" w:color="auto" w:sz="4" w:space="0"/>
              <w:bottom w:val="single" w:color="auto" w:sz="4" w:space="0"/>
              <w:right w:val="single" w:color="auto" w:sz="4" w:space="0"/>
            </w:tcBorders>
            <w:vAlign w:val="center"/>
          </w:tcPr>
          <w:p w14:paraId="0B050D98">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86ED0AF">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21. 水箱循环升级模块，可根据用户需求开启或关闭水箱循环模式。</w:t>
            </w:r>
          </w:p>
        </w:tc>
      </w:tr>
      <w:tr w14:paraId="5D77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099BE68">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22</w:t>
            </w:r>
          </w:p>
        </w:tc>
        <w:tc>
          <w:tcPr>
            <w:tcW w:w="804" w:type="dxa"/>
            <w:tcBorders>
              <w:top w:val="single" w:color="auto" w:sz="4" w:space="0"/>
              <w:left w:val="single" w:color="auto" w:sz="4" w:space="0"/>
              <w:bottom w:val="single" w:color="auto" w:sz="4" w:space="0"/>
              <w:right w:val="single" w:color="auto" w:sz="4" w:space="0"/>
            </w:tcBorders>
            <w:vAlign w:val="center"/>
          </w:tcPr>
          <w:p w14:paraId="6EAE9882">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9AF2F24">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22. 大容量低TOC型超纯化柱，针对用户特定需求，可选择基础型、深层过滤型、低镁型、低有机物型、低硼型、ICP型等6种不同配方填料的超纯化柱。</w:t>
            </w:r>
          </w:p>
        </w:tc>
      </w:tr>
      <w:tr w14:paraId="33246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C320321">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23</w:t>
            </w:r>
          </w:p>
        </w:tc>
        <w:tc>
          <w:tcPr>
            <w:tcW w:w="804" w:type="dxa"/>
            <w:tcBorders>
              <w:top w:val="single" w:color="auto" w:sz="4" w:space="0"/>
              <w:left w:val="single" w:color="auto" w:sz="4" w:space="0"/>
              <w:bottom w:val="single" w:color="auto" w:sz="4" w:space="0"/>
              <w:right w:val="single" w:color="auto" w:sz="4" w:space="0"/>
            </w:tcBorders>
            <w:vAlign w:val="center"/>
          </w:tcPr>
          <w:p w14:paraId="50B778A4">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1760A00">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23. 与主机独立取水器，手柄显示屏幕≥2.4英寸，360°可旋转，上下5档可调。触摸取水，可通过无数据线方式与主机通讯连接，系统最多可连接8个以上取水器。</w:t>
            </w:r>
          </w:p>
        </w:tc>
      </w:tr>
      <w:tr w14:paraId="2E193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3A5E2E0">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24</w:t>
            </w:r>
          </w:p>
        </w:tc>
        <w:tc>
          <w:tcPr>
            <w:tcW w:w="804" w:type="dxa"/>
            <w:tcBorders>
              <w:top w:val="single" w:color="auto" w:sz="4" w:space="0"/>
              <w:left w:val="single" w:color="auto" w:sz="4" w:space="0"/>
              <w:bottom w:val="single" w:color="auto" w:sz="4" w:space="0"/>
              <w:right w:val="single" w:color="auto" w:sz="4" w:space="0"/>
            </w:tcBorders>
            <w:vAlign w:val="center"/>
          </w:tcPr>
          <w:p w14:paraId="760FCFB9">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B777449">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24. 主机盖板采用磁吸式设计，开盖即见纯化柱和紫外灯。可自行便捷更换。</w:t>
            </w:r>
          </w:p>
        </w:tc>
      </w:tr>
      <w:tr w14:paraId="74B5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47F8E6D">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25</w:t>
            </w:r>
          </w:p>
        </w:tc>
        <w:tc>
          <w:tcPr>
            <w:tcW w:w="804" w:type="dxa"/>
            <w:tcBorders>
              <w:top w:val="single" w:color="auto" w:sz="4" w:space="0"/>
              <w:left w:val="single" w:color="auto" w:sz="4" w:space="0"/>
              <w:bottom w:val="single" w:color="auto" w:sz="4" w:space="0"/>
              <w:right w:val="single" w:color="auto" w:sz="4" w:space="0"/>
            </w:tcBorders>
            <w:vAlign w:val="center"/>
          </w:tcPr>
          <w:p w14:paraId="40E61626">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92DC1F7">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 主机控制基于嵌入式Linux操作系统，对接实验室信息化管理平台（LIMS系统）。</w:t>
            </w:r>
          </w:p>
        </w:tc>
      </w:tr>
      <w:tr w14:paraId="62DEF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3" w:hRule="atLeast"/>
        </w:trPr>
        <w:tc>
          <w:tcPr>
            <w:tcW w:w="796" w:type="dxa"/>
            <w:tcBorders>
              <w:top w:val="single" w:color="auto" w:sz="4" w:space="0"/>
              <w:left w:val="single" w:color="auto" w:sz="4" w:space="0"/>
              <w:bottom w:val="single" w:color="auto" w:sz="4" w:space="0"/>
              <w:right w:val="single" w:color="auto" w:sz="4" w:space="0"/>
            </w:tcBorders>
            <w:vAlign w:val="center"/>
          </w:tcPr>
          <w:p w14:paraId="1F739FE4">
            <w:pPr>
              <w:pStyle w:val="22"/>
              <w:spacing w:line="360" w:lineRule="exact"/>
              <w:ind w:left="57"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26</w:t>
            </w:r>
          </w:p>
        </w:tc>
        <w:tc>
          <w:tcPr>
            <w:tcW w:w="804" w:type="dxa"/>
            <w:tcBorders>
              <w:top w:val="single" w:color="auto" w:sz="4" w:space="0"/>
              <w:left w:val="single" w:color="auto" w:sz="4" w:space="0"/>
              <w:bottom w:val="single" w:color="auto" w:sz="4" w:space="0"/>
              <w:right w:val="single" w:color="auto" w:sz="4" w:space="0"/>
            </w:tcBorders>
            <w:vAlign w:val="center"/>
          </w:tcPr>
          <w:p w14:paraId="505BA37E">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8547A23">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26</w:t>
            </w:r>
            <w:r>
              <w:rPr>
                <w:rFonts w:hint="eastAsia" w:ascii="宋体" w:hAnsi="宋体" w:cs="宋体"/>
                <w:color w:val="auto"/>
                <w:sz w:val="24"/>
                <w:szCs w:val="24"/>
                <w:highlight w:val="none"/>
              </w:rPr>
              <w:t>. 配置清单：</w:t>
            </w:r>
          </w:p>
          <w:p w14:paraId="6BDA88F6">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（1）纯水超纯水仪主机，1台；</w:t>
            </w:r>
          </w:p>
          <w:p w14:paraId="6A0CDF97">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（2）EDI纯水主机，3台；</w:t>
            </w:r>
          </w:p>
          <w:p w14:paraId="2F60F512">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（3）主控屏，4个；</w:t>
            </w:r>
          </w:p>
          <w:p w14:paraId="18C0781C">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（4）超纯水取水手柄，1个；</w:t>
            </w:r>
          </w:p>
          <w:p w14:paraId="7D2701C9">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（5）纯水取水手柄，3个；</w:t>
            </w:r>
          </w:p>
          <w:p w14:paraId="0FBE505B">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（6）水箱 ≥60升水箱（含无极液位），4套；</w:t>
            </w:r>
          </w:p>
          <w:p w14:paraId="06C3809A">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（7）空气过滤器无汞消毒模块，4套；</w:t>
            </w:r>
          </w:p>
          <w:p w14:paraId="1D7008AE">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（8）无汞消毒模块，4套；</w:t>
            </w:r>
          </w:p>
          <w:p w14:paraId="3AB3DFFA">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（9）超纯化柱，1根；</w:t>
            </w:r>
          </w:p>
          <w:p w14:paraId="7BEBBB86">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（10）终端过滤器，1个；</w:t>
            </w:r>
          </w:p>
          <w:p w14:paraId="617387A0">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（11）漏水保护器，4个；</w:t>
            </w:r>
          </w:p>
          <w:p w14:paraId="7BA6CBB4">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（12）清洗柱、清洗药片，1套；</w:t>
            </w:r>
          </w:p>
          <w:p w14:paraId="3EB0ACE8">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（13）预处理柱，8根；</w:t>
            </w:r>
          </w:p>
          <w:p w14:paraId="0C09EE92">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（14）预纯化柱，8根；</w:t>
            </w:r>
          </w:p>
          <w:p w14:paraId="11F462BB">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（15）超纯化柱，1套；</w:t>
            </w:r>
          </w:p>
          <w:p w14:paraId="26C41914">
            <w:pPr>
              <w:snapToGrid/>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（16）脚踏开关，1个；</w:t>
            </w:r>
          </w:p>
        </w:tc>
      </w:tr>
      <w:tr w14:paraId="4D4EC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B18E39F">
            <w:pPr>
              <w:pStyle w:val="22"/>
              <w:spacing w:line="360" w:lineRule="exact"/>
              <w:ind w:left="57" w:firstLine="0" w:firstLineChars="0"/>
              <w:jc w:val="center"/>
              <w:rPr>
                <w:rFonts w:ascii="宋体" w:hAnsi="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4C4E888D">
            <w:pPr>
              <w:snapToGrid w:val="0"/>
              <w:spacing w:line="360" w:lineRule="exact"/>
              <w:jc w:val="center"/>
              <w:rPr>
                <w:rFonts w:ascii="宋体" w:hAnsi="宋体" w:cs="宋体"/>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B41B864">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设备4：超高速冷冻离心系统</w:t>
            </w:r>
          </w:p>
        </w:tc>
      </w:tr>
      <w:tr w14:paraId="63750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B0EEEF2">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804" w:type="dxa"/>
            <w:tcBorders>
              <w:top w:val="single" w:color="auto" w:sz="4" w:space="0"/>
              <w:left w:val="single" w:color="auto" w:sz="4" w:space="0"/>
              <w:bottom w:val="single" w:color="auto" w:sz="4" w:space="0"/>
              <w:right w:val="single" w:color="auto" w:sz="4" w:space="0"/>
            </w:tcBorders>
            <w:vAlign w:val="center"/>
          </w:tcPr>
          <w:p w14:paraId="0F3458C7">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0DFAC9F">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 最高转速：≥29,000 rpm。</w:t>
            </w:r>
          </w:p>
        </w:tc>
      </w:tr>
      <w:tr w14:paraId="45608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EBC0795">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804" w:type="dxa"/>
            <w:tcBorders>
              <w:top w:val="single" w:color="auto" w:sz="4" w:space="0"/>
              <w:left w:val="single" w:color="auto" w:sz="4" w:space="0"/>
              <w:bottom w:val="single" w:color="auto" w:sz="4" w:space="0"/>
              <w:right w:val="single" w:color="auto" w:sz="4" w:space="0"/>
            </w:tcBorders>
            <w:vAlign w:val="center"/>
          </w:tcPr>
          <w:p w14:paraId="6C00394A">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213F7A6">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 最大离心力：≥100,000 ×g。</w:t>
            </w:r>
          </w:p>
        </w:tc>
      </w:tr>
      <w:tr w14:paraId="79D0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685FEEB">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804" w:type="dxa"/>
            <w:tcBorders>
              <w:top w:val="single" w:color="auto" w:sz="4" w:space="0"/>
              <w:left w:val="single" w:color="auto" w:sz="4" w:space="0"/>
              <w:bottom w:val="single" w:color="auto" w:sz="4" w:space="0"/>
              <w:right w:val="single" w:color="auto" w:sz="4" w:space="0"/>
            </w:tcBorders>
            <w:vAlign w:val="center"/>
          </w:tcPr>
          <w:p w14:paraId="634D5AA4">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F175397">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3. 最大容量：≥6×1,000 mL。</w:t>
            </w:r>
          </w:p>
        </w:tc>
      </w:tr>
      <w:tr w14:paraId="05A83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AE42B6B">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804" w:type="dxa"/>
            <w:tcBorders>
              <w:top w:val="single" w:color="auto" w:sz="4" w:space="0"/>
              <w:left w:val="single" w:color="auto" w:sz="4" w:space="0"/>
              <w:bottom w:val="single" w:color="auto" w:sz="4" w:space="0"/>
              <w:right w:val="single" w:color="auto" w:sz="4" w:space="0"/>
            </w:tcBorders>
            <w:vAlign w:val="center"/>
          </w:tcPr>
          <w:p w14:paraId="203C04E5">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8651169">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4. 温度控制范围：-20℃至+40℃，温度控制精度：±2℃，采用天然CO</w:t>
            </w:r>
            <w:r>
              <w:rPr>
                <w:rFonts w:hint="eastAsia" w:ascii="宋体" w:hAnsi="宋体" w:cs="宋体"/>
                <w:color w:val="auto"/>
                <w:sz w:val="24"/>
                <w:szCs w:val="24"/>
                <w:highlight w:val="none"/>
                <w:vertAlign w:val="subscript"/>
              </w:rPr>
              <w:t>2</w:t>
            </w:r>
            <w:r>
              <w:rPr>
                <w:rFonts w:hint="eastAsia" w:ascii="宋体" w:hAnsi="宋体" w:cs="宋体"/>
                <w:color w:val="auto"/>
                <w:sz w:val="24"/>
                <w:szCs w:val="24"/>
                <w:highlight w:val="none"/>
              </w:rPr>
              <w:t>制冷剂，升温潜能值为1。</w:t>
            </w:r>
          </w:p>
        </w:tc>
      </w:tr>
      <w:tr w14:paraId="34C5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0106172">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804" w:type="dxa"/>
            <w:tcBorders>
              <w:top w:val="single" w:color="auto" w:sz="4" w:space="0"/>
              <w:left w:val="single" w:color="auto" w:sz="4" w:space="0"/>
              <w:bottom w:val="single" w:color="auto" w:sz="4" w:space="0"/>
              <w:right w:val="single" w:color="auto" w:sz="4" w:space="0"/>
            </w:tcBorders>
            <w:vAlign w:val="center"/>
          </w:tcPr>
          <w:p w14:paraId="2F239283">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E50221A">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5. 时间控制：0~99小时59分钟，及连续运行。</w:t>
            </w:r>
          </w:p>
        </w:tc>
      </w:tr>
      <w:tr w14:paraId="0A838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FD5F571">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804" w:type="dxa"/>
            <w:tcBorders>
              <w:top w:val="single" w:color="auto" w:sz="4" w:space="0"/>
              <w:left w:val="single" w:color="auto" w:sz="4" w:space="0"/>
              <w:bottom w:val="single" w:color="auto" w:sz="4" w:space="0"/>
              <w:right w:val="single" w:color="auto" w:sz="4" w:space="0"/>
            </w:tcBorders>
            <w:vAlign w:val="center"/>
          </w:tcPr>
          <w:p w14:paraId="424580E0">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3A1425F">
            <w:pPr>
              <w:tabs>
                <w:tab w:val="left" w:pos="1800"/>
              </w:tabs>
              <w:snapToGrid w:val="0"/>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6. 加减速控制：≥9级加速/10级减速，无碳刷大力矩电机</w:t>
            </w:r>
            <w:r>
              <w:rPr>
                <w:rFonts w:hint="eastAsia" w:ascii="宋体" w:hAnsi="宋体" w:cs="宋体"/>
                <w:color w:val="auto"/>
                <w:sz w:val="24"/>
                <w:szCs w:val="24"/>
                <w:highlight w:val="none"/>
                <w:lang w:eastAsia="zh-CN"/>
              </w:rPr>
              <w:t>。</w:t>
            </w:r>
          </w:p>
        </w:tc>
      </w:tr>
      <w:tr w14:paraId="303D5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DA51970">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7</w:t>
            </w:r>
          </w:p>
        </w:tc>
        <w:tc>
          <w:tcPr>
            <w:tcW w:w="804" w:type="dxa"/>
            <w:tcBorders>
              <w:top w:val="single" w:color="auto" w:sz="4" w:space="0"/>
              <w:left w:val="single" w:color="auto" w:sz="4" w:space="0"/>
              <w:bottom w:val="single" w:color="auto" w:sz="4" w:space="0"/>
              <w:right w:val="single" w:color="auto" w:sz="4" w:space="0"/>
            </w:tcBorders>
            <w:vAlign w:val="center"/>
          </w:tcPr>
          <w:p w14:paraId="5111F6EC">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C9905C0">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 具有转头自识别系统</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转头自锁系统</w:t>
            </w:r>
          </w:p>
        </w:tc>
      </w:tr>
      <w:tr w14:paraId="47E6D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76CE4A2">
            <w:pPr>
              <w:pStyle w:val="22"/>
              <w:spacing w:line="360" w:lineRule="exact"/>
              <w:ind w:firstLine="0" w:firstLineChars="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c>
          <w:tcPr>
            <w:tcW w:w="804" w:type="dxa"/>
            <w:tcBorders>
              <w:top w:val="single" w:color="auto" w:sz="4" w:space="0"/>
              <w:left w:val="single" w:color="auto" w:sz="4" w:space="0"/>
              <w:bottom w:val="single" w:color="auto" w:sz="4" w:space="0"/>
              <w:right w:val="single" w:color="auto" w:sz="4" w:space="0"/>
            </w:tcBorders>
            <w:vAlign w:val="center"/>
          </w:tcPr>
          <w:p w14:paraId="5CA9E8E9">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C1B7CB6">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 控制系统：可设定4级用户权限管理，带密码保护功能。</w:t>
            </w:r>
          </w:p>
        </w:tc>
      </w:tr>
      <w:tr w14:paraId="5C554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BAE8D2F">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9</w:t>
            </w:r>
          </w:p>
        </w:tc>
        <w:tc>
          <w:tcPr>
            <w:tcW w:w="804" w:type="dxa"/>
            <w:tcBorders>
              <w:top w:val="single" w:color="auto" w:sz="4" w:space="0"/>
              <w:left w:val="single" w:color="auto" w:sz="4" w:space="0"/>
              <w:bottom w:val="single" w:color="auto" w:sz="4" w:space="0"/>
              <w:right w:val="single" w:color="auto" w:sz="4" w:space="0"/>
            </w:tcBorders>
            <w:vAlign w:val="center"/>
          </w:tcPr>
          <w:p w14:paraId="62EEE90A">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F5ED4FB">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 控温系统：具有预冷系统。</w:t>
            </w:r>
          </w:p>
        </w:tc>
      </w:tr>
      <w:tr w14:paraId="51CA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D88D3E4">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p>
        </w:tc>
        <w:tc>
          <w:tcPr>
            <w:tcW w:w="804" w:type="dxa"/>
            <w:tcBorders>
              <w:top w:val="single" w:color="auto" w:sz="4" w:space="0"/>
              <w:left w:val="single" w:color="auto" w:sz="4" w:space="0"/>
              <w:bottom w:val="single" w:color="auto" w:sz="4" w:space="0"/>
              <w:right w:val="single" w:color="auto" w:sz="4" w:space="0"/>
            </w:tcBorders>
            <w:vAlign w:val="center"/>
          </w:tcPr>
          <w:p w14:paraId="09B44643">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6FEB005">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 具有节能选项，休眠模式。</w:t>
            </w:r>
          </w:p>
        </w:tc>
      </w:tr>
      <w:tr w14:paraId="20922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2AB1A06">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p>
        </w:tc>
        <w:tc>
          <w:tcPr>
            <w:tcW w:w="804" w:type="dxa"/>
            <w:tcBorders>
              <w:top w:val="single" w:color="auto" w:sz="4" w:space="0"/>
              <w:left w:val="single" w:color="auto" w:sz="4" w:space="0"/>
              <w:bottom w:val="single" w:color="auto" w:sz="4" w:space="0"/>
              <w:right w:val="single" w:color="auto" w:sz="4" w:space="0"/>
            </w:tcBorders>
            <w:vAlign w:val="center"/>
          </w:tcPr>
          <w:p w14:paraId="3EEFDFA3">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6E3E60C">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 安全系统：离心机不平衡容忍度可达对位称重的5%。具有超速和超温保护停机功能。</w:t>
            </w:r>
          </w:p>
        </w:tc>
      </w:tr>
      <w:tr w14:paraId="4A04E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C09FBE8">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p>
        </w:tc>
        <w:tc>
          <w:tcPr>
            <w:tcW w:w="804" w:type="dxa"/>
            <w:tcBorders>
              <w:top w:val="single" w:color="auto" w:sz="4" w:space="0"/>
              <w:left w:val="single" w:color="auto" w:sz="4" w:space="0"/>
              <w:bottom w:val="single" w:color="auto" w:sz="4" w:space="0"/>
              <w:right w:val="single" w:color="auto" w:sz="4" w:space="0"/>
            </w:tcBorders>
            <w:vAlign w:val="center"/>
          </w:tcPr>
          <w:p w14:paraId="60B263DD">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B28A9FA">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 无需锚定，简化安装。</w:t>
            </w:r>
          </w:p>
        </w:tc>
      </w:tr>
      <w:tr w14:paraId="23D0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3D67B75">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p>
        </w:tc>
        <w:tc>
          <w:tcPr>
            <w:tcW w:w="804" w:type="dxa"/>
            <w:tcBorders>
              <w:top w:val="single" w:color="auto" w:sz="4" w:space="0"/>
              <w:left w:val="single" w:color="auto" w:sz="4" w:space="0"/>
              <w:bottom w:val="single" w:color="auto" w:sz="4" w:space="0"/>
              <w:right w:val="single" w:color="auto" w:sz="4" w:space="0"/>
            </w:tcBorders>
            <w:vAlign w:val="center"/>
          </w:tcPr>
          <w:p w14:paraId="01DBC36B">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E47948D">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 噪音等级角转头＜57dBA，水平转头＜61 dBA。</w:t>
            </w:r>
          </w:p>
        </w:tc>
      </w:tr>
      <w:tr w14:paraId="5086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B78B4DF">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p>
        </w:tc>
        <w:tc>
          <w:tcPr>
            <w:tcW w:w="804" w:type="dxa"/>
            <w:tcBorders>
              <w:top w:val="single" w:color="auto" w:sz="4" w:space="0"/>
              <w:left w:val="single" w:color="auto" w:sz="4" w:space="0"/>
              <w:bottom w:val="single" w:color="auto" w:sz="4" w:space="0"/>
              <w:right w:val="single" w:color="auto" w:sz="4" w:space="0"/>
            </w:tcBorders>
            <w:vAlign w:val="center"/>
          </w:tcPr>
          <w:p w14:paraId="2671A06B">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C6B9622">
            <w:pPr>
              <w:numPr>
                <w:ilvl w:val="0"/>
                <w:numId w:val="3"/>
              </w:num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转头：碳纤维转头。</w:t>
            </w:r>
          </w:p>
        </w:tc>
      </w:tr>
      <w:tr w14:paraId="1149E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8F06832">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p>
        </w:tc>
        <w:tc>
          <w:tcPr>
            <w:tcW w:w="804" w:type="dxa"/>
            <w:tcBorders>
              <w:top w:val="single" w:color="auto" w:sz="4" w:space="0"/>
              <w:left w:val="single" w:color="auto" w:sz="4" w:space="0"/>
              <w:bottom w:val="single" w:color="auto" w:sz="4" w:space="0"/>
              <w:right w:val="single" w:color="auto" w:sz="4" w:space="0"/>
            </w:tcBorders>
            <w:vAlign w:val="center"/>
          </w:tcPr>
          <w:p w14:paraId="322059CD">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521E369">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 生物安全转头及制药等级的样品分离袋。</w:t>
            </w:r>
          </w:p>
        </w:tc>
      </w:tr>
      <w:tr w14:paraId="5BB5E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E770FE7">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p>
        </w:tc>
        <w:tc>
          <w:tcPr>
            <w:tcW w:w="804" w:type="dxa"/>
            <w:tcBorders>
              <w:top w:val="single" w:color="auto" w:sz="4" w:space="0"/>
              <w:left w:val="single" w:color="auto" w:sz="4" w:space="0"/>
              <w:bottom w:val="single" w:color="auto" w:sz="4" w:space="0"/>
              <w:right w:val="single" w:color="auto" w:sz="4" w:space="0"/>
            </w:tcBorders>
            <w:vAlign w:val="center"/>
          </w:tcPr>
          <w:p w14:paraId="55E0A7F6">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5B7CFC0">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 具有自动开门功能。</w:t>
            </w:r>
          </w:p>
        </w:tc>
      </w:tr>
      <w:tr w14:paraId="37FA2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830FFD0">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p>
        </w:tc>
        <w:tc>
          <w:tcPr>
            <w:tcW w:w="804" w:type="dxa"/>
            <w:tcBorders>
              <w:top w:val="single" w:color="auto" w:sz="4" w:space="0"/>
              <w:left w:val="single" w:color="auto" w:sz="4" w:space="0"/>
              <w:bottom w:val="single" w:color="auto" w:sz="4" w:space="0"/>
              <w:right w:val="single" w:color="auto" w:sz="4" w:space="0"/>
            </w:tcBorders>
            <w:vAlign w:val="center"/>
          </w:tcPr>
          <w:p w14:paraId="3EEE8EE0">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447CF5D">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 具有离心腔智能真空系统，高速离心时可去除离心腔内80%的空气。</w:t>
            </w:r>
          </w:p>
        </w:tc>
      </w:tr>
      <w:tr w14:paraId="7676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F153745">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18</w:t>
            </w:r>
          </w:p>
        </w:tc>
        <w:tc>
          <w:tcPr>
            <w:tcW w:w="804" w:type="dxa"/>
            <w:tcBorders>
              <w:top w:val="single" w:color="auto" w:sz="4" w:space="0"/>
              <w:left w:val="single" w:color="auto" w:sz="4" w:space="0"/>
              <w:bottom w:val="single" w:color="auto" w:sz="4" w:space="0"/>
              <w:right w:val="single" w:color="auto" w:sz="4" w:space="0"/>
            </w:tcBorders>
            <w:vAlign w:val="center"/>
          </w:tcPr>
          <w:p w14:paraId="4A6D2289">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9A68F56">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 配置清单：</w:t>
            </w:r>
          </w:p>
          <w:p w14:paraId="03EDA475">
            <w:pPr>
              <w:pStyle w:val="22"/>
              <w:numPr>
                <w:ilvl w:val="-1"/>
                <w:numId w:val="0"/>
              </w:numPr>
              <w:tabs>
                <w:tab w:val="left" w:pos="1800"/>
              </w:tabs>
              <w:snapToGrid w:val="0"/>
              <w:spacing w:line="36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超高速离心机主机1台；</w:t>
            </w:r>
          </w:p>
          <w:p w14:paraId="228F2D62">
            <w:pPr>
              <w:pStyle w:val="22"/>
              <w:numPr>
                <w:ilvl w:val="-1"/>
                <w:numId w:val="0"/>
              </w:numPr>
              <w:tabs>
                <w:tab w:val="left" w:pos="1800"/>
              </w:tabs>
              <w:snapToGrid w:val="0"/>
              <w:spacing w:line="36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8×50 ml 角转头1个（最大转速≥27000rpm，最大离心力≥87000xg）；</w:t>
            </w:r>
          </w:p>
          <w:p w14:paraId="0F11592B">
            <w:pPr>
              <w:pStyle w:val="22"/>
              <w:numPr>
                <w:ilvl w:val="-1"/>
                <w:numId w:val="0"/>
              </w:numPr>
              <w:tabs>
                <w:tab w:val="left" w:pos="1800"/>
              </w:tabs>
              <w:snapToGrid w:val="0"/>
              <w:spacing w:line="360" w:lineRule="exact"/>
              <w:ind w:left="0" w:firstLine="0" w:firstLineChars="0"/>
              <w:rPr>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15ml角转头适配器 1套；</w:t>
            </w:r>
          </w:p>
          <w:p w14:paraId="77A520B6">
            <w:pPr>
              <w:pStyle w:val="22"/>
              <w:numPr>
                <w:ilvl w:val="-1"/>
                <w:numId w:val="0"/>
              </w:numPr>
              <w:tabs>
                <w:tab w:val="left" w:pos="1800"/>
              </w:tabs>
              <w:snapToGrid w:val="0"/>
              <w:spacing w:line="36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48×1.5ml角转头 1个 （最大转速≥23000rpm，最大离心力≥57000xg）；</w:t>
            </w:r>
          </w:p>
          <w:p w14:paraId="16812E21">
            <w:pPr>
              <w:pStyle w:val="22"/>
              <w:numPr>
                <w:ilvl w:val="-1"/>
                <w:numId w:val="0"/>
              </w:numPr>
              <w:tabs>
                <w:tab w:val="left" w:pos="1800"/>
              </w:tabs>
              <w:snapToGrid w:val="0"/>
              <w:spacing w:line="360" w:lineRule="exact"/>
              <w:ind w:left="0" w:firstLine="0" w:firstLineChars="0"/>
              <w:rPr>
                <w:rFonts w:ascii="宋体" w:hAnsi="宋体" w:cs="宋体"/>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5</w:t>
            </w:r>
            <w:r>
              <w:rPr>
                <w:rFonts w:hint="eastAsia"/>
                <w:color w:val="auto"/>
                <w:sz w:val="24"/>
                <w:szCs w:val="24"/>
                <w:highlight w:val="none"/>
                <w:lang w:eastAsia="zh-CN"/>
              </w:rPr>
              <w:t>）</w:t>
            </w:r>
            <w:r>
              <w:rPr>
                <w:rFonts w:hint="eastAsia" w:ascii="宋体" w:hAnsi="宋体" w:cs="宋体"/>
                <w:color w:val="auto"/>
                <w:sz w:val="24"/>
                <w:szCs w:val="24"/>
                <w:highlight w:val="none"/>
              </w:rPr>
              <w:t>与所有转子适配的同一品牌专用离心管 1套；</w:t>
            </w:r>
          </w:p>
        </w:tc>
      </w:tr>
      <w:tr w14:paraId="46570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E666A2D">
            <w:pPr>
              <w:pStyle w:val="22"/>
              <w:spacing w:line="360" w:lineRule="exact"/>
              <w:ind w:firstLine="0" w:firstLineChars="0"/>
              <w:jc w:val="center"/>
              <w:rPr>
                <w:rFonts w:ascii="宋体" w:hAnsi="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26F8295F">
            <w:pPr>
              <w:snapToGrid w:val="0"/>
              <w:spacing w:line="360" w:lineRule="exact"/>
              <w:jc w:val="center"/>
              <w:rPr>
                <w:rFonts w:ascii="宋体" w:hAnsi="宋体" w:cs="宋体"/>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00F1A42">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设备5：冷冻干燥机</w:t>
            </w:r>
          </w:p>
        </w:tc>
      </w:tr>
      <w:tr w14:paraId="4DD87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53BCF39">
            <w:pPr>
              <w:pStyle w:val="22"/>
              <w:spacing w:line="360" w:lineRule="exact"/>
              <w:ind w:firstLine="0" w:firstLineChars="0"/>
              <w:jc w:val="center"/>
              <w:rPr>
                <w:rFonts w:ascii="宋体" w:hAnsi="宋体" w:cs="宋体"/>
                <w:b/>
                <w:bCs/>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603473B9">
            <w:pPr>
              <w:snapToGrid w:val="0"/>
              <w:spacing w:line="360" w:lineRule="exact"/>
              <w:jc w:val="center"/>
              <w:rPr>
                <w:rFonts w:ascii="宋体" w:hAnsi="宋体" w:cs="宋体"/>
                <w:b/>
                <w:bCs/>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1C97296">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主机系统</w:t>
            </w:r>
          </w:p>
        </w:tc>
      </w:tr>
      <w:tr w14:paraId="1091A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15C1A0E">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804" w:type="dxa"/>
            <w:tcBorders>
              <w:top w:val="single" w:color="auto" w:sz="4" w:space="0"/>
              <w:left w:val="single" w:color="auto" w:sz="4" w:space="0"/>
              <w:bottom w:val="single" w:color="auto" w:sz="4" w:space="0"/>
              <w:right w:val="single" w:color="auto" w:sz="4" w:space="0"/>
            </w:tcBorders>
            <w:vAlign w:val="center"/>
          </w:tcPr>
          <w:p w14:paraId="4EF546BF">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4310652">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 冷阱温度≤-85℃，冷阱腔和冷凝盘管耐腐蚀，满足水溶液样品和有机溶剂样品的高效冻干；冷凝器最大捕冰能力≥3kg，冷凝效率≥2.5kg/24h；真空度≤0.04mbar。</w:t>
            </w:r>
          </w:p>
        </w:tc>
      </w:tr>
      <w:tr w14:paraId="15559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187A05B">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804" w:type="dxa"/>
            <w:tcBorders>
              <w:top w:val="single" w:color="auto" w:sz="4" w:space="0"/>
              <w:left w:val="single" w:color="auto" w:sz="4" w:space="0"/>
              <w:bottom w:val="single" w:color="auto" w:sz="4" w:space="0"/>
              <w:right w:val="single" w:color="auto" w:sz="4" w:space="0"/>
            </w:tcBorders>
            <w:vAlign w:val="center"/>
          </w:tcPr>
          <w:p w14:paraId="37D0FE29">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11D3E8E">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 触屏控制面板，能实时显示温度、干燥时间、真空度等主要参数及设备运行示意图。</w:t>
            </w:r>
          </w:p>
        </w:tc>
      </w:tr>
      <w:tr w14:paraId="0B32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E42973E">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804" w:type="dxa"/>
            <w:tcBorders>
              <w:top w:val="single" w:color="auto" w:sz="4" w:space="0"/>
              <w:left w:val="single" w:color="auto" w:sz="4" w:space="0"/>
              <w:bottom w:val="single" w:color="auto" w:sz="4" w:space="0"/>
              <w:right w:val="single" w:color="auto" w:sz="4" w:space="0"/>
            </w:tcBorders>
            <w:vAlign w:val="center"/>
          </w:tcPr>
          <w:p w14:paraId="159214A0">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A818BBF">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3. 冷凝器直径≥300 mm，制冷功率≥1.1kw，冷阱降温速度快。</w:t>
            </w:r>
          </w:p>
        </w:tc>
      </w:tr>
      <w:tr w14:paraId="4BDD3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DEBB722">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804" w:type="dxa"/>
            <w:tcBorders>
              <w:top w:val="single" w:color="auto" w:sz="4" w:space="0"/>
              <w:left w:val="single" w:color="auto" w:sz="4" w:space="0"/>
              <w:bottom w:val="single" w:color="auto" w:sz="4" w:space="0"/>
              <w:right w:val="single" w:color="auto" w:sz="4" w:space="0"/>
            </w:tcBorders>
            <w:vAlign w:val="center"/>
          </w:tcPr>
          <w:p w14:paraId="38E2DFEF">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2AFD676">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4. 超低噪音，设备具有过载和故障自动报警功能。</w:t>
            </w:r>
          </w:p>
        </w:tc>
      </w:tr>
      <w:tr w14:paraId="79228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0C14468">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804" w:type="dxa"/>
            <w:tcBorders>
              <w:top w:val="single" w:color="auto" w:sz="4" w:space="0"/>
              <w:left w:val="single" w:color="auto" w:sz="4" w:space="0"/>
              <w:bottom w:val="single" w:color="auto" w:sz="4" w:space="0"/>
              <w:right w:val="single" w:color="auto" w:sz="4" w:space="0"/>
            </w:tcBorders>
            <w:vAlign w:val="center"/>
          </w:tcPr>
          <w:p w14:paraId="3FE57239">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4F18C6C">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5. 冷凝盘管为外置式，避免长期与试剂接触，延长寿命。</w:t>
            </w:r>
          </w:p>
        </w:tc>
      </w:tr>
      <w:tr w14:paraId="0B602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1C84C27">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804" w:type="dxa"/>
            <w:tcBorders>
              <w:top w:val="single" w:color="auto" w:sz="4" w:space="0"/>
              <w:left w:val="single" w:color="auto" w:sz="4" w:space="0"/>
              <w:bottom w:val="single" w:color="auto" w:sz="4" w:space="0"/>
              <w:right w:val="single" w:color="auto" w:sz="4" w:space="0"/>
            </w:tcBorders>
            <w:vAlign w:val="center"/>
          </w:tcPr>
          <w:p w14:paraId="101A21C6">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3FB9100E">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6. 配置高真空控制电磁阀，能实现全自动对腔体真空的高精度控制。</w:t>
            </w:r>
          </w:p>
        </w:tc>
      </w:tr>
      <w:tr w14:paraId="52235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112AC6E">
            <w:pPr>
              <w:pStyle w:val="22"/>
              <w:spacing w:line="360" w:lineRule="exact"/>
              <w:ind w:firstLine="0" w:firstLineChars="0"/>
              <w:jc w:val="center"/>
              <w:rPr>
                <w:rFonts w:ascii="宋体" w:hAnsi="宋体" w:cs="宋体"/>
                <w:b/>
                <w:bCs/>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159F0728">
            <w:pPr>
              <w:snapToGrid w:val="0"/>
              <w:spacing w:line="360" w:lineRule="exact"/>
              <w:jc w:val="center"/>
              <w:rPr>
                <w:rFonts w:ascii="宋体" w:hAnsi="宋体" w:cs="宋体"/>
                <w:b/>
                <w:bCs/>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5CDEF67">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真空系统</w:t>
            </w:r>
          </w:p>
        </w:tc>
      </w:tr>
      <w:tr w14:paraId="5E2F6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45FCA8D">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804" w:type="dxa"/>
            <w:tcBorders>
              <w:top w:val="single" w:color="auto" w:sz="4" w:space="0"/>
              <w:left w:val="single" w:color="auto" w:sz="4" w:space="0"/>
              <w:bottom w:val="single" w:color="auto" w:sz="4" w:space="0"/>
              <w:right w:val="single" w:color="auto" w:sz="4" w:space="0"/>
            </w:tcBorders>
            <w:vAlign w:val="center"/>
          </w:tcPr>
          <w:p w14:paraId="3A0EBC0C">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D2F7847">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7. 配置耐化学腐蚀的高级真空泵，少维护，适用于水及有机溶剂冻干。</w:t>
            </w:r>
          </w:p>
        </w:tc>
      </w:tr>
      <w:tr w14:paraId="2668B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29EAEF0">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804" w:type="dxa"/>
            <w:tcBorders>
              <w:top w:val="single" w:color="auto" w:sz="4" w:space="0"/>
              <w:left w:val="single" w:color="auto" w:sz="4" w:space="0"/>
              <w:bottom w:val="single" w:color="auto" w:sz="4" w:space="0"/>
              <w:right w:val="single" w:color="auto" w:sz="4" w:space="0"/>
            </w:tcBorders>
            <w:vAlign w:val="center"/>
          </w:tcPr>
          <w:p w14:paraId="75AD0BBA">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8488BA2">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8. 极限真空≤0.04mbar，高透亚克力干燥腔体（直径≥290mm），歧管顶盖，含≥8位独立歧管阀，可接冻干瓶。</w:t>
            </w:r>
          </w:p>
        </w:tc>
      </w:tr>
      <w:tr w14:paraId="552B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65A16F8">
            <w:pPr>
              <w:pStyle w:val="22"/>
              <w:spacing w:line="360" w:lineRule="exact"/>
              <w:ind w:firstLine="0" w:firstLineChars="0"/>
              <w:jc w:val="center"/>
              <w:rPr>
                <w:rFonts w:ascii="宋体" w:hAnsi="宋体" w:cs="宋体"/>
                <w:b/>
                <w:bCs/>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3E21605D">
            <w:pPr>
              <w:snapToGrid w:val="0"/>
              <w:spacing w:line="360" w:lineRule="exact"/>
              <w:jc w:val="center"/>
              <w:rPr>
                <w:rFonts w:ascii="宋体" w:hAnsi="宋体" w:cs="宋体"/>
                <w:b/>
                <w:bCs/>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D829EE9">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离心浓缩系统</w:t>
            </w:r>
          </w:p>
        </w:tc>
      </w:tr>
      <w:tr w14:paraId="786AD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0F9C5023">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804" w:type="dxa"/>
            <w:tcBorders>
              <w:top w:val="single" w:color="auto" w:sz="4" w:space="0"/>
              <w:left w:val="single" w:color="auto" w:sz="4" w:space="0"/>
              <w:bottom w:val="single" w:color="auto" w:sz="4" w:space="0"/>
              <w:right w:val="single" w:color="auto" w:sz="4" w:space="0"/>
            </w:tcBorders>
            <w:vAlign w:val="center"/>
          </w:tcPr>
          <w:p w14:paraId="3CF95C7B">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901582E">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9. 温度最低达到-10℃~+4℃，温度最高达到80℃~100℃，温控精度±1℃。</w:t>
            </w:r>
          </w:p>
        </w:tc>
      </w:tr>
      <w:tr w14:paraId="18FA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6326DFAA">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804" w:type="dxa"/>
            <w:tcBorders>
              <w:top w:val="single" w:color="auto" w:sz="4" w:space="0"/>
              <w:left w:val="single" w:color="auto" w:sz="4" w:space="0"/>
              <w:bottom w:val="single" w:color="auto" w:sz="4" w:space="0"/>
              <w:right w:val="single" w:color="auto" w:sz="4" w:space="0"/>
            </w:tcBorders>
            <w:vAlign w:val="center"/>
          </w:tcPr>
          <w:p w14:paraId="1BC0BCC8">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6A50E047">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10. 转速200rpm~2000rpm。</w:t>
            </w:r>
          </w:p>
        </w:tc>
      </w:tr>
      <w:tr w14:paraId="7C59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291C6E7">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804" w:type="dxa"/>
            <w:tcBorders>
              <w:top w:val="single" w:color="auto" w:sz="4" w:space="0"/>
              <w:left w:val="single" w:color="auto" w:sz="4" w:space="0"/>
              <w:bottom w:val="single" w:color="auto" w:sz="4" w:space="0"/>
              <w:right w:val="single" w:color="auto" w:sz="4" w:space="0"/>
            </w:tcBorders>
            <w:vAlign w:val="center"/>
          </w:tcPr>
          <w:p w14:paraId="321C8255">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BC4264E">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11. 高清液晶触摸显示屏，可显示转速、温度、真空和运行时间等参数。</w:t>
            </w:r>
          </w:p>
        </w:tc>
      </w:tr>
      <w:tr w14:paraId="771A9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6F578EA">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804" w:type="dxa"/>
            <w:tcBorders>
              <w:top w:val="single" w:color="auto" w:sz="4" w:space="0"/>
              <w:left w:val="single" w:color="auto" w:sz="4" w:space="0"/>
              <w:bottom w:val="single" w:color="auto" w:sz="4" w:space="0"/>
              <w:right w:val="single" w:color="auto" w:sz="4" w:space="0"/>
            </w:tcBorders>
            <w:vAlign w:val="center"/>
          </w:tcPr>
          <w:p w14:paraId="67B5CDCD">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1ECAFAA2">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12. 适用冷阱（≤-65℃）；配置高端真空泵。</w:t>
            </w:r>
          </w:p>
        </w:tc>
      </w:tr>
      <w:tr w14:paraId="7F2ED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61778BC">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804" w:type="dxa"/>
            <w:tcBorders>
              <w:top w:val="single" w:color="auto" w:sz="4" w:space="0"/>
              <w:left w:val="single" w:color="auto" w:sz="4" w:space="0"/>
              <w:bottom w:val="single" w:color="auto" w:sz="4" w:space="0"/>
              <w:right w:val="single" w:color="auto" w:sz="4" w:space="0"/>
            </w:tcBorders>
            <w:vAlign w:val="center"/>
          </w:tcPr>
          <w:p w14:paraId="7DA1F6FA">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07F20E54">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13. 转子有多种选择，可用于1.5ml、5ml和10ml的离心管，及进样瓶。</w:t>
            </w:r>
          </w:p>
        </w:tc>
      </w:tr>
      <w:tr w14:paraId="146BF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27EECDC1">
            <w:pPr>
              <w:pStyle w:val="22"/>
              <w:spacing w:line="360" w:lineRule="exact"/>
              <w:ind w:firstLine="0" w:firstLineChars="0"/>
              <w:jc w:val="center"/>
              <w:rPr>
                <w:rFonts w:ascii="宋体" w:hAnsi="宋体" w:cs="宋体"/>
                <w:b/>
                <w:bCs/>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56970A8C">
            <w:pPr>
              <w:snapToGrid w:val="0"/>
              <w:spacing w:line="360" w:lineRule="exact"/>
              <w:jc w:val="center"/>
              <w:rPr>
                <w:rFonts w:ascii="宋体" w:hAnsi="宋体" w:cs="宋体"/>
                <w:b/>
                <w:bCs/>
                <w:color w:val="auto"/>
                <w:sz w:val="24"/>
                <w:szCs w:val="24"/>
                <w:highlight w:val="none"/>
              </w:rPr>
            </w:pP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5D9A5A68">
            <w:pPr>
              <w:tabs>
                <w:tab w:val="left" w:pos="1800"/>
              </w:tabs>
              <w:snapToGrid w:val="0"/>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附件系统</w:t>
            </w:r>
          </w:p>
        </w:tc>
      </w:tr>
      <w:tr w14:paraId="6D86C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30788441">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14</w:t>
            </w:r>
          </w:p>
        </w:tc>
        <w:tc>
          <w:tcPr>
            <w:tcW w:w="804" w:type="dxa"/>
            <w:tcBorders>
              <w:top w:val="single" w:color="auto" w:sz="4" w:space="0"/>
              <w:left w:val="single" w:color="auto" w:sz="4" w:space="0"/>
              <w:bottom w:val="single" w:color="auto" w:sz="4" w:space="0"/>
              <w:right w:val="single" w:color="auto" w:sz="4" w:space="0"/>
            </w:tcBorders>
            <w:vAlign w:val="center"/>
          </w:tcPr>
          <w:p w14:paraId="1C5E9C2F">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8685541">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14. 配置4~6层不锈钢样品放置搁板和2个带离心管洞搁板。</w:t>
            </w:r>
          </w:p>
        </w:tc>
      </w:tr>
      <w:tr w14:paraId="5DBA2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405658A9">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804" w:type="dxa"/>
            <w:tcBorders>
              <w:top w:val="single" w:color="auto" w:sz="4" w:space="0"/>
              <w:left w:val="single" w:color="auto" w:sz="4" w:space="0"/>
              <w:bottom w:val="single" w:color="auto" w:sz="4" w:space="0"/>
              <w:right w:val="single" w:color="auto" w:sz="4" w:space="0"/>
            </w:tcBorders>
            <w:vAlign w:val="center"/>
          </w:tcPr>
          <w:p w14:paraId="4A5EA098">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〇</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E221B08">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15. 具有自动泄压装置。</w:t>
            </w:r>
          </w:p>
        </w:tc>
      </w:tr>
      <w:tr w14:paraId="49F14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51CD22CF">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16</w:t>
            </w:r>
          </w:p>
        </w:tc>
        <w:tc>
          <w:tcPr>
            <w:tcW w:w="804" w:type="dxa"/>
            <w:tcBorders>
              <w:top w:val="single" w:color="auto" w:sz="4" w:space="0"/>
              <w:left w:val="single" w:color="auto" w:sz="4" w:space="0"/>
              <w:bottom w:val="single" w:color="auto" w:sz="4" w:space="0"/>
              <w:right w:val="single" w:color="auto" w:sz="4" w:space="0"/>
            </w:tcBorders>
            <w:vAlign w:val="center"/>
          </w:tcPr>
          <w:p w14:paraId="253C67F1">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7CB5350F">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16. 真空泵为油泵需配防回油装置和油雾过滤器，减少环境污染。</w:t>
            </w:r>
          </w:p>
        </w:tc>
      </w:tr>
      <w:tr w14:paraId="6BF23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96" w:type="dxa"/>
            <w:tcBorders>
              <w:top w:val="single" w:color="auto" w:sz="4" w:space="0"/>
              <w:left w:val="single" w:color="auto" w:sz="4" w:space="0"/>
              <w:bottom w:val="single" w:color="auto" w:sz="4" w:space="0"/>
              <w:right w:val="single" w:color="auto" w:sz="4" w:space="0"/>
            </w:tcBorders>
            <w:vAlign w:val="center"/>
          </w:tcPr>
          <w:p w14:paraId="1B6968A9">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17</w:t>
            </w:r>
          </w:p>
        </w:tc>
        <w:tc>
          <w:tcPr>
            <w:tcW w:w="804" w:type="dxa"/>
            <w:tcBorders>
              <w:top w:val="single" w:color="auto" w:sz="4" w:space="0"/>
              <w:left w:val="single" w:color="auto" w:sz="4" w:space="0"/>
              <w:bottom w:val="single" w:color="auto" w:sz="4" w:space="0"/>
              <w:right w:val="single" w:color="auto" w:sz="4" w:space="0"/>
            </w:tcBorders>
            <w:vAlign w:val="center"/>
          </w:tcPr>
          <w:p w14:paraId="6211F8E8">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2E9E835A">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17. 含歧管的顶盖，≥8个冻干瓶挂位。</w:t>
            </w:r>
          </w:p>
        </w:tc>
      </w:tr>
      <w:tr w14:paraId="64316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6" w:hRule="atLeast"/>
        </w:trPr>
        <w:tc>
          <w:tcPr>
            <w:tcW w:w="796" w:type="dxa"/>
            <w:tcBorders>
              <w:top w:val="single" w:color="auto" w:sz="4" w:space="0"/>
              <w:left w:val="single" w:color="auto" w:sz="4" w:space="0"/>
              <w:bottom w:val="single" w:color="auto" w:sz="4" w:space="0"/>
              <w:right w:val="single" w:color="auto" w:sz="4" w:space="0"/>
            </w:tcBorders>
            <w:vAlign w:val="center"/>
          </w:tcPr>
          <w:p w14:paraId="09243EDF">
            <w:pPr>
              <w:pStyle w:val="22"/>
              <w:spacing w:line="36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18</w:t>
            </w:r>
          </w:p>
        </w:tc>
        <w:tc>
          <w:tcPr>
            <w:tcW w:w="804" w:type="dxa"/>
            <w:tcBorders>
              <w:top w:val="single" w:color="auto" w:sz="4" w:space="0"/>
              <w:left w:val="single" w:color="auto" w:sz="4" w:space="0"/>
              <w:bottom w:val="single" w:color="auto" w:sz="4" w:space="0"/>
              <w:right w:val="single" w:color="auto" w:sz="4" w:space="0"/>
            </w:tcBorders>
            <w:vAlign w:val="center"/>
          </w:tcPr>
          <w:p w14:paraId="27758007">
            <w:pPr>
              <w:snapToGrid w:val="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751" w:type="dxa"/>
            <w:tcBorders>
              <w:top w:val="single" w:color="auto" w:sz="4" w:space="0"/>
              <w:left w:val="single" w:color="auto" w:sz="4" w:space="0"/>
              <w:bottom w:val="single" w:color="auto" w:sz="4" w:space="0"/>
              <w:right w:val="single" w:color="auto" w:sz="4" w:space="0"/>
            </w:tcBorders>
            <w:shd w:val="clear" w:color="auto" w:fill="FFFFFF"/>
          </w:tcPr>
          <w:p w14:paraId="43191C94">
            <w:pPr>
              <w:tabs>
                <w:tab w:val="left" w:pos="1800"/>
              </w:tabs>
              <w:snapToGrid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18. 配置清单：</w:t>
            </w:r>
          </w:p>
          <w:p w14:paraId="50552D0F">
            <w:pPr>
              <w:pStyle w:val="22"/>
              <w:numPr>
                <w:ilvl w:val="0"/>
                <w:numId w:val="4"/>
              </w:numPr>
              <w:tabs>
                <w:tab w:val="left" w:pos="1800"/>
              </w:tabs>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冻干机主机，1台；</w:t>
            </w:r>
          </w:p>
          <w:p w14:paraId="54CF5C1D">
            <w:pPr>
              <w:pStyle w:val="22"/>
              <w:numPr>
                <w:ilvl w:val="0"/>
                <w:numId w:val="4"/>
              </w:numPr>
              <w:tabs>
                <w:tab w:val="left" w:pos="1800"/>
              </w:tabs>
              <w:snapToGrid w:val="0"/>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冻干系统防腐真空泵，1台；</w:t>
            </w:r>
          </w:p>
          <w:p w14:paraId="2FB0F26C">
            <w:pPr>
              <w:pStyle w:val="22"/>
              <w:numPr>
                <w:ilvl w:val="0"/>
                <w:numId w:val="4"/>
              </w:numPr>
              <w:tabs>
                <w:tab w:val="left" w:pos="1800"/>
              </w:tabs>
              <w:snapToGrid w:val="0"/>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高级真空控制电磁阀，1个；</w:t>
            </w:r>
          </w:p>
          <w:p w14:paraId="007BC1DC">
            <w:pPr>
              <w:pStyle w:val="22"/>
              <w:numPr>
                <w:ilvl w:val="0"/>
                <w:numId w:val="4"/>
              </w:numPr>
              <w:tabs>
                <w:tab w:val="left" w:pos="1800"/>
              </w:tabs>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真空传感器，1个；</w:t>
            </w:r>
          </w:p>
          <w:p w14:paraId="2159EA01">
            <w:pPr>
              <w:pStyle w:val="22"/>
              <w:numPr>
                <w:ilvl w:val="0"/>
                <w:numId w:val="4"/>
              </w:numPr>
              <w:tabs>
                <w:tab w:val="left" w:pos="1800"/>
              </w:tabs>
              <w:snapToGrid w:val="0"/>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亚克力干燥腔体，1个；</w:t>
            </w:r>
          </w:p>
          <w:p w14:paraId="19ADC21F">
            <w:pPr>
              <w:pStyle w:val="22"/>
              <w:numPr>
                <w:ilvl w:val="0"/>
                <w:numId w:val="4"/>
              </w:numPr>
              <w:tabs>
                <w:tab w:val="left" w:pos="1800"/>
              </w:tabs>
              <w:snapToGrid w:val="0"/>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带≥8位独立歧管阀顶盖，1个；</w:t>
            </w:r>
          </w:p>
          <w:p w14:paraId="4C453A72">
            <w:pPr>
              <w:pStyle w:val="22"/>
              <w:numPr>
                <w:ilvl w:val="0"/>
                <w:numId w:val="4"/>
              </w:numPr>
              <w:tabs>
                <w:tab w:val="left" w:pos="1800"/>
              </w:tabs>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圆底冻干瓶，≥32个；</w:t>
            </w:r>
          </w:p>
          <w:p w14:paraId="7BBF0E42">
            <w:pPr>
              <w:pStyle w:val="22"/>
              <w:numPr>
                <w:ilvl w:val="0"/>
                <w:numId w:val="4"/>
              </w:numPr>
              <w:tabs>
                <w:tab w:val="left" w:pos="1800"/>
              </w:tabs>
              <w:snapToGrid w:val="0"/>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不锈钢隔板，≥4个；</w:t>
            </w:r>
          </w:p>
          <w:p w14:paraId="57C17413">
            <w:pPr>
              <w:pStyle w:val="22"/>
              <w:numPr>
                <w:ilvl w:val="0"/>
                <w:numId w:val="4"/>
              </w:numPr>
              <w:tabs>
                <w:tab w:val="left" w:pos="1800"/>
              </w:tabs>
              <w:snapToGrid w:val="0"/>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带离心管洞隔板，≥2个；</w:t>
            </w:r>
          </w:p>
          <w:p w14:paraId="246AA2CA">
            <w:pPr>
              <w:pStyle w:val="22"/>
              <w:numPr>
                <w:ilvl w:val="0"/>
                <w:numId w:val="4"/>
              </w:numPr>
              <w:tabs>
                <w:tab w:val="left" w:pos="1800"/>
              </w:tabs>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离心浓缩系统（离心浓缩仪+适用冷阱），1套；</w:t>
            </w:r>
          </w:p>
          <w:p w14:paraId="43500A5B">
            <w:pPr>
              <w:pStyle w:val="22"/>
              <w:numPr>
                <w:ilvl w:val="0"/>
                <w:numId w:val="4"/>
              </w:numPr>
              <w:tabs>
                <w:tab w:val="left" w:pos="1800"/>
              </w:tabs>
              <w:snapToGrid w:val="0"/>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离心浓缩系统真空泵，1台；</w:t>
            </w:r>
          </w:p>
          <w:p w14:paraId="45D162E2">
            <w:pPr>
              <w:pStyle w:val="22"/>
              <w:numPr>
                <w:ilvl w:val="0"/>
                <w:numId w:val="4"/>
              </w:numPr>
              <w:tabs>
                <w:tab w:val="left" w:pos="1800"/>
              </w:tabs>
              <w:snapToGrid w:val="0"/>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1.5ml转子，1个；</w:t>
            </w:r>
          </w:p>
          <w:p w14:paraId="34EF9830">
            <w:pPr>
              <w:pStyle w:val="22"/>
              <w:numPr>
                <w:ilvl w:val="0"/>
                <w:numId w:val="4"/>
              </w:numPr>
              <w:tabs>
                <w:tab w:val="left" w:pos="1800"/>
              </w:tabs>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5ml转子，1个；</w:t>
            </w:r>
          </w:p>
          <w:p w14:paraId="3B84C589">
            <w:pPr>
              <w:pStyle w:val="22"/>
              <w:numPr>
                <w:ilvl w:val="0"/>
                <w:numId w:val="4"/>
              </w:numPr>
              <w:tabs>
                <w:tab w:val="left" w:pos="1800"/>
              </w:tabs>
              <w:snapToGrid w:val="0"/>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10-15ml转子，1个；</w:t>
            </w:r>
          </w:p>
          <w:p w14:paraId="64E38981">
            <w:pPr>
              <w:pStyle w:val="22"/>
              <w:numPr>
                <w:ilvl w:val="0"/>
                <w:numId w:val="4"/>
              </w:numPr>
              <w:tabs>
                <w:tab w:val="left" w:pos="1800"/>
              </w:tabs>
              <w:snapToGrid w:val="0"/>
              <w:spacing w:line="3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进样瓶转子，1个；</w:t>
            </w:r>
          </w:p>
        </w:tc>
      </w:tr>
    </w:tbl>
    <w:p w14:paraId="3F44A428">
      <w:pPr>
        <w:rPr>
          <w:rFonts w:ascii="宋体" w:hAnsi="宋体" w:cs="宋体"/>
          <w:b/>
          <w:color w:val="auto"/>
          <w:sz w:val="24"/>
          <w:szCs w:val="24"/>
          <w:highlight w:val="none"/>
        </w:rPr>
      </w:pPr>
    </w:p>
    <w:bookmarkEnd w:id="194"/>
    <w:p w14:paraId="7FCD3EB6">
      <w:pPr>
        <w:rPr>
          <w:rFonts w:ascii="宋体" w:hAnsi="宋体" w:cs="宋体"/>
          <w:b/>
          <w:color w:val="auto"/>
          <w:sz w:val="24"/>
          <w:szCs w:val="24"/>
          <w:highlight w:val="none"/>
        </w:rPr>
      </w:pPr>
    </w:p>
    <w:p w14:paraId="29E92E6E">
      <w:pPr>
        <w:pStyle w:val="4"/>
        <w:rPr>
          <w:rFonts w:eastAsia="方正仿宋_GBK"/>
          <w:b/>
          <w:color w:val="auto"/>
          <w:szCs w:val="24"/>
          <w:highlight w:val="none"/>
        </w:rPr>
        <w:sectPr>
          <w:footerReference r:id="rId7" w:type="default"/>
          <w:footerReference r:id="rId8" w:type="even"/>
          <w:pgSz w:w="11907" w:h="16840"/>
          <w:pgMar w:top="1134" w:right="1191" w:bottom="1134" w:left="1304" w:header="964" w:footer="992" w:gutter="0"/>
          <w:pgNumType w:fmt="numberInDash"/>
          <w:cols w:space="720" w:num="1"/>
          <w:docGrid w:linePitch="381" w:charSpace="0"/>
        </w:sectPr>
      </w:pPr>
    </w:p>
    <w:p w14:paraId="0FAF3EF1">
      <w:pPr>
        <w:pStyle w:val="2"/>
        <w:spacing w:before="0" w:beforeLines="0" w:after="0" w:afterLines="0" w:line="360" w:lineRule="auto"/>
        <w:rPr>
          <w:rFonts w:cs="方正仿宋_GBK" w:asciiTheme="minorEastAsia" w:hAnsiTheme="minorEastAsia" w:eastAsiaTheme="minorEastAsia"/>
          <w:b/>
          <w:color w:val="auto"/>
          <w:highlight w:val="none"/>
        </w:rPr>
      </w:pPr>
      <w:bookmarkStart w:id="195" w:name="_Toc19536"/>
      <w:bookmarkStart w:id="196" w:name="_Toc75793508"/>
      <w:bookmarkStart w:id="197" w:name="_Toc2095"/>
      <w:bookmarkStart w:id="198" w:name="_Toc18187"/>
      <w:bookmarkStart w:id="199" w:name="_Toc15467"/>
      <w:bookmarkStart w:id="200" w:name="_Toc1363"/>
      <w:bookmarkStart w:id="201" w:name="_Toc13990"/>
      <w:bookmarkStart w:id="202" w:name="_Toc9920"/>
      <w:bookmarkStart w:id="203" w:name="_Toc26363"/>
      <w:bookmarkStart w:id="204" w:name="_Toc28164"/>
      <w:bookmarkStart w:id="205" w:name="_Toc21557"/>
      <w:bookmarkStart w:id="206" w:name="_Toc20842"/>
      <w:bookmarkStart w:id="207" w:name="_Toc8633"/>
      <w:bookmarkStart w:id="208" w:name="_Toc31584"/>
      <w:bookmarkStart w:id="209" w:name="_Toc9326"/>
      <w:bookmarkStart w:id="210" w:name="_Toc204345208"/>
      <w:bookmarkStart w:id="211" w:name="_Toc6000"/>
      <w:r>
        <w:rPr>
          <w:rFonts w:hint="eastAsia" w:cs="方正仿宋_GBK" w:asciiTheme="minorEastAsia" w:hAnsiTheme="minorEastAsia" w:eastAsiaTheme="minorEastAsia"/>
          <w:b/>
          <w:color w:val="auto"/>
          <w:highlight w:val="none"/>
        </w:rPr>
        <w:t xml:space="preserve">第三篇  </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rPr>
          <w:rFonts w:hint="eastAsia" w:cs="方正仿宋_GBK" w:asciiTheme="minorEastAsia" w:hAnsiTheme="minorEastAsia" w:eastAsiaTheme="minorEastAsia"/>
          <w:b/>
          <w:color w:val="auto"/>
          <w:highlight w:val="none"/>
        </w:rPr>
        <w:t>项目商务需求</w:t>
      </w:r>
      <w:bookmarkEnd w:id="210"/>
      <w:bookmarkEnd w:id="211"/>
    </w:p>
    <w:p w14:paraId="28ECFB99">
      <w:pPr>
        <w:snapToGrid w:val="0"/>
        <w:spacing w:line="400" w:lineRule="exact"/>
        <w:ind w:firstLine="480" w:firstLineChars="200"/>
        <w:rPr>
          <w:rFonts w:cs="方正仿宋_GBK" w:asciiTheme="minorEastAsia" w:hAnsiTheme="minorEastAsia" w:eastAsiaTheme="minorEastAsia"/>
          <w:color w:val="auto"/>
          <w:kern w:val="0"/>
          <w:sz w:val="24"/>
          <w:szCs w:val="24"/>
          <w:highlight w:val="none"/>
        </w:rPr>
      </w:pPr>
      <w:bookmarkStart w:id="212" w:name="_Toc267320049"/>
      <w:r>
        <w:rPr>
          <w:rFonts w:hint="eastAsia" w:cs="方正仿宋_GBK" w:asciiTheme="minorEastAsia" w:hAnsiTheme="minorEastAsia" w:eastAsiaTheme="minorEastAsia"/>
          <w:color w:val="auto"/>
          <w:sz w:val="24"/>
          <w:szCs w:val="28"/>
          <w:highlight w:val="none"/>
        </w:rPr>
        <w:t>“</w:t>
      </w:r>
      <w:r>
        <w:rPr>
          <w:rFonts w:hint="eastAsia" w:cs="方正仿宋_GBK" w:asciiTheme="minorEastAsia" w:hAnsiTheme="minorEastAsia" w:eastAsiaTheme="minorEastAsia"/>
          <w:color w:val="auto"/>
          <w:kern w:val="0"/>
          <w:sz w:val="21"/>
          <w:szCs w:val="21"/>
          <w:highlight w:val="none"/>
        </w:rPr>
        <w:t>※</w:t>
      </w:r>
      <w:r>
        <w:rPr>
          <w:rFonts w:hint="eastAsia" w:cs="方正仿宋_GBK" w:asciiTheme="minorEastAsia" w:hAnsiTheme="minorEastAsia" w:eastAsiaTheme="minorEastAsia"/>
          <w:color w:val="auto"/>
          <w:sz w:val="24"/>
          <w:szCs w:val="28"/>
          <w:highlight w:val="none"/>
        </w:rPr>
        <w:t>”标注的商务要求为符合性审查中的实质性要求，若不满足按无效投标处理。</w:t>
      </w:r>
    </w:p>
    <w:bookmarkEnd w:id="212"/>
    <w:p w14:paraId="2144BCBC">
      <w:pPr>
        <w:pStyle w:val="3"/>
        <w:spacing w:line="400" w:lineRule="exact"/>
        <w:ind w:firstLine="482" w:firstLineChars="200"/>
        <w:rPr>
          <w:rFonts w:cs="方正仿宋_GBK" w:asciiTheme="minorEastAsia" w:hAnsiTheme="minorEastAsia" w:eastAsiaTheme="minorEastAsia"/>
          <w:b/>
          <w:bCs/>
          <w:color w:val="auto"/>
          <w:kern w:val="0"/>
          <w:sz w:val="24"/>
          <w:szCs w:val="24"/>
          <w:highlight w:val="none"/>
        </w:rPr>
      </w:pPr>
      <w:bookmarkStart w:id="213" w:name="_Toc28521"/>
      <w:bookmarkStart w:id="214" w:name="_Toc6595"/>
      <w:bookmarkStart w:id="215" w:name="_Toc11380"/>
      <w:bookmarkStart w:id="216" w:name="_Toc143696433"/>
      <w:bookmarkStart w:id="217" w:name="_Toc14029"/>
      <w:bookmarkStart w:id="218" w:name="_Toc75793509"/>
      <w:bookmarkStart w:id="219" w:name="_Toc8752"/>
      <w:bookmarkStart w:id="220" w:name="_Toc13728"/>
      <w:bookmarkStart w:id="221" w:name="_Toc10039"/>
      <w:bookmarkStart w:id="222" w:name="_Toc21429"/>
      <w:bookmarkStart w:id="223" w:name="_Toc23501"/>
      <w:bookmarkStart w:id="224" w:name="_Toc22944"/>
      <w:bookmarkStart w:id="225" w:name="_Toc204345209"/>
      <w:bookmarkStart w:id="226" w:name="_Toc13389"/>
      <w:bookmarkStart w:id="227" w:name="_Toc12768"/>
      <w:bookmarkStart w:id="228" w:name="_Toc9676"/>
      <w:bookmarkStart w:id="229" w:name="_Toc30118"/>
      <w:bookmarkStart w:id="230" w:name="_Toc29519"/>
      <w:bookmarkStart w:id="231" w:name="_Toc32453"/>
      <w:r>
        <w:rPr>
          <w:rFonts w:hint="eastAsia" w:cs="方正仿宋_GBK" w:asciiTheme="minorEastAsia" w:hAnsiTheme="minorEastAsia" w:eastAsiaTheme="minorEastAsia"/>
          <w:b/>
          <w:bCs/>
          <w:color w:val="auto"/>
          <w:kern w:val="0"/>
          <w:sz w:val="24"/>
          <w:szCs w:val="24"/>
          <w:highlight w:val="none"/>
        </w:rPr>
        <w:t>※</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Pr>
          <w:rFonts w:hint="eastAsia" w:cs="方正仿宋_GBK" w:asciiTheme="minorEastAsia" w:hAnsiTheme="minorEastAsia" w:eastAsiaTheme="minorEastAsia"/>
          <w:b/>
          <w:bCs/>
          <w:color w:val="auto"/>
          <w:kern w:val="0"/>
          <w:sz w:val="24"/>
          <w:szCs w:val="24"/>
          <w:highlight w:val="none"/>
        </w:rPr>
        <w:t>一、交货期、交货地点及验收方式</w:t>
      </w:r>
      <w:bookmarkEnd w:id="230"/>
    </w:p>
    <w:p w14:paraId="28BC5D0A">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（一）交货期</w:t>
      </w:r>
    </w:p>
    <w:p w14:paraId="3505A714">
      <w:pPr>
        <w:snapToGrid w:val="0"/>
        <w:spacing w:line="400" w:lineRule="exact"/>
        <w:ind w:firstLine="480" w:firstLineChars="200"/>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中标人应在采购合同签订后30个日历日内交货并完成安装调试及设备测试。仪器现场安装由制造商技术人员负责，并在采购人实验室人员在场的情况下完成仪器设备性能测试，性能指标需与设备技术参数一致。</w:t>
      </w:r>
    </w:p>
    <w:p w14:paraId="676654BE">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（二）交货地点</w:t>
      </w:r>
    </w:p>
    <w:p w14:paraId="0288436C">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重庆工商大学茶园校区食品科学与工程学院楼栋。</w:t>
      </w:r>
    </w:p>
    <w:p w14:paraId="08CD17DC">
      <w:pPr>
        <w:snapToGrid w:val="0"/>
        <w:spacing w:line="400" w:lineRule="exact"/>
        <w:ind w:firstLine="480" w:firstLineChars="200"/>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（三）验收</w:t>
      </w:r>
      <w:r>
        <w:rPr>
          <w:rFonts w:hint="eastAsia" w:cs="方正仿宋_GBK" w:asciiTheme="minorEastAsia" w:hAnsiTheme="minorEastAsia" w:eastAsiaTheme="minorEastAsia"/>
          <w:color w:val="auto"/>
          <w:sz w:val="24"/>
          <w:szCs w:val="24"/>
          <w:highlight w:val="none"/>
        </w:rPr>
        <w:t>方式</w:t>
      </w:r>
    </w:p>
    <w:p w14:paraId="36BBC146">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1.出厂核验。中标人在供货前，做好所投产品的出厂核验，确保其技术参数和规格型号完全满足采购文件的相关要求。</w:t>
      </w:r>
    </w:p>
    <w:p w14:paraId="249584FA">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2.到货验收。货物到达现场后，采购人需求部门应做好到货验收，严格按照合同及招标文件的产品清单核实查验到货产品的品牌、型号及规格参数。中标人应在采购人需求部门在场情况下当面开箱，共同清点、检查外观，作出开箱记录，双方签字确认。若到货产品品牌、型号及规格参数等与合同及招标文件的规定不符的，采购人拒收货物，中标人不得进行设备安装，采购人需求部门应及时告知采购人归口管理部门与采购管理部门。</w:t>
      </w:r>
    </w:p>
    <w:p w14:paraId="45F3097F">
      <w:pPr>
        <w:adjustRightInd w:val="0"/>
        <w:snapToGrid w:val="0"/>
        <w:spacing w:line="440" w:lineRule="exact"/>
        <w:ind w:firstLine="480" w:firstLineChars="200"/>
        <w:jc w:val="left"/>
        <w:rPr>
          <w:rFonts w:cs="方正仿宋_GBK" w:asciiTheme="minorEastAsia" w:hAnsiTheme="minorEastAsia" w:eastAsiaTheme="minorEastAsia"/>
          <w:b/>
          <w:bCs/>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3.设备测试验收。货物按要求完成安装调试后，由采购人需求部门牵头组织进行设备测试验收，中标人以书面形式提交设备测试申请，经采购人需求部门同意后开始进行设备测试。需求部门在实际使用过程中测试设备的所有功能，并出具签字盖章后的设备测试验收报告（包括但不限于测试结果、设备功能测试、技术参数指标）和其他相关资料，满足合同中所有功能要求及技术参数要求后可申请最终验收，否则不得进行最终验收。</w:t>
      </w:r>
      <w:r>
        <w:rPr>
          <w:rFonts w:hint="eastAsia" w:cs="方正仿宋_GBK" w:asciiTheme="minorEastAsia" w:hAnsiTheme="minorEastAsia" w:eastAsiaTheme="minorEastAsia"/>
          <w:b/>
          <w:bCs/>
          <w:color w:val="auto"/>
          <w:kern w:val="0"/>
          <w:sz w:val="24"/>
          <w:szCs w:val="24"/>
          <w:highlight w:val="none"/>
        </w:rPr>
        <w:t>若设备测试验收不合格，采购人需求部门督促中标人将设备及时撤场，涉及的所有费用由中标人自行承担。</w:t>
      </w:r>
    </w:p>
    <w:p w14:paraId="58763B1E">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4.中标人应保证货物到达采购人所在地完好无损，如有缺漏、损坏，由中标人负责调换、补齐或赔偿。</w:t>
      </w:r>
    </w:p>
    <w:p w14:paraId="018498E8">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5.中标人应提供完备的技术资料，并派遣专业技术人员进行现场安装调试。验收合格条件如下：</w:t>
      </w:r>
    </w:p>
    <w:p w14:paraId="62F4D785">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5.1设备品种、规格、数量、技术参数以及商品品牌、生产厂家等与采购合同一致，性能指标达到采购文件规定的标准。</w:t>
      </w:r>
    </w:p>
    <w:p w14:paraId="01DD25C6">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5.2货物技术资料齐全。</w:t>
      </w:r>
    </w:p>
    <w:p w14:paraId="71077250">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5.3在系统试运行期间所出现的问题得到解决，并运行正常。</w:t>
      </w:r>
    </w:p>
    <w:p w14:paraId="10BF9354">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5.4在规定时间内完成交货并验收，并经采购人确认。</w:t>
      </w:r>
    </w:p>
    <w:p w14:paraId="15874806">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6.最终验收。中标人以书面形式向采购人资产处管理处提交正式验收申请，并同时提供设备测试验收报告、书面的培训记录表及相关资料等，才能进入验收程序，项目整体功能和技术参数指标须满足采购文件和采购合同的要求。</w:t>
      </w:r>
    </w:p>
    <w:p w14:paraId="1ED34301">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7.中标人提供的货物未达到招标文件规定要求，且对采购人造成损失的，由中标人承担一切责任，并赔偿所造成的损失。</w:t>
      </w:r>
    </w:p>
    <w:p w14:paraId="2F85CE65">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8.大型或者复杂的政府采购项目，采购人应当邀请国家认可的质量检测机构参加验收工作。</w:t>
      </w:r>
    </w:p>
    <w:p w14:paraId="5EEC176F">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9.采购人需要制造商对中标人交付的产品（包括质量、技术参数等）进行确认的，制造商应予以配合，并出具书面意见。</w:t>
      </w:r>
    </w:p>
    <w:p w14:paraId="0B659B13">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10.产品包装材料归采购人所有。</w:t>
      </w:r>
    </w:p>
    <w:p w14:paraId="5405074A">
      <w:pPr>
        <w:pStyle w:val="3"/>
        <w:spacing w:line="400" w:lineRule="exact"/>
        <w:ind w:firstLine="482" w:firstLineChars="200"/>
        <w:rPr>
          <w:rFonts w:cs="方正仿宋_GBK" w:asciiTheme="minorEastAsia" w:hAnsiTheme="minorEastAsia" w:eastAsiaTheme="minorEastAsia"/>
          <w:color w:val="auto"/>
          <w:kern w:val="0"/>
          <w:sz w:val="24"/>
          <w:szCs w:val="24"/>
          <w:highlight w:val="none"/>
        </w:rPr>
      </w:pPr>
      <w:bookmarkStart w:id="232" w:name="_Toc4092"/>
      <w:r>
        <w:rPr>
          <w:rFonts w:hint="eastAsia" w:cs="方正仿宋_GBK" w:asciiTheme="minorEastAsia" w:hAnsiTheme="minorEastAsia" w:eastAsiaTheme="minorEastAsia"/>
          <w:b/>
          <w:bCs/>
          <w:color w:val="auto"/>
          <w:kern w:val="0"/>
          <w:sz w:val="24"/>
          <w:szCs w:val="24"/>
          <w:highlight w:val="none"/>
        </w:rPr>
        <w:t>※二、报价要求</w:t>
      </w:r>
      <w:bookmarkEnd w:id="232"/>
    </w:p>
    <w:p w14:paraId="38EB9C22">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本次报价须为人民币报价，包含但不限于：产品购买（制造）费、辅材费、运输费（含装卸费）、保险费、税费、安装费、检测费、因检测被破坏货物的补货费等货到采购人指定地点并完成安装、调试直至验收合格的所有费用。因投标人自身原因造成漏报、少报皆由其自行承担责任，采购人不再补偿。</w:t>
      </w:r>
      <w:r>
        <w:rPr>
          <w:rFonts w:hint="eastAsia" w:cs="方正仿宋_GBK" w:asciiTheme="minorEastAsia" w:hAnsiTheme="minorEastAsia" w:eastAsiaTheme="minorEastAsia"/>
          <w:b/>
          <w:color w:val="auto"/>
          <w:sz w:val="24"/>
          <w:szCs w:val="24"/>
          <w:highlight w:val="none"/>
        </w:rPr>
        <w:t>报价不得超过总价最高限价及单价最高限价，否则报价无效。</w:t>
      </w:r>
    </w:p>
    <w:p w14:paraId="7000D6F3">
      <w:pPr>
        <w:pStyle w:val="3"/>
        <w:spacing w:line="400" w:lineRule="exact"/>
        <w:ind w:firstLine="482" w:firstLineChars="200"/>
        <w:rPr>
          <w:rFonts w:cs="方正仿宋_GBK" w:asciiTheme="minorEastAsia" w:hAnsiTheme="minorEastAsia" w:eastAsiaTheme="minorEastAsia"/>
          <w:b/>
          <w:bCs/>
          <w:color w:val="auto"/>
          <w:kern w:val="0"/>
          <w:sz w:val="24"/>
          <w:szCs w:val="24"/>
          <w:highlight w:val="none"/>
        </w:rPr>
      </w:pPr>
      <w:bookmarkStart w:id="233" w:name="_Toc13385"/>
      <w:r>
        <w:rPr>
          <w:rFonts w:hint="eastAsia" w:cs="方正仿宋_GBK" w:asciiTheme="minorEastAsia" w:hAnsiTheme="minorEastAsia" w:eastAsiaTheme="minorEastAsia"/>
          <w:b/>
          <w:bCs/>
          <w:color w:val="auto"/>
          <w:kern w:val="0"/>
          <w:sz w:val="24"/>
          <w:szCs w:val="24"/>
          <w:highlight w:val="none"/>
        </w:rPr>
        <w:t>※三、质量保证及售后服务</w:t>
      </w:r>
      <w:bookmarkEnd w:id="233"/>
    </w:p>
    <w:p w14:paraId="3F25B8B7">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（一）产品质量保证期</w:t>
      </w:r>
    </w:p>
    <w:p w14:paraId="1FEA5103">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1.中标人所提供的产品在质保期内、外均能享受原厂（指合同中软、硬件系统的生产厂家，或其负责销售、售后服务的机构，以下同）售后服务。不论原厂质保期限长短，中标人对本项目所投设备整机不低于</w:t>
      </w:r>
      <w:r>
        <w:rPr>
          <w:rFonts w:hint="eastAsia" w:cs="方正仿宋_GBK" w:asciiTheme="minorEastAsia" w:hAnsiTheme="minorEastAsia" w:eastAsiaTheme="minorEastAsia"/>
          <w:b/>
          <w:bCs/>
          <w:color w:val="auto"/>
          <w:kern w:val="0"/>
          <w:sz w:val="24"/>
          <w:szCs w:val="24"/>
          <w:highlight w:val="none"/>
        </w:rPr>
        <w:t>整机5年</w:t>
      </w:r>
      <w:r>
        <w:rPr>
          <w:rFonts w:hint="eastAsia" w:cs="方正仿宋_GBK" w:asciiTheme="minorEastAsia" w:hAnsiTheme="minorEastAsia" w:eastAsiaTheme="minorEastAsia"/>
          <w:color w:val="auto"/>
          <w:kern w:val="0"/>
          <w:sz w:val="24"/>
          <w:szCs w:val="24"/>
          <w:highlight w:val="none"/>
        </w:rPr>
        <w:t>的原厂免费质保期，（若供应商有更优惠的质保期，请在响应文件中明确应答），免费质保期自项目验收合格之日起计算，免费质保期内，如在正常使用过程中出现的质量问题，原厂须负责免费维修或调换，维护和售后服务形成的风险和费用由中标人承担。</w:t>
      </w:r>
    </w:p>
    <w:p w14:paraId="15BEB402">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2.投标产品属于国家规定“三包”范围的，其产品质量保证期不得低于“三包”规定。</w:t>
      </w:r>
    </w:p>
    <w:p w14:paraId="07A61C8E">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3.中标人的质量保证期承诺优于国家“三包”规定的，按中标人实际承诺执行。</w:t>
      </w:r>
    </w:p>
    <w:p w14:paraId="461FDBEC">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4.投标产品由产品原厂生产制造商（或其授权的负责销售、售后服务的机构）负责提供标准售后服务，在合同签订前提供加盖产品原厂生产制造商公章的售后服务承诺函或售后服务授权证明。承诺书或授权证明的内容包含但不限于：</w:t>
      </w:r>
    </w:p>
    <w:p w14:paraId="37996D4E">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（1）所提供的设备完全满足本项目的相关技术要求；</w:t>
      </w:r>
    </w:p>
    <w:p w14:paraId="13D0409F">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（2）自项目验收合格之日起，提供整机5年（或以实际投标文件为准）的原厂制造商免费质保期，且售后服务完全满足招标文件与合同内容；</w:t>
      </w:r>
    </w:p>
    <w:p w14:paraId="07DC63B7">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（3）承诺书内须含有本项目名称。</w:t>
      </w:r>
    </w:p>
    <w:p w14:paraId="04AC56DE">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（二）售后服务内容</w:t>
      </w:r>
    </w:p>
    <w:p w14:paraId="4E0BDC45">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1.中标人和制造商在质量保证期内应当为采购人提供以下技术支持和服务：</w:t>
      </w:r>
    </w:p>
    <w:p w14:paraId="0B8D53D3">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1.1电话咨询</w:t>
      </w:r>
    </w:p>
    <w:p w14:paraId="312DE17F">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中标人和制造商应当为采购人提供技术援助电话，解答采购人在使用中遇到的问题，及时为采购人提出解决问题的建议。中标人须提供所投产品厂家的售后维修服务中心的联系方式及地址等信息以便及时有效地满足采购人的售后服务需求。</w:t>
      </w:r>
    </w:p>
    <w:p w14:paraId="0E6FC783">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1.2现场响应</w:t>
      </w:r>
    </w:p>
    <w:p w14:paraId="69D9C2FA">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采购人遇到使用及技术问题，电话咨询不能解决的，中标人和制造商应在24小时内到达现场进行处理，确保产品正常工作；无法在24小时内解决的，应在48小时内提供备用产品，使采购人能够正常使用。</w:t>
      </w:r>
    </w:p>
    <w:p w14:paraId="4B072FB2">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1.3质保期内，免费更换一切在正常使用情况下损坏的零配件。为不影响正常教学科研工作，质保期内故障一周内不能解决的，供应商需提供不低于故障设备性能的备用机，确保一周内能恢复正常教学科研工作。</w:t>
      </w:r>
    </w:p>
    <w:p w14:paraId="658153AB">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1.4技术升级</w:t>
      </w:r>
    </w:p>
    <w:p w14:paraId="064F4ABB">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如果中标人和制造商的产品技术升级，中标人应及时通知采购人，如采购人有相应要求，中标人和制造商应对采购人购买的产品进行升级服务。</w:t>
      </w:r>
    </w:p>
    <w:p w14:paraId="3C0A1004">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2.质保期外服务要求</w:t>
      </w:r>
    </w:p>
    <w:p w14:paraId="3DB69193">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bookmarkStart w:id="234" w:name="_Hlk182388537"/>
      <w:r>
        <w:rPr>
          <w:rFonts w:hint="eastAsia" w:cs="方正仿宋_GBK" w:asciiTheme="minorEastAsia" w:hAnsiTheme="minorEastAsia" w:eastAsiaTheme="minorEastAsia"/>
          <w:color w:val="auto"/>
          <w:kern w:val="0"/>
          <w:sz w:val="24"/>
          <w:szCs w:val="24"/>
          <w:highlight w:val="none"/>
        </w:rPr>
        <w:t>质量保证期过后</w:t>
      </w:r>
      <w:bookmarkEnd w:id="234"/>
      <w:r>
        <w:rPr>
          <w:rFonts w:hint="eastAsia" w:cs="方正仿宋_GBK" w:asciiTheme="minorEastAsia" w:hAnsiTheme="minorEastAsia" w:eastAsiaTheme="minorEastAsia"/>
          <w:color w:val="auto"/>
          <w:kern w:val="0"/>
          <w:sz w:val="24"/>
          <w:szCs w:val="24"/>
          <w:highlight w:val="none"/>
        </w:rPr>
        <w:t>，中标人和制造商应同样提供免费电话咨询服务；采购人需要继续由原中标人和制造商提供售后服务的，该中标人和制造商应以优惠价格提供售后服务。</w:t>
      </w:r>
    </w:p>
    <w:p w14:paraId="0FAAFE97">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3.采购人如需设备搬迁，中标人须免费提供设备的搬迁指导和调试，以确保搬迁后设备的正常使用。</w:t>
      </w:r>
    </w:p>
    <w:p w14:paraId="2EE7CCA5">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4.若投标人有更优惠的售后服务，应当在投标文件中说明。</w:t>
      </w:r>
    </w:p>
    <w:p w14:paraId="05411A27">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（三）备品备件及易损件</w:t>
      </w:r>
    </w:p>
    <w:p w14:paraId="021878BB">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中标人售后服务中，维修使用的备品备件及易损件应为原厂配件，未经采购人同意不得使用非原厂配件。</w:t>
      </w:r>
    </w:p>
    <w:p w14:paraId="0DE5C02B">
      <w:pPr>
        <w:pStyle w:val="3"/>
        <w:spacing w:line="400" w:lineRule="exact"/>
        <w:ind w:firstLine="482" w:firstLineChars="200"/>
        <w:rPr>
          <w:rFonts w:cs="方正仿宋_GBK" w:asciiTheme="minorEastAsia" w:hAnsiTheme="minorEastAsia" w:eastAsiaTheme="minorEastAsia"/>
          <w:b/>
          <w:bCs/>
          <w:color w:val="auto"/>
          <w:kern w:val="0"/>
          <w:sz w:val="24"/>
          <w:szCs w:val="24"/>
          <w:highlight w:val="none"/>
        </w:rPr>
      </w:pPr>
      <w:bookmarkStart w:id="235" w:name="_Toc30421"/>
      <w:r>
        <w:rPr>
          <w:rFonts w:hint="eastAsia" w:cs="方正仿宋_GBK" w:asciiTheme="minorEastAsia" w:hAnsiTheme="minorEastAsia" w:eastAsiaTheme="minorEastAsia"/>
          <w:b/>
          <w:bCs/>
          <w:color w:val="auto"/>
          <w:kern w:val="0"/>
          <w:sz w:val="24"/>
          <w:szCs w:val="24"/>
          <w:highlight w:val="none"/>
        </w:rPr>
        <w:t>※四、付款方式</w:t>
      </w:r>
      <w:bookmarkEnd w:id="235"/>
    </w:p>
    <w:p w14:paraId="448533AB">
      <w:pPr>
        <w:snapToGrid w:val="0"/>
        <w:spacing w:line="400" w:lineRule="exact"/>
        <w:ind w:firstLine="480" w:firstLineChars="200"/>
        <w:rPr>
          <w:rFonts w:cs="方正仿宋_GBK" w:asciiTheme="minorEastAsia" w:hAnsiTheme="minorEastAsia" w:eastAsiaTheme="minorEastAsia"/>
          <w:color w:val="auto"/>
          <w:kern w:val="0"/>
          <w:sz w:val="24"/>
          <w:szCs w:val="24"/>
          <w:highlight w:val="none"/>
        </w:rPr>
      </w:pPr>
      <w:bookmarkStart w:id="236" w:name="_Hlk209088828"/>
      <w:r>
        <w:rPr>
          <w:rFonts w:hint="eastAsia" w:cs="方正仿宋_GBK" w:asciiTheme="minorEastAsia" w:hAnsiTheme="minorEastAsia" w:eastAsiaTheme="minorEastAsia"/>
          <w:color w:val="auto"/>
          <w:kern w:val="0"/>
          <w:sz w:val="24"/>
          <w:szCs w:val="24"/>
          <w:highlight w:val="none"/>
        </w:rPr>
        <w:t>（一）合同签订后，采购人向中标人支付合同金额95%的预付款。采购人向中标人支付预付款前，中标人须向采购人开具预付款金额的增值税专用发票（若项目为硬件和软件一体的，应分别开具硬件、软件（服务）的发票），提供预付款同等额度的银行出具的见索即付的银行预付款保函（保函期限：合同签订之日起至货物验收合格之日止）或预付款保证金（银行转账），如中标人收到预付款后不按约定履行合同义务，或履行合同义务质量不达标，采购人可向银行进行索赔收回预付款或不退还预付款保证金。</w:t>
      </w:r>
    </w:p>
    <w:p w14:paraId="34E471C9">
      <w:pPr>
        <w:snapToGrid w:val="0"/>
        <w:spacing w:line="400" w:lineRule="exact"/>
        <w:ind w:firstLine="480" w:firstLineChars="200"/>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（二）中标人按采购合同完成交货并安装调并完成设备测试，经采购人最终验收合格后出具项目验收报告。</w:t>
      </w:r>
    </w:p>
    <w:p w14:paraId="5B0050AE">
      <w:pPr>
        <w:snapToGrid w:val="0"/>
        <w:spacing w:line="400" w:lineRule="exact"/>
        <w:ind w:firstLine="480" w:firstLineChars="200"/>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三）最终验收通过后，中标人向需方开具合同金额5%的增值税专用发票（若项目为硬件和软件一体的，应分别开具硬件、软件（服务）的发票），协助采购人需求部门办理入固手续后，采购人以转账方式一次性向中标人支付合同金额的5%，同时退还预付款保证金（预付款保函）。</w:t>
      </w:r>
    </w:p>
    <w:p w14:paraId="1F65FAC7">
      <w:pPr>
        <w:snapToGrid w:val="0"/>
        <w:spacing w:line="400" w:lineRule="exact"/>
        <w:ind w:firstLine="480" w:firstLineChars="200"/>
        <w:rPr>
          <w:rFonts w:hint="eastAsia" w:cs="方正仿宋_GBK" w:asciiTheme="minorEastAsia" w:hAnsiTheme="minorEastAsia" w:eastAsiaTheme="minorEastAsia"/>
          <w:color w:val="auto"/>
          <w:kern w:val="0"/>
          <w:sz w:val="24"/>
          <w:szCs w:val="24"/>
          <w:highlight w:val="none"/>
          <w:lang w:eastAsia="zh-TW"/>
        </w:rPr>
      </w:pPr>
      <w:r>
        <w:rPr>
          <w:rFonts w:hint="eastAsia" w:cs="方正仿宋_GBK" w:asciiTheme="minorEastAsia" w:hAnsiTheme="minorEastAsia" w:eastAsiaTheme="minorEastAsia"/>
          <w:color w:val="auto"/>
          <w:kern w:val="0"/>
          <w:sz w:val="24"/>
          <w:szCs w:val="24"/>
          <w:highlight w:val="none"/>
          <w:lang w:eastAsia="zh-TW"/>
        </w:rPr>
        <w:t>注：</w:t>
      </w:r>
    </w:p>
    <w:p w14:paraId="6CB022A6">
      <w:pPr>
        <w:snapToGrid w:val="0"/>
        <w:spacing w:line="400" w:lineRule="exact"/>
        <w:ind w:firstLine="480" w:firstLineChars="200"/>
        <w:rPr>
          <w:rFonts w:hint="eastAsia" w:eastAsia="PMingLiU" w:cs="方正仿宋_GBK" w:asciiTheme="minorEastAsia" w:hAnsiTheme="minorEastAsia"/>
          <w:color w:val="auto"/>
          <w:kern w:val="0"/>
          <w:sz w:val="24"/>
          <w:szCs w:val="24"/>
          <w:highlight w:val="none"/>
          <w:lang w:eastAsia="zh-TW"/>
        </w:rPr>
      </w:pPr>
      <w:r>
        <w:rPr>
          <w:rFonts w:hint="eastAsia" w:cs="方正仿宋_GBK" w:asciiTheme="minorEastAsia" w:hAnsiTheme="minorEastAsia" w:eastAsiaTheme="minorEastAsia"/>
          <w:color w:val="auto"/>
          <w:kern w:val="0"/>
          <w:sz w:val="24"/>
          <w:szCs w:val="24"/>
          <w:highlight w:val="none"/>
          <w:lang w:eastAsia="zh-TW"/>
        </w:rPr>
        <w:t>1.银行预付款保函的有效期：自合同签订之日起至货物验收合格之日止。若中标人递交的保函有效期截止时间早于货物验收合格之日，中标人须在保函有限期截止时间前30天再次递交保函(有效期开始时间不能晚于上一份保函有效期的截止时间)。若中标人未及时递交保函，采购人有权</w:t>
      </w:r>
      <w:r>
        <w:rPr>
          <w:rFonts w:hint="eastAsia" w:cs="方正仿宋_GBK" w:asciiTheme="minorEastAsia" w:hAnsiTheme="minorEastAsia" w:eastAsiaTheme="minorEastAsia"/>
          <w:color w:val="auto"/>
          <w:kern w:val="0"/>
          <w:sz w:val="24"/>
          <w:szCs w:val="24"/>
          <w:highlight w:val="none"/>
        </w:rPr>
        <w:t>向银行进行索赔收回预付款。</w:t>
      </w:r>
    </w:p>
    <w:p w14:paraId="1F8622EF">
      <w:pPr>
        <w:snapToGrid w:val="0"/>
        <w:spacing w:line="400" w:lineRule="exact"/>
        <w:ind w:firstLine="480" w:firstLineChars="200"/>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注：如遇寒暑假或国家重大事件，则顺延至开学或条件允许后支付。</w:t>
      </w:r>
      <w:bookmarkEnd w:id="236"/>
    </w:p>
    <w:p w14:paraId="44D1BA50">
      <w:pPr>
        <w:pStyle w:val="3"/>
        <w:spacing w:line="400" w:lineRule="exact"/>
        <w:ind w:firstLine="482" w:firstLineChars="200"/>
        <w:rPr>
          <w:rFonts w:cs="方正仿宋_GBK" w:asciiTheme="minorEastAsia" w:hAnsiTheme="minorEastAsia" w:eastAsiaTheme="minorEastAsia"/>
          <w:b/>
          <w:bCs/>
          <w:color w:val="auto"/>
          <w:kern w:val="0"/>
          <w:sz w:val="24"/>
          <w:szCs w:val="24"/>
          <w:highlight w:val="none"/>
        </w:rPr>
      </w:pPr>
      <w:bookmarkStart w:id="237" w:name="_Toc1420"/>
      <w:r>
        <w:rPr>
          <w:rFonts w:hint="eastAsia" w:cs="方正仿宋_GBK" w:asciiTheme="minorEastAsia" w:hAnsiTheme="minorEastAsia" w:eastAsiaTheme="minorEastAsia"/>
          <w:b/>
          <w:bCs/>
          <w:color w:val="auto"/>
          <w:kern w:val="0"/>
          <w:sz w:val="24"/>
          <w:szCs w:val="24"/>
          <w:highlight w:val="none"/>
        </w:rPr>
        <w:t>※五、履约保证金</w:t>
      </w:r>
      <w:bookmarkEnd w:id="237"/>
    </w:p>
    <w:p w14:paraId="5223E4B1">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（一）中标人须在结果公告之日（不含）起10个工作日向采购人提交合同总金额</w:t>
      </w:r>
      <w:r>
        <w:rPr>
          <w:rFonts w:cs="方正仿宋_GBK" w:asciiTheme="minorEastAsia" w:hAnsiTheme="minorEastAsia" w:eastAsiaTheme="minorEastAsia"/>
          <w:color w:val="auto"/>
          <w:kern w:val="0"/>
          <w:sz w:val="24"/>
          <w:szCs w:val="24"/>
          <w:highlight w:val="none"/>
        </w:rPr>
        <w:t>5</w:t>
      </w:r>
      <w:r>
        <w:rPr>
          <w:rFonts w:hint="eastAsia" w:cs="方正仿宋_GBK" w:asciiTheme="minorEastAsia" w:hAnsiTheme="minorEastAsia" w:eastAsiaTheme="minorEastAsia"/>
          <w:color w:val="auto"/>
          <w:kern w:val="0"/>
          <w:sz w:val="24"/>
          <w:szCs w:val="24"/>
          <w:highlight w:val="none"/>
        </w:rPr>
        <w:t>%的履约保证金（以银行转账、支票、汇票、本票或银行保函（银行保函模板详见招标文件附件）等非现金形式提交）确保项目按期、按质进行。中标人按照招标文件相关规定缴纳履约保证金，是合同生效的必要前提（合同生效条件包含但不限于履约保证金缴纳的时间、金额及方式等），反之视为放弃中标，合同无效。</w:t>
      </w:r>
    </w:p>
    <w:p w14:paraId="52D99B5C">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（二）银行保函的相关要求</w:t>
      </w:r>
    </w:p>
    <w:p w14:paraId="199308E6">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1.银行保函的提交方式：银行保函必须为不可撤销且见索即付。</w:t>
      </w:r>
    </w:p>
    <w:p w14:paraId="2F29659E">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2.银行保函的有效期：</w:t>
      </w:r>
      <w:r>
        <w:rPr>
          <w:rFonts w:ascii="宋体" w:hAnsi="宋体" w:cs="宋体"/>
          <w:color w:val="auto"/>
          <w:sz w:val="24"/>
          <w:szCs w:val="24"/>
          <w:highlight w:val="none"/>
        </w:rPr>
        <w:t>自</w:t>
      </w:r>
      <w:r>
        <w:rPr>
          <w:rFonts w:hint="eastAsia" w:ascii="宋体" w:hAnsi="宋体" w:cs="宋体"/>
          <w:color w:val="auto"/>
          <w:sz w:val="24"/>
          <w:szCs w:val="24"/>
          <w:highlight w:val="none"/>
        </w:rPr>
        <w:t>合同签订</w:t>
      </w:r>
      <w:r>
        <w:rPr>
          <w:rFonts w:ascii="宋体" w:hAnsi="宋体" w:cs="宋体"/>
          <w:color w:val="auto"/>
          <w:sz w:val="24"/>
          <w:szCs w:val="24"/>
          <w:highlight w:val="none"/>
        </w:rPr>
        <w:t>之日起至质保期结束之日为止。若</w:t>
      </w:r>
      <w:r>
        <w:rPr>
          <w:rFonts w:hint="eastAsia" w:ascii="宋体" w:hAnsi="宋体" w:cs="宋体"/>
          <w:color w:val="auto"/>
          <w:sz w:val="24"/>
          <w:szCs w:val="24"/>
          <w:highlight w:val="none"/>
        </w:rPr>
        <w:t>中标人</w:t>
      </w:r>
      <w:r>
        <w:rPr>
          <w:rFonts w:ascii="宋体" w:hAnsi="宋体" w:cs="宋体"/>
          <w:color w:val="auto"/>
          <w:sz w:val="24"/>
          <w:szCs w:val="24"/>
          <w:highlight w:val="none"/>
        </w:rPr>
        <w:t>递交的保函有效期截止时间早于质保期结束，</w:t>
      </w:r>
      <w:r>
        <w:rPr>
          <w:rFonts w:hint="eastAsia" w:ascii="宋体" w:hAnsi="宋体" w:cs="宋体"/>
          <w:color w:val="auto"/>
          <w:sz w:val="24"/>
          <w:szCs w:val="24"/>
          <w:highlight w:val="none"/>
        </w:rPr>
        <w:t>中标人</w:t>
      </w:r>
      <w:r>
        <w:rPr>
          <w:rFonts w:ascii="宋体" w:hAnsi="宋体" w:cs="宋体"/>
          <w:color w:val="auto"/>
          <w:sz w:val="24"/>
          <w:szCs w:val="24"/>
          <w:highlight w:val="none"/>
        </w:rPr>
        <w:t>须在保函有限期截止时间前30天再次递交保函(有效期开始时间不能晚于上一份保函有效期的截止时间)</w:t>
      </w:r>
      <w:r>
        <w:rPr>
          <w:rFonts w:hint="eastAsia" w:cs="方正仿宋_GBK" w:asciiTheme="minorEastAsia" w:hAnsiTheme="minorEastAsia" w:eastAsiaTheme="minorEastAsia"/>
          <w:color w:val="auto"/>
          <w:kern w:val="0"/>
          <w:sz w:val="24"/>
          <w:szCs w:val="24"/>
          <w:highlight w:val="none"/>
        </w:rPr>
        <w:t>。</w:t>
      </w:r>
    </w:p>
    <w:p w14:paraId="336C22FD">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（三）银行转账相关要求</w:t>
      </w:r>
    </w:p>
    <w:p w14:paraId="0A586D79">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1.中标人以银行转账、电汇等方式转入采购人指定的银行账户，不得以现金或其他方式划入任何个人账户，否则由此产生的所有损失由中标人自行承担。中标人务必在汇款凭证上注明“CQS25A04186”。</w:t>
      </w:r>
    </w:p>
    <w:p w14:paraId="04159FB9">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2.履约保证金指定收取账户</w:t>
      </w:r>
    </w:p>
    <w:p w14:paraId="3009C9C9">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户名：重庆工商大学</w:t>
      </w:r>
    </w:p>
    <w:p w14:paraId="72DCD098">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开户行：工行重庆南岸学府支行</w:t>
      </w:r>
    </w:p>
    <w:p w14:paraId="4174A766">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账号：9558 8531 0075 3300 031</w:t>
      </w:r>
    </w:p>
    <w:p w14:paraId="21413892">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3.履约保证金退还方式</w:t>
      </w:r>
    </w:p>
    <w:p w14:paraId="62B7793C">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在验收合格且无遗留问题的前提下，质保期满后退还全额履约保证金（不计利息）。</w:t>
      </w:r>
    </w:p>
    <w:p w14:paraId="4615EBCA">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中标人申请退履约保证金时提供需求部门、资产管理处签署的《重庆工商大学货物及服务项目质量评估报告及履约保证金退还审核流程表》。</w:t>
      </w:r>
    </w:p>
    <w:p w14:paraId="7F1C339F">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注：如遇寒暑假或国家重大事件，则顺延至开学或条件允许后支付。</w:t>
      </w:r>
    </w:p>
    <w:p w14:paraId="4EFA248B">
      <w:pPr>
        <w:pStyle w:val="3"/>
        <w:spacing w:line="400" w:lineRule="exact"/>
        <w:ind w:firstLine="482" w:firstLineChars="200"/>
        <w:rPr>
          <w:rFonts w:cs="方正仿宋_GBK" w:asciiTheme="minorEastAsia" w:hAnsiTheme="minorEastAsia" w:eastAsiaTheme="minorEastAsia"/>
          <w:b/>
          <w:bCs/>
          <w:color w:val="auto"/>
          <w:kern w:val="0"/>
          <w:sz w:val="24"/>
          <w:szCs w:val="24"/>
          <w:highlight w:val="none"/>
        </w:rPr>
      </w:pPr>
      <w:bookmarkStart w:id="238" w:name="_Toc26690"/>
      <w:r>
        <w:rPr>
          <w:rFonts w:hint="eastAsia" w:cs="方正仿宋_GBK" w:asciiTheme="minorEastAsia" w:hAnsiTheme="minorEastAsia" w:eastAsiaTheme="minorEastAsia"/>
          <w:b/>
          <w:bCs/>
          <w:color w:val="auto"/>
          <w:kern w:val="0"/>
          <w:sz w:val="24"/>
          <w:szCs w:val="24"/>
          <w:highlight w:val="none"/>
        </w:rPr>
        <w:t>※六、违约责任</w:t>
      </w:r>
      <w:bookmarkEnd w:id="238"/>
    </w:p>
    <w:p w14:paraId="0FF67F60">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1.采购人可通过现场考察、函询等多种方式对中标人的响应文件响应情况予以核查，中标人须无条件配合并提供有关证明材料，证明其响应内容的真实有效性。合同签订前，采购人若发现中标人进行虚假响应或提供虚假材料的，有权取消中标人的中标资格，全额没收投标保证金（如有）；合同签订后，采购人若查实中标人进行虚假响应或提供虚假材料的，采购人有权单方面终止合同，全额没收履约保证金，采购人不承担任何责任。</w:t>
      </w:r>
    </w:p>
    <w:p w14:paraId="08A463AC">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2.若中标人发生部分违约现象，采购人从履约保证金中扣除相应金额的违约金，中标人应在</w:t>
      </w:r>
      <w:r>
        <w:rPr>
          <w:rFonts w:cs="宋体" w:asciiTheme="minorEastAsia" w:hAnsiTheme="minorEastAsia" w:eastAsiaTheme="minorEastAsia"/>
          <w:color w:val="auto"/>
          <w:kern w:val="0"/>
          <w:sz w:val="24"/>
          <w:szCs w:val="24"/>
          <w:highlight w:val="none"/>
        </w:rPr>
        <w:t>5</w:t>
      </w:r>
      <w:r>
        <w:rPr>
          <w:rFonts w:hint="eastAsia" w:cs="宋体" w:asciiTheme="minorEastAsia" w:hAnsiTheme="minorEastAsia" w:eastAsiaTheme="minorEastAsia"/>
          <w:color w:val="auto"/>
          <w:kern w:val="0"/>
          <w:sz w:val="24"/>
          <w:szCs w:val="24"/>
          <w:highlight w:val="none"/>
        </w:rPr>
        <w:t>个工作日内补足履约保证金；若发现严重违约现象，采购人有充分理由没收其全额保证金并有权单方面解除合同，采购人不承担任何责任。</w:t>
      </w:r>
    </w:p>
    <w:p w14:paraId="762F1AD2">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2.1非不可抗力情况下，因中标人自身原因终止履行合同的，履约保证金全额不予退还；</w:t>
      </w:r>
    </w:p>
    <w:p w14:paraId="162E31A1">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2.2若中标人未能按合同和采购文件要求供货或提供服务的（包含但不限于中标人提供的产品与合同、响应文件的品牌规格型号不一致等情形），履约保证金全额不予退还。其中，在质保期内采购人发现系统运行状态不符合合同质量要求的，若中标人未及时整改到位，履约保证金全额不予退还；</w:t>
      </w:r>
    </w:p>
    <w:p w14:paraId="55BDA1E9">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2.3非不可抗力情况下，因中标人自身原因，超过合同交货期限仍未送货安装调试达到验收要求的，超期1天，采购人扣除中标人履约保证金的3%作为违约惩罚，以此类推；</w:t>
      </w:r>
    </w:p>
    <w:p w14:paraId="49D76D7C">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2.4因不可抗力，或采购人自身原因，致使交货期限延后的，中标人不承担相应违约责任。但中标人须提供采购人需求部门出具的同意延迟交货以及确定延迟交货期的书面情况说明，采购人需求部门负责人签字并加盖部门公章。</w:t>
      </w:r>
    </w:p>
    <w:p w14:paraId="55A83C33">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2.5中标人所供产品须为中国大陆关境内生产，若存在进口产品，采购人将拒绝验收，并有权解除合同，履约保证金全额不予退还，采购人不承担任何责任。</w:t>
      </w:r>
    </w:p>
    <w:p w14:paraId="315B9C1F">
      <w:pPr>
        <w:snapToGrid w:val="0"/>
        <w:spacing w:line="440" w:lineRule="exact"/>
        <w:ind w:firstLine="480" w:firstLineChars="200"/>
        <w:rPr>
          <w:rFonts w:cs="宋体" w:asciiTheme="minorEastAsia" w:hAnsiTheme="minorEastAsia" w:eastAsiaTheme="minorEastAsia"/>
          <w:color w:val="auto"/>
          <w:kern w:val="0"/>
          <w:sz w:val="24"/>
          <w:szCs w:val="24"/>
          <w:highlight w:val="none"/>
        </w:rPr>
      </w:pPr>
      <w:r>
        <w:rPr>
          <w:rFonts w:cs="宋体" w:asciiTheme="minorEastAsia" w:hAnsiTheme="minorEastAsia" w:eastAsiaTheme="minorEastAsia"/>
          <w:color w:val="auto"/>
          <w:kern w:val="0"/>
          <w:sz w:val="24"/>
          <w:szCs w:val="24"/>
          <w:highlight w:val="none"/>
        </w:rPr>
        <w:t>2.6</w:t>
      </w:r>
      <w:r>
        <w:rPr>
          <w:rFonts w:hint="eastAsia" w:cs="宋体" w:asciiTheme="minorEastAsia" w:hAnsiTheme="minorEastAsia" w:eastAsiaTheme="minorEastAsia"/>
          <w:color w:val="auto"/>
          <w:kern w:val="0"/>
          <w:sz w:val="24"/>
          <w:szCs w:val="24"/>
          <w:highlight w:val="none"/>
        </w:rPr>
        <w:t>中标人未按合同要求完成送货、安装调试、提供服务，或未达到最终验收要求的，或未在规定时间内进行整改的，或整改后仍然无法达到招标文件或合同要求的，履约保证金全额不予退还，采购人有权单方面解除合同，采购人不承担任何责任</w:t>
      </w:r>
      <w:r>
        <w:rPr>
          <w:rFonts w:cs="宋体" w:asciiTheme="minorEastAsia" w:hAnsiTheme="minorEastAsia" w:eastAsiaTheme="minorEastAsia"/>
          <w:color w:val="auto"/>
          <w:kern w:val="0"/>
          <w:sz w:val="24"/>
          <w:szCs w:val="24"/>
          <w:highlight w:val="none"/>
        </w:rPr>
        <w:t>。</w:t>
      </w:r>
    </w:p>
    <w:p w14:paraId="11BADBB8">
      <w:pPr>
        <w:spacing w:line="400" w:lineRule="exact"/>
        <w:ind w:firstLine="604" w:firstLineChars="252"/>
        <w:rPr>
          <w:rFonts w:cs="宋体" w:asciiTheme="minorEastAsia" w:hAnsiTheme="minorEastAsia" w:eastAsiaTheme="minorEastAsia"/>
          <w:color w:val="auto"/>
          <w:kern w:val="0"/>
          <w:sz w:val="24"/>
          <w:szCs w:val="24"/>
          <w:highlight w:val="none"/>
        </w:rPr>
      </w:pPr>
      <w:r>
        <w:rPr>
          <w:rFonts w:cs="宋体" w:asciiTheme="minorEastAsia" w:hAnsiTheme="minorEastAsia" w:eastAsiaTheme="minorEastAsia"/>
          <w:color w:val="auto"/>
          <w:kern w:val="0"/>
          <w:sz w:val="24"/>
          <w:szCs w:val="24"/>
          <w:highlight w:val="none"/>
        </w:rPr>
        <w:t>2.7</w:t>
      </w:r>
      <w:r>
        <w:rPr>
          <w:rFonts w:hint="eastAsia" w:cs="宋体" w:asciiTheme="minorEastAsia" w:hAnsiTheme="minorEastAsia" w:eastAsiaTheme="minorEastAsia"/>
          <w:color w:val="auto"/>
          <w:kern w:val="0"/>
          <w:sz w:val="24"/>
          <w:szCs w:val="24"/>
          <w:highlight w:val="none"/>
        </w:rPr>
        <w:t>中标人在合同履约过程中有违约行为导致出现安全责任事故并造成严重影响的，或出现重大负面舆情给采购人声誉造成严重负面影响的，或严重影响采购人正常教学、生活秩序的，履约保证金全额不予退还，采购人有权单方面解除合同，采购人不承担任何责任。</w:t>
      </w:r>
    </w:p>
    <w:p w14:paraId="3529E1E2">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2.8中标人对本项目进行分包、转包的（按照“落实政府采购政策需满足的资格要求”进行合同分包除外），履约保证金全额不予退还，采购人有权单方面解除合同，采购人不承担任何责任。</w:t>
      </w:r>
    </w:p>
    <w:p w14:paraId="5E3E407D">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3.若中标人在响应过程中有虚假响应或合同履约过程中有违约行为的，或正式验收或使用过程中，若经采购人或第三方检测机构验证不合格，除须承担相应的经济赔偿责任之外，采购人有权终止合同，采购人不承担任何责任，并报送至重庆市财政局，将其列入政府采购黑名单。</w:t>
      </w:r>
    </w:p>
    <w:p w14:paraId="232AF5D6">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4.供应商有下列情形之一的，列入采购人采招供应商黑名单，采购人视情况禁止供应商及关联关系方（指单位负责人为同一人或存在直接控股、关联关系的不同供应商）6个月至3年内参加采购人采招项目投标。</w:t>
      </w:r>
    </w:p>
    <w:p w14:paraId="161135F3">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4.1投标人在投标过程中有虚假投标、围标、串标行为的。</w:t>
      </w:r>
    </w:p>
    <w:p w14:paraId="3C5F8674">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4.2不按规定提交履约保证金。</w:t>
      </w:r>
    </w:p>
    <w:p w14:paraId="6C8F4501">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4.3非不可抗力原因，中标人无故放弃项目中标资格的、或不与采购人签订合同的、或合同签订后拒绝履行合同义务的。</w:t>
      </w:r>
    </w:p>
    <w:p w14:paraId="25C6AD6B">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4.4中标人在合同履约过程中有违约行为，整改后再次违约的。</w:t>
      </w:r>
    </w:p>
    <w:p w14:paraId="3A6ABA59">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4.5中标人因自身原因未按合同约定完成送货、安装调试达到验收要求，给采购人造成负面影响的。</w:t>
      </w:r>
    </w:p>
    <w:p w14:paraId="4E5C8EC1">
      <w:pPr>
        <w:spacing w:line="400" w:lineRule="exact"/>
        <w:ind w:firstLine="604" w:firstLineChars="252"/>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4.6其他违反采购与招投标法律法规和采购人规章制度的。</w:t>
      </w:r>
    </w:p>
    <w:p w14:paraId="0C989231">
      <w:pPr>
        <w:spacing w:line="400" w:lineRule="exact"/>
        <w:ind w:firstLine="604" w:firstLineChars="252"/>
        <w:rPr>
          <w:rFonts w:cs="方正仿宋_GBK"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5.其他未尽事宜按《中华人民共和国民法典》《政府采购法》执行。</w:t>
      </w:r>
    </w:p>
    <w:p w14:paraId="6587B247">
      <w:pPr>
        <w:pStyle w:val="3"/>
        <w:spacing w:line="400" w:lineRule="exact"/>
        <w:ind w:firstLine="482" w:firstLineChars="200"/>
        <w:rPr>
          <w:rFonts w:cs="方正仿宋_GBK" w:asciiTheme="minorEastAsia" w:hAnsiTheme="minorEastAsia" w:eastAsiaTheme="minorEastAsia"/>
          <w:b/>
          <w:bCs/>
          <w:color w:val="auto"/>
          <w:kern w:val="0"/>
          <w:sz w:val="24"/>
          <w:szCs w:val="24"/>
          <w:highlight w:val="none"/>
        </w:rPr>
      </w:pPr>
      <w:bookmarkStart w:id="239" w:name="_Toc7610"/>
      <w:r>
        <w:rPr>
          <w:rFonts w:hint="eastAsia" w:cs="方正仿宋_GBK" w:asciiTheme="minorEastAsia" w:hAnsiTheme="minorEastAsia" w:eastAsiaTheme="minorEastAsia"/>
          <w:b/>
          <w:bCs/>
          <w:color w:val="auto"/>
          <w:kern w:val="0"/>
          <w:sz w:val="24"/>
          <w:szCs w:val="24"/>
          <w:highlight w:val="none"/>
        </w:rPr>
        <w:t>※七、知识产权</w:t>
      </w:r>
      <w:bookmarkEnd w:id="239"/>
    </w:p>
    <w:p w14:paraId="444A6FEA">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采购人在中华人民共和国关境内使用中标人提供的货物及服务时免受第三方提出的侵犯其专利权或其它知识产权的起诉。如果第三方提出侵权指控，中标人应承担由此而引起的一切法律责任和费用。涉及软件开发等服务类项目知识产权的，知识产权归采购人所有。</w:t>
      </w:r>
    </w:p>
    <w:p w14:paraId="46B0B9B3">
      <w:pPr>
        <w:pStyle w:val="3"/>
        <w:spacing w:line="400" w:lineRule="exact"/>
        <w:ind w:firstLine="482" w:firstLineChars="200"/>
        <w:rPr>
          <w:rFonts w:cs="方正仿宋_GBK" w:asciiTheme="minorEastAsia" w:hAnsiTheme="minorEastAsia" w:eastAsiaTheme="minorEastAsia"/>
          <w:b/>
          <w:bCs/>
          <w:color w:val="auto"/>
          <w:kern w:val="0"/>
          <w:sz w:val="24"/>
          <w:szCs w:val="24"/>
          <w:highlight w:val="none"/>
        </w:rPr>
      </w:pPr>
      <w:bookmarkStart w:id="240" w:name="_Toc1526"/>
      <w:r>
        <w:rPr>
          <w:rFonts w:hint="eastAsia" w:cs="方正仿宋_GBK" w:asciiTheme="minorEastAsia" w:hAnsiTheme="minorEastAsia" w:eastAsiaTheme="minorEastAsia"/>
          <w:b/>
          <w:bCs/>
          <w:color w:val="auto"/>
          <w:kern w:val="0"/>
          <w:sz w:val="24"/>
          <w:szCs w:val="24"/>
          <w:highlight w:val="none"/>
        </w:rPr>
        <w:t>※八、培训</w:t>
      </w:r>
      <w:bookmarkEnd w:id="240"/>
    </w:p>
    <w:p w14:paraId="34F74859">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中标人需对产品的使用和操作应尽培训义务。由仪器制造厂安装工程师在用户现场对采购人实验室人员免费现场培训，使采购人使用人员能够正常操作，培训内容包括仪器构成、工作原理、基本操作、日常保养、仪器维护、故障排除等方面的内容，使用户达到独立操作水平。培训计划（培训时间安排，课程内容安排）由采购人需求部门和中标人协商确定后实施。同时长期免费提供产品的性能、应用、维护等方面的技术咨询。</w:t>
      </w:r>
    </w:p>
    <w:p w14:paraId="28F71832">
      <w:pPr>
        <w:pStyle w:val="3"/>
        <w:spacing w:line="400" w:lineRule="exact"/>
        <w:ind w:firstLine="482" w:firstLineChars="200"/>
        <w:rPr>
          <w:rFonts w:cs="方正仿宋_GBK" w:asciiTheme="minorEastAsia" w:hAnsiTheme="minorEastAsia" w:eastAsiaTheme="minorEastAsia"/>
          <w:b/>
          <w:bCs/>
          <w:color w:val="auto"/>
          <w:kern w:val="0"/>
          <w:sz w:val="24"/>
          <w:szCs w:val="24"/>
          <w:highlight w:val="none"/>
        </w:rPr>
      </w:pPr>
      <w:bookmarkStart w:id="241" w:name="_Toc3848"/>
      <w:r>
        <w:rPr>
          <w:rFonts w:hint="eastAsia" w:cs="方正仿宋_GBK" w:asciiTheme="minorEastAsia" w:hAnsiTheme="minorEastAsia" w:eastAsiaTheme="minorEastAsia"/>
          <w:b/>
          <w:bCs/>
          <w:color w:val="auto"/>
          <w:kern w:val="0"/>
          <w:sz w:val="24"/>
          <w:szCs w:val="24"/>
          <w:highlight w:val="none"/>
        </w:rPr>
        <w:t>※九、附件、图纸及包装要求</w:t>
      </w:r>
      <w:bookmarkEnd w:id="241"/>
    </w:p>
    <w:p w14:paraId="1E150BD1">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所有设备按照制造商规定的产品包装和随机标准附件为准。</w:t>
      </w:r>
    </w:p>
    <w:p w14:paraId="6E1F2064">
      <w:pPr>
        <w:pStyle w:val="3"/>
        <w:spacing w:line="400" w:lineRule="exact"/>
        <w:ind w:firstLine="482" w:firstLineChars="200"/>
        <w:rPr>
          <w:rFonts w:cs="方正仿宋_GBK" w:asciiTheme="minorEastAsia" w:hAnsiTheme="minorEastAsia" w:eastAsiaTheme="minorEastAsia"/>
          <w:b/>
          <w:bCs/>
          <w:color w:val="auto"/>
          <w:kern w:val="0"/>
          <w:sz w:val="24"/>
          <w:szCs w:val="24"/>
          <w:highlight w:val="none"/>
        </w:rPr>
      </w:pPr>
      <w:bookmarkStart w:id="242" w:name="_Toc23408"/>
      <w:r>
        <w:rPr>
          <w:rFonts w:hint="eastAsia" w:cs="方正仿宋_GBK" w:asciiTheme="minorEastAsia" w:hAnsiTheme="minorEastAsia" w:eastAsiaTheme="minorEastAsia"/>
          <w:b/>
          <w:bCs/>
          <w:color w:val="auto"/>
          <w:kern w:val="0"/>
          <w:sz w:val="24"/>
          <w:szCs w:val="24"/>
          <w:highlight w:val="none"/>
        </w:rPr>
        <w:t>※十、其他商务要求内容</w:t>
      </w:r>
      <w:bookmarkEnd w:id="242"/>
    </w:p>
    <w:p w14:paraId="0CED55C4">
      <w:pPr>
        <w:adjustRightInd w:val="0"/>
        <w:snapToGrid w:val="0"/>
        <w:spacing w:line="440" w:lineRule="exact"/>
        <w:ind w:firstLine="480" w:firstLineChars="200"/>
        <w:jc w:val="lef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（一）本项目各子项都为交钥匙工程，为多品目货物采购。根据需要和现场踏勘情况，如有遗漏请投标单位自行补齐设备。</w:t>
      </w:r>
    </w:p>
    <w:p w14:paraId="5CB92418">
      <w:pPr>
        <w:adjustRightInd w:val="0"/>
        <w:snapToGrid w:val="0"/>
        <w:spacing w:line="440" w:lineRule="exact"/>
        <w:ind w:firstLine="480" w:firstLineChars="200"/>
        <w:jc w:val="lef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采购人不统一组织踏勘项目现场。投标人可以在投标截止时间之前自行对本项目现场进行踏勘、询问。无论投标人是否踏勘过现场，均被视为在投标截止时间之前已踏勘过现场，且对本项目潜在的风险和义务已完全了解，并在其投标文件中已充分考虑了本项目可能面临的不确定因素可能导致的风险。踏勘现场所发生的费用由投标人自行承担。</w:t>
      </w:r>
    </w:p>
    <w:p w14:paraId="0B74EEBC">
      <w:pPr>
        <w:adjustRightInd w:val="0"/>
        <w:snapToGrid w:val="0"/>
        <w:spacing w:line="440" w:lineRule="exact"/>
        <w:ind w:firstLine="480" w:firstLineChars="200"/>
        <w:jc w:val="lef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（三）中标人在送货安装前，需提前与采购人需求部门取得联系，落实安装具体时间及安装地点,中标人与需求部门共同组织安装、调试，积极配合采购人需求部门完成资产入固工作。</w:t>
      </w:r>
    </w:p>
    <w:p w14:paraId="5148B89D">
      <w:pPr>
        <w:adjustRightInd w:val="0"/>
        <w:snapToGrid w:val="0"/>
        <w:spacing w:line="440" w:lineRule="exact"/>
        <w:ind w:firstLine="480" w:firstLineChars="200"/>
        <w:jc w:val="lef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（四）若项目实施期间采购人正在实施教学活动，项目施工宜安排在晚上或周末等没有行课安排的时间，项目实施期间不得干扰和影响正常的教学活动，每次离场前须保持教室教学环境清洁卫生。</w:t>
      </w:r>
    </w:p>
    <w:p w14:paraId="1702944A">
      <w:pPr>
        <w:adjustRightInd w:val="0"/>
        <w:snapToGrid w:val="0"/>
        <w:spacing w:line="440" w:lineRule="exact"/>
        <w:ind w:firstLine="480" w:firstLineChars="200"/>
        <w:jc w:val="lef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五）中标人负责整个项目的安全管理。施工中人身及财产安全放在第一位。中标人必须服从采购人现场代表的质量监督要求和管理，文明施工，安全生产，按时完工。中标人负责涉及工程的环境保护及恢复，竣工验收时做到“工完场清”。</w:t>
      </w:r>
    </w:p>
    <w:p w14:paraId="47F0BB0B">
      <w:pPr>
        <w:adjustRightInd w:val="0"/>
        <w:snapToGrid w:val="0"/>
        <w:spacing w:line="440" w:lineRule="exact"/>
        <w:ind w:firstLine="480" w:firstLineChars="200"/>
        <w:jc w:val="lef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六）中标人应保护好项目现场所有设施、设备、物品及人员的安全。管理规范，措施到位，如因中标人措施不力或管理不到位，对采购人等造成损失进行赔偿，出现责任事故承担相应责任。在施工和设备安装过程中，施工安全、消防安全、治安安全、文明施工环境保护等方面责任全部由中标人承担，采购人不承担其它任何费用。如因中标人管理不善造成的损失由中标人全部承担。</w:t>
      </w:r>
    </w:p>
    <w:p w14:paraId="5119C682">
      <w:pPr>
        <w:pStyle w:val="2"/>
        <w:spacing w:before="0" w:beforeLines="0" w:after="0" w:afterLines="0" w:line="240" w:lineRule="auto"/>
        <w:rPr>
          <w:rFonts w:cs="方正仿宋_GBK" w:asciiTheme="minorEastAsia" w:hAnsiTheme="minorEastAsia" w:eastAsiaTheme="minorEastAsia"/>
          <w:b/>
          <w:color w:val="auto"/>
          <w:highlight w:val="none"/>
        </w:rPr>
      </w:pPr>
      <w:r>
        <w:rPr>
          <w:rFonts w:hint="eastAsia" w:cs="方正仿宋_GBK" w:asciiTheme="minorEastAsia" w:hAnsiTheme="minorEastAsia" w:eastAsiaTheme="minorEastAsia"/>
          <w:color w:val="auto"/>
          <w:sz w:val="24"/>
          <w:szCs w:val="28"/>
          <w:highlight w:val="none"/>
        </w:rPr>
        <w:br w:type="page"/>
      </w:r>
      <w:bookmarkStart w:id="243" w:name="_Toc75793517"/>
      <w:bookmarkStart w:id="244" w:name="_Toc30067"/>
      <w:bookmarkStart w:id="245" w:name="_Toc11875"/>
      <w:bookmarkStart w:id="246" w:name="_Toc204345219"/>
      <w:bookmarkStart w:id="247" w:name="_Toc25903"/>
      <w:bookmarkStart w:id="248" w:name="_Toc22763"/>
      <w:bookmarkStart w:id="249" w:name="_Toc2487"/>
      <w:bookmarkStart w:id="250" w:name="_Toc2406"/>
      <w:bookmarkStart w:id="251" w:name="_Toc25911"/>
      <w:bookmarkStart w:id="252" w:name="_Toc24966"/>
      <w:bookmarkStart w:id="253" w:name="_Toc15693"/>
      <w:bookmarkStart w:id="254" w:name="_Toc3339"/>
      <w:bookmarkStart w:id="255" w:name="_Toc25165"/>
      <w:bookmarkStart w:id="256" w:name="_Toc8133"/>
      <w:bookmarkStart w:id="257" w:name="_Toc23377"/>
      <w:bookmarkStart w:id="258" w:name="_Toc30865"/>
      <w:r>
        <w:rPr>
          <w:rFonts w:hint="eastAsia" w:cs="方正仿宋_GBK" w:asciiTheme="minorEastAsia" w:hAnsiTheme="minorEastAsia" w:eastAsiaTheme="minorEastAsia"/>
          <w:b/>
          <w:color w:val="auto"/>
          <w:highlight w:val="none"/>
        </w:rPr>
        <w:t>第四篇  资格审查及评标办法</w:t>
      </w:r>
      <w:bookmarkEnd w:id="231"/>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467A9118">
      <w:pPr>
        <w:pStyle w:val="3"/>
        <w:spacing w:line="400" w:lineRule="exact"/>
        <w:ind w:firstLine="482" w:firstLineChars="200"/>
        <w:rPr>
          <w:rFonts w:cs="方正仿宋_GBK" w:asciiTheme="minorEastAsia" w:hAnsiTheme="minorEastAsia" w:eastAsiaTheme="minorEastAsia"/>
          <w:b/>
          <w:color w:val="auto"/>
          <w:sz w:val="24"/>
          <w:szCs w:val="24"/>
          <w:highlight w:val="none"/>
        </w:rPr>
      </w:pPr>
      <w:bookmarkStart w:id="259" w:name="_Toc26309"/>
      <w:bookmarkStart w:id="260" w:name="_Toc27081"/>
      <w:bookmarkStart w:id="261" w:name="_Toc20541"/>
      <w:bookmarkStart w:id="262" w:name="_Toc1497"/>
      <w:bookmarkStart w:id="263" w:name="_Toc21859"/>
      <w:bookmarkStart w:id="264" w:name="_Toc25971"/>
      <w:bookmarkStart w:id="265" w:name="_Toc75793518"/>
      <w:bookmarkStart w:id="266" w:name="_Toc23973"/>
      <w:bookmarkStart w:id="267" w:name="_Toc12641"/>
      <w:bookmarkStart w:id="268" w:name="_Toc28903"/>
      <w:bookmarkStart w:id="269" w:name="_Toc29755"/>
      <w:bookmarkStart w:id="270" w:name="_Toc28360"/>
      <w:bookmarkStart w:id="271" w:name="_Toc14564"/>
      <w:bookmarkStart w:id="272" w:name="_Toc4071"/>
      <w:bookmarkStart w:id="273" w:name="_Toc8983"/>
      <w:bookmarkStart w:id="274" w:name="_Toc204345220"/>
      <w:bookmarkStart w:id="275" w:name="_Toc11921"/>
      <w:r>
        <w:rPr>
          <w:rFonts w:hint="eastAsia" w:cs="方正仿宋_GBK" w:asciiTheme="minorEastAsia" w:hAnsiTheme="minorEastAsia" w:eastAsiaTheme="minorEastAsia"/>
          <w:b/>
          <w:color w:val="auto"/>
          <w:sz w:val="24"/>
          <w:szCs w:val="24"/>
          <w:highlight w:val="none"/>
        </w:rPr>
        <w:t>一、资格审查</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r>
        <w:rPr>
          <w:rFonts w:hint="eastAsia" w:cs="方正仿宋_GBK" w:asciiTheme="minorEastAsia" w:hAnsiTheme="minorEastAsia" w:eastAsiaTheme="minorEastAsia"/>
          <w:b/>
          <w:color w:val="auto"/>
          <w:sz w:val="24"/>
          <w:szCs w:val="24"/>
          <w:highlight w:val="none"/>
        </w:rPr>
        <w:t>及符合性审查</w:t>
      </w:r>
      <w:bookmarkEnd w:id="274"/>
      <w:bookmarkEnd w:id="275"/>
    </w:p>
    <w:p w14:paraId="6A0A93A6">
      <w:pPr>
        <w:snapToGrid w:val="0"/>
        <w:spacing w:line="400" w:lineRule="exact"/>
        <w:ind w:firstLine="482" w:firstLineChars="200"/>
        <w:rPr>
          <w:rFonts w:cs="方正仿宋_GBK" w:asciiTheme="minorEastAsia" w:hAnsiTheme="minorEastAsia" w:eastAsiaTheme="minorEastAsia"/>
          <w:b/>
          <w:color w:val="auto"/>
          <w:sz w:val="24"/>
          <w:szCs w:val="24"/>
          <w:highlight w:val="none"/>
        </w:rPr>
      </w:pPr>
      <w:r>
        <w:rPr>
          <w:rFonts w:hint="eastAsia" w:cs="方正仿宋_GBK" w:asciiTheme="minorEastAsia" w:hAnsiTheme="minorEastAsia" w:eastAsiaTheme="minorEastAsia"/>
          <w:b/>
          <w:color w:val="auto"/>
          <w:sz w:val="24"/>
          <w:szCs w:val="24"/>
          <w:highlight w:val="none"/>
        </w:rPr>
        <w:t>若未通过资格审查及符合性审查的投标文件，不进入评审环节。</w:t>
      </w:r>
    </w:p>
    <w:p w14:paraId="56AC9455">
      <w:pPr>
        <w:snapToGrid w:val="0"/>
        <w:spacing w:line="400" w:lineRule="exact"/>
        <w:ind w:firstLine="482" w:firstLineChars="200"/>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b/>
          <w:color w:val="auto"/>
          <w:sz w:val="24"/>
          <w:szCs w:val="24"/>
          <w:highlight w:val="none"/>
        </w:rPr>
        <w:t>（一）资格审查</w:t>
      </w:r>
    </w:p>
    <w:p w14:paraId="3B2B8F19">
      <w:pPr>
        <w:snapToGrid w:val="0"/>
        <w:spacing w:line="400" w:lineRule="exact"/>
        <w:ind w:firstLine="480" w:firstLineChars="200"/>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依据政府采购相关法律法规规定，由采购人或采购代理机构对投标文件中的资格证明文件进行审查。资格审查资料表如下：</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14:paraId="1CA66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0FEBFB1">
            <w:pPr>
              <w:jc w:val="center"/>
              <w:rPr>
                <w:rFonts w:cs="方正仿宋_GBK" w:asciiTheme="minorEastAsia" w:hAnsiTheme="minorEastAsia" w:eastAsiaTheme="minorEastAsia"/>
                <w:b/>
                <w:color w:val="auto"/>
                <w:kern w:val="0"/>
                <w:sz w:val="21"/>
                <w:szCs w:val="21"/>
                <w:highlight w:val="none"/>
              </w:rPr>
            </w:pPr>
            <w:r>
              <w:rPr>
                <w:rFonts w:hint="eastAsia" w:cs="方正仿宋_GBK" w:asciiTheme="minorEastAsia" w:hAnsiTheme="minorEastAsia" w:eastAsiaTheme="minorEastAsia"/>
                <w:b/>
                <w:color w:val="auto"/>
                <w:kern w:val="0"/>
                <w:sz w:val="21"/>
                <w:szCs w:val="21"/>
                <w:highlight w:val="none"/>
              </w:rPr>
              <w:t>序号</w:t>
            </w:r>
          </w:p>
        </w:tc>
        <w:tc>
          <w:tcPr>
            <w:tcW w:w="3827" w:type="dxa"/>
            <w:gridSpan w:val="2"/>
            <w:vAlign w:val="center"/>
          </w:tcPr>
          <w:p w14:paraId="7ED18387">
            <w:pPr>
              <w:jc w:val="center"/>
              <w:rPr>
                <w:rFonts w:cs="方正仿宋_GBK" w:asciiTheme="minorEastAsia" w:hAnsiTheme="minorEastAsia" w:eastAsiaTheme="minorEastAsia"/>
                <w:b/>
                <w:color w:val="auto"/>
                <w:kern w:val="0"/>
                <w:sz w:val="21"/>
                <w:szCs w:val="21"/>
                <w:highlight w:val="none"/>
              </w:rPr>
            </w:pPr>
            <w:r>
              <w:rPr>
                <w:rFonts w:hint="eastAsia" w:cs="方正仿宋_GBK" w:asciiTheme="minorEastAsia" w:hAnsiTheme="minorEastAsia" w:eastAsiaTheme="minorEastAsia"/>
                <w:b/>
                <w:color w:val="auto"/>
                <w:kern w:val="0"/>
                <w:sz w:val="21"/>
                <w:szCs w:val="21"/>
                <w:highlight w:val="none"/>
              </w:rPr>
              <w:t>检查因素</w:t>
            </w:r>
          </w:p>
        </w:tc>
        <w:tc>
          <w:tcPr>
            <w:tcW w:w="4984" w:type="dxa"/>
            <w:vAlign w:val="center"/>
          </w:tcPr>
          <w:p w14:paraId="7929421E">
            <w:pPr>
              <w:jc w:val="center"/>
              <w:rPr>
                <w:rFonts w:cs="方正仿宋_GBK" w:asciiTheme="minorEastAsia" w:hAnsiTheme="minorEastAsia" w:eastAsiaTheme="minorEastAsia"/>
                <w:b/>
                <w:color w:val="auto"/>
                <w:kern w:val="0"/>
                <w:sz w:val="21"/>
                <w:szCs w:val="21"/>
                <w:highlight w:val="none"/>
              </w:rPr>
            </w:pPr>
            <w:r>
              <w:rPr>
                <w:rFonts w:hint="eastAsia" w:cs="方正仿宋_GBK" w:asciiTheme="minorEastAsia" w:hAnsiTheme="minorEastAsia" w:eastAsiaTheme="minorEastAsia"/>
                <w:b/>
                <w:color w:val="auto"/>
                <w:kern w:val="0"/>
                <w:sz w:val="21"/>
                <w:szCs w:val="21"/>
                <w:highlight w:val="none"/>
              </w:rPr>
              <w:t>检查内容</w:t>
            </w:r>
          </w:p>
        </w:tc>
      </w:tr>
      <w:tr w14:paraId="79DB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14:paraId="02797044">
            <w:pPr>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（一）</w:t>
            </w:r>
          </w:p>
        </w:tc>
        <w:tc>
          <w:tcPr>
            <w:tcW w:w="709" w:type="dxa"/>
            <w:vMerge w:val="restart"/>
            <w:vAlign w:val="center"/>
          </w:tcPr>
          <w:p w14:paraId="6E77E4CA">
            <w:pPr>
              <w:rPr>
                <w:rFonts w:cs="方正仿宋_GBK" w:asciiTheme="minorEastAsia" w:hAnsiTheme="minorEastAsia" w:eastAsiaTheme="minorEastAsia"/>
                <w:color w:val="auto"/>
                <w:sz w:val="21"/>
                <w:szCs w:val="21"/>
                <w:highlight w:val="none"/>
                <w:lang w:val="zh-CN"/>
              </w:rPr>
            </w:pPr>
            <w:r>
              <w:rPr>
                <w:rFonts w:hint="eastAsia" w:cs="方正仿宋_GBK" w:asciiTheme="minorEastAsia" w:hAnsiTheme="minorEastAsia" w:eastAsiaTheme="minorEastAsia"/>
                <w:color w:val="auto"/>
                <w:sz w:val="21"/>
                <w:szCs w:val="21"/>
                <w:highlight w:val="none"/>
                <w:lang w:val="zh-CN"/>
              </w:rPr>
              <w:t>《中华人民共和国政府采购法》第二十二条规定</w:t>
            </w:r>
          </w:p>
        </w:tc>
        <w:tc>
          <w:tcPr>
            <w:tcW w:w="3118" w:type="dxa"/>
            <w:vAlign w:val="center"/>
          </w:tcPr>
          <w:p w14:paraId="126F5800">
            <w:pP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1.具有独立承担民事责任的能力</w:t>
            </w:r>
          </w:p>
        </w:tc>
        <w:tc>
          <w:tcPr>
            <w:tcW w:w="4984" w:type="dxa"/>
            <w:vAlign w:val="center"/>
          </w:tcPr>
          <w:p w14:paraId="48E1562E">
            <w:pP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1.投标人法人营业执照（副本）或事业单位法人证书（副本）或个体工商户营业执照或有效的自然人身份证明或社会团体法人登记证书（提供复印件）。 </w:t>
            </w:r>
          </w:p>
          <w:p w14:paraId="02D3AC6B">
            <w:pP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2.投标人法定代表人身份证明和法定代表人授权代表委托书。</w:t>
            </w:r>
          </w:p>
        </w:tc>
      </w:tr>
      <w:tr w14:paraId="474F2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2253E28A">
            <w:pPr>
              <w:jc w:val="center"/>
              <w:rPr>
                <w:rFonts w:cs="方正仿宋_GBK" w:asciiTheme="minorEastAsia" w:hAnsiTheme="minorEastAsia" w:eastAsiaTheme="minorEastAsia"/>
                <w:color w:val="auto"/>
                <w:sz w:val="21"/>
                <w:szCs w:val="21"/>
                <w:highlight w:val="none"/>
              </w:rPr>
            </w:pPr>
          </w:p>
        </w:tc>
        <w:tc>
          <w:tcPr>
            <w:tcW w:w="709" w:type="dxa"/>
            <w:vMerge w:val="continue"/>
            <w:vAlign w:val="center"/>
          </w:tcPr>
          <w:p w14:paraId="6D34437F">
            <w:pPr>
              <w:rPr>
                <w:rFonts w:cs="方正仿宋_GBK" w:asciiTheme="minorEastAsia" w:hAnsiTheme="minorEastAsia" w:eastAsiaTheme="minorEastAsia"/>
                <w:color w:val="auto"/>
                <w:sz w:val="21"/>
                <w:szCs w:val="21"/>
                <w:highlight w:val="none"/>
                <w:lang w:val="zh-CN"/>
              </w:rPr>
            </w:pPr>
          </w:p>
        </w:tc>
        <w:tc>
          <w:tcPr>
            <w:tcW w:w="3118" w:type="dxa"/>
            <w:vAlign w:val="center"/>
          </w:tcPr>
          <w:p w14:paraId="7DD41D38">
            <w:pP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lang w:val="zh-CN"/>
              </w:rPr>
              <w:t>2.</w:t>
            </w:r>
            <w:r>
              <w:rPr>
                <w:rFonts w:hint="eastAsia" w:cs="方正仿宋_GBK" w:asciiTheme="minorEastAsia" w:hAnsiTheme="minorEastAsia" w:eastAsiaTheme="minorEastAsia"/>
                <w:color w:val="auto"/>
                <w:sz w:val="21"/>
                <w:szCs w:val="21"/>
                <w:highlight w:val="none"/>
              </w:rPr>
              <w:t>具有良好的商业信誉和健全的财务会计制度</w:t>
            </w:r>
          </w:p>
        </w:tc>
        <w:tc>
          <w:tcPr>
            <w:tcW w:w="4984" w:type="dxa"/>
            <w:vMerge w:val="restart"/>
            <w:vAlign w:val="center"/>
          </w:tcPr>
          <w:p w14:paraId="71847100">
            <w:pPr>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color w:val="auto"/>
                <w:sz w:val="21"/>
                <w:szCs w:val="21"/>
                <w:highlight w:val="none"/>
              </w:rPr>
              <w:t>投标人提供“基本资格条件承诺函”（格式详见第七篇）</w:t>
            </w:r>
          </w:p>
        </w:tc>
      </w:tr>
      <w:tr w14:paraId="65A36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3DE1E6CF">
            <w:pPr>
              <w:jc w:val="center"/>
              <w:rPr>
                <w:rFonts w:cs="方正仿宋_GBK" w:asciiTheme="minorEastAsia" w:hAnsiTheme="minorEastAsia" w:eastAsiaTheme="minorEastAsia"/>
                <w:color w:val="auto"/>
                <w:sz w:val="21"/>
                <w:szCs w:val="21"/>
                <w:highlight w:val="none"/>
              </w:rPr>
            </w:pPr>
          </w:p>
        </w:tc>
        <w:tc>
          <w:tcPr>
            <w:tcW w:w="709" w:type="dxa"/>
            <w:vMerge w:val="continue"/>
            <w:vAlign w:val="center"/>
          </w:tcPr>
          <w:p w14:paraId="5C55E570">
            <w:pPr>
              <w:rPr>
                <w:rFonts w:cs="方正仿宋_GBK" w:asciiTheme="minorEastAsia" w:hAnsiTheme="minorEastAsia" w:eastAsiaTheme="minorEastAsia"/>
                <w:color w:val="auto"/>
                <w:sz w:val="21"/>
                <w:szCs w:val="21"/>
                <w:highlight w:val="none"/>
                <w:lang w:val="zh-CN"/>
              </w:rPr>
            </w:pPr>
          </w:p>
        </w:tc>
        <w:tc>
          <w:tcPr>
            <w:tcW w:w="3118" w:type="dxa"/>
            <w:vAlign w:val="center"/>
          </w:tcPr>
          <w:p w14:paraId="0BBEF1B3">
            <w:pPr>
              <w:rPr>
                <w:rFonts w:cs="方正仿宋_GBK" w:asciiTheme="minorEastAsia" w:hAnsiTheme="minorEastAsia" w:eastAsiaTheme="minorEastAsia"/>
                <w:color w:val="auto"/>
                <w:sz w:val="21"/>
                <w:szCs w:val="21"/>
                <w:highlight w:val="none"/>
                <w:lang w:val="zh-CN"/>
              </w:rPr>
            </w:pPr>
            <w:r>
              <w:rPr>
                <w:rFonts w:hint="eastAsia" w:cs="方正仿宋_GBK" w:asciiTheme="minorEastAsia" w:hAnsiTheme="minorEastAsia" w:eastAsiaTheme="minorEastAsia"/>
                <w:color w:val="auto"/>
                <w:sz w:val="21"/>
                <w:szCs w:val="21"/>
                <w:highlight w:val="none"/>
                <w:lang w:val="zh-CN"/>
              </w:rPr>
              <w:t>3.具有履行合同所必需的设备和专业技术能力</w:t>
            </w:r>
          </w:p>
        </w:tc>
        <w:tc>
          <w:tcPr>
            <w:tcW w:w="4984" w:type="dxa"/>
            <w:vMerge w:val="continue"/>
            <w:vAlign w:val="center"/>
          </w:tcPr>
          <w:p w14:paraId="2BFDF5E3">
            <w:pPr>
              <w:rPr>
                <w:rFonts w:cs="方正仿宋_GBK" w:asciiTheme="minorEastAsia" w:hAnsiTheme="minorEastAsia" w:eastAsiaTheme="minorEastAsia"/>
                <w:color w:val="auto"/>
                <w:sz w:val="21"/>
                <w:szCs w:val="21"/>
                <w:highlight w:val="none"/>
              </w:rPr>
            </w:pPr>
          </w:p>
        </w:tc>
      </w:tr>
      <w:tr w14:paraId="70B7B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590AA89E">
            <w:pPr>
              <w:jc w:val="center"/>
              <w:rPr>
                <w:rFonts w:cs="方正仿宋_GBK" w:asciiTheme="minorEastAsia" w:hAnsiTheme="minorEastAsia" w:eastAsiaTheme="minorEastAsia"/>
                <w:color w:val="auto"/>
                <w:sz w:val="21"/>
                <w:szCs w:val="21"/>
                <w:highlight w:val="none"/>
              </w:rPr>
            </w:pPr>
          </w:p>
        </w:tc>
        <w:tc>
          <w:tcPr>
            <w:tcW w:w="709" w:type="dxa"/>
            <w:vMerge w:val="continue"/>
            <w:vAlign w:val="center"/>
          </w:tcPr>
          <w:p w14:paraId="0E2634EB">
            <w:pPr>
              <w:rPr>
                <w:rFonts w:cs="方正仿宋_GBK" w:asciiTheme="minorEastAsia" w:hAnsiTheme="minorEastAsia" w:eastAsiaTheme="minorEastAsia"/>
                <w:color w:val="auto"/>
                <w:sz w:val="21"/>
                <w:szCs w:val="21"/>
                <w:highlight w:val="none"/>
                <w:lang w:val="zh-CN"/>
              </w:rPr>
            </w:pPr>
          </w:p>
        </w:tc>
        <w:tc>
          <w:tcPr>
            <w:tcW w:w="3118" w:type="dxa"/>
            <w:vAlign w:val="center"/>
          </w:tcPr>
          <w:p w14:paraId="31C6F897">
            <w:pPr>
              <w:rPr>
                <w:rFonts w:cs="方正仿宋_GBK" w:asciiTheme="minorEastAsia" w:hAnsiTheme="minorEastAsia" w:eastAsiaTheme="minorEastAsia"/>
                <w:color w:val="auto"/>
                <w:sz w:val="21"/>
                <w:szCs w:val="21"/>
                <w:highlight w:val="none"/>
                <w:lang w:val="zh-CN"/>
              </w:rPr>
            </w:pPr>
            <w:r>
              <w:rPr>
                <w:rFonts w:hint="eastAsia" w:cs="方正仿宋_GBK" w:asciiTheme="minorEastAsia" w:hAnsiTheme="minorEastAsia" w:eastAsiaTheme="minorEastAsia"/>
                <w:color w:val="auto"/>
                <w:sz w:val="21"/>
                <w:szCs w:val="21"/>
                <w:highlight w:val="none"/>
                <w:lang w:val="zh-CN"/>
              </w:rPr>
              <w:t>4.有依法缴纳税收和社会保障金的良好记录</w:t>
            </w:r>
          </w:p>
        </w:tc>
        <w:tc>
          <w:tcPr>
            <w:tcW w:w="4984" w:type="dxa"/>
            <w:vMerge w:val="continue"/>
            <w:vAlign w:val="center"/>
          </w:tcPr>
          <w:p w14:paraId="3C3EDB58">
            <w:pPr>
              <w:rPr>
                <w:rFonts w:cs="方正仿宋_GBK" w:asciiTheme="minorEastAsia" w:hAnsiTheme="minorEastAsia" w:eastAsiaTheme="minorEastAsia"/>
                <w:color w:val="auto"/>
                <w:sz w:val="21"/>
                <w:szCs w:val="21"/>
                <w:highlight w:val="none"/>
              </w:rPr>
            </w:pPr>
          </w:p>
        </w:tc>
      </w:tr>
      <w:tr w14:paraId="3E700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4ECC28F4">
            <w:pPr>
              <w:jc w:val="center"/>
              <w:rPr>
                <w:rFonts w:cs="方正仿宋_GBK" w:asciiTheme="minorEastAsia" w:hAnsiTheme="minorEastAsia" w:eastAsiaTheme="minorEastAsia"/>
                <w:color w:val="auto"/>
                <w:sz w:val="21"/>
                <w:szCs w:val="21"/>
                <w:highlight w:val="none"/>
              </w:rPr>
            </w:pPr>
          </w:p>
        </w:tc>
        <w:tc>
          <w:tcPr>
            <w:tcW w:w="709" w:type="dxa"/>
            <w:vMerge w:val="continue"/>
            <w:vAlign w:val="center"/>
          </w:tcPr>
          <w:p w14:paraId="6656C413">
            <w:pPr>
              <w:rPr>
                <w:rFonts w:cs="方正仿宋_GBK" w:asciiTheme="minorEastAsia" w:hAnsiTheme="minorEastAsia" w:eastAsiaTheme="minorEastAsia"/>
                <w:color w:val="auto"/>
                <w:sz w:val="21"/>
                <w:szCs w:val="21"/>
                <w:highlight w:val="none"/>
                <w:lang w:val="zh-CN"/>
              </w:rPr>
            </w:pPr>
          </w:p>
        </w:tc>
        <w:tc>
          <w:tcPr>
            <w:tcW w:w="3118" w:type="dxa"/>
            <w:vAlign w:val="center"/>
          </w:tcPr>
          <w:p w14:paraId="0AED89FF">
            <w:pPr>
              <w:rPr>
                <w:rFonts w:cs="方正仿宋_GBK" w:asciiTheme="minorEastAsia" w:hAnsiTheme="minorEastAsia" w:eastAsiaTheme="minorEastAsia"/>
                <w:color w:val="auto"/>
                <w:sz w:val="21"/>
                <w:szCs w:val="21"/>
                <w:highlight w:val="none"/>
                <w:lang w:val="zh-CN"/>
              </w:rPr>
            </w:pPr>
            <w:r>
              <w:rPr>
                <w:rFonts w:hint="eastAsia" w:cs="方正仿宋_GBK" w:asciiTheme="minorEastAsia" w:hAnsiTheme="minorEastAsia" w:eastAsiaTheme="minorEastAsia"/>
                <w:color w:val="auto"/>
                <w:sz w:val="21"/>
                <w:szCs w:val="21"/>
                <w:highlight w:val="none"/>
              </w:rPr>
              <w:t>5.参加政府采购活动前三年内，在经营活动中没有重大违法记录（注</w:t>
            </w:r>
            <w:r>
              <w:rPr>
                <w:rFonts w:hint="eastAsia" w:cs="方正仿宋_GBK" w:asciiTheme="minorEastAsia" w:hAnsiTheme="minorEastAsia" w:eastAsiaTheme="minorEastAsia"/>
                <w:color w:val="auto"/>
                <w:sz w:val="21"/>
                <w:szCs w:val="21"/>
                <w:highlight w:val="none"/>
              </w:rPr>
              <w:fldChar w:fldCharType="begin"/>
            </w:r>
            <w:r>
              <w:rPr>
                <w:rFonts w:hint="eastAsia" w:cs="方正仿宋_GBK" w:asciiTheme="minorEastAsia" w:hAnsiTheme="minorEastAsia" w:eastAsiaTheme="minorEastAsia"/>
                <w:color w:val="auto"/>
                <w:sz w:val="21"/>
                <w:szCs w:val="21"/>
                <w:highlight w:val="none"/>
              </w:rPr>
              <w:instrText xml:space="preserve"> EQ \o\ac(○,</w:instrText>
            </w:r>
            <w:r>
              <w:rPr>
                <w:rFonts w:hint="eastAsia" w:cs="方正仿宋_GBK" w:asciiTheme="minorEastAsia" w:hAnsiTheme="minorEastAsia" w:eastAsiaTheme="minorEastAsia"/>
                <w:color w:val="auto"/>
                <w:position w:val="2"/>
                <w:sz w:val="14"/>
                <w:szCs w:val="21"/>
                <w:highlight w:val="none"/>
              </w:rPr>
              <w:instrText xml:space="preserve">1</w:instrText>
            </w:r>
            <w:r>
              <w:rPr>
                <w:rFonts w:hint="eastAsia" w:cs="方正仿宋_GBK" w:asciiTheme="minorEastAsia" w:hAnsiTheme="minorEastAsia" w:eastAsiaTheme="minorEastAsia"/>
                <w:color w:val="auto"/>
                <w:sz w:val="21"/>
                <w:szCs w:val="21"/>
                <w:highlight w:val="none"/>
              </w:rPr>
              <w:instrText xml:space="preserve">)</w:instrText>
            </w:r>
            <w:r>
              <w:rPr>
                <w:rFonts w:hint="eastAsia" w:cs="方正仿宋_GBK" w:asciiTheme="minorEastAsia" w:hAnsiTheme="minorEastAsia" w:eastAsiaTheme="minorEastAsia"/>
                <w:color w:val="auto"/>
                <w:sz w:val="21"/>
                <w:szCs w:val="21"/>
                <w:highlight w:val="none"/>
              </w:rPr>
              <w:fldChar w:fldCharType="end"/>
            </w:r>
            <w:r>
              <w:rPr>
                <w:rFonts w:hint="eastAsia" w:cs="方正仿宋_GBK" w:asciiTheme="minorEastAsia" w:hAnsiTheme="minorEastAsia" w:eastAsiaTheme="minorEastAsia"/>
                <w:color w:val="auto"/>
                <w:sz w:val="21"/>
                <w:szCs w:val="21"/>
                <w:highlight w:val="none"/>
              </w:rPr>
              <w:t>）</w:t>
            </w:r>
          </w:p>
        </w:tc>
        <w:tc>
          <w:tcPr>
            <w:tcW w:w="4984" w:type="dxa"/>
            <w:vMerge w:val="continue"/>
            <w:vAlign w:val="center"/>
          </w:tcPr>
          <w:p w14:paraId="395C7B52">
            <w:pPr>
              <w:rPr>
                <w:rFonts w:cs="方正仿宋_GBK" w:asciiTheme="minorEastAsia" w:hAnsiTheme="minorEastAsia" w:eastAsiaTheme="minorEastAsia"/>
                <w:b/>
                <w:color w:val="auto"/>
                <w:sz w:val="21"/>
                <w:szCs w:val="21"/>
                <w:highlight w:val="none"/>
              </w:rPr>
            </w:pPr>
          </w:p>
        </w:tc>
      </w:tr>
      <w:tr w14:paraId="72CEA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2C96CC40">
            <w:pPr>
              <w:jc w:val="center"/>
              <w:rPr>
                <w:rFonts w:cs="方正仿宋_GBK" w:asciiTheme="minorEastAsia" w:hAnsiTheme="minorEastAsia" w:eastAsiaTheme="minorEastAsia"/>
                <w:color w:val="auto"/>
                <w:sz w:val="21"/>
                <w:szCs w:val="21"/>
                <w:highlight w:val="none"/>
              </w:rPr>
            </w:pPr>
          </w:p>
        </w:tc>
        <w:tc>
          <w:tcPr>
            <w:tcW w:w="709" w:type="dxa"/>
            <w:vMerge w:val="continue"/>
            <w:vAlign w:val="center"/>
          </w:tcPr>
          <w:p w14:paraId="06F64156">
            <w:pPr>
              <w:rPr>
                <w:rFonts w:cs="方正仿宋_GBK" w:asciiTheme="minorEastAsia" w:hAnsiTheme="minorEastAsia" w:eastAsiaTheme="minorEastAsia"/>
                <w:color w:val="auto"/>
                <w:sz w:val="21"/>
                <w:szCs w:val="21"/>
                <w:highlight w:val="none"/>
              </w:rPr>
            </w:pPr>
          </w:p>
        </w:tc>
        <w:tc>
          <w:tcPr>
            <w:tcW w:w="3118" w:type="dxa"/>
            <w:vAlign w:val="center"/>
          </w:tcPr>
          <w:p w14:paraId="050DA84E">
            <w:pP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6.法律、行政法规规定的其他条件</w:t>
            </w:r>
          </w:p>
        </w:tc>
        <w:tc>
          <w:tcPr>
            <w:tcW w:w="4984" w:type="dxa"/>
            <w:vAlign w:val="center"/>
          </w:tcPr>
          <w:p w14:paraId="6D812079">
            <w:pPr>
              <w:rPr>
                <w:rFonts w:cs="方正仿宋_GBK" w:asciiTheme="minorEastAsia" w:hAnsiTheme="minorEastAsia" w:eastAsiaTheme="minorEastAsia"/>
                <w:color w:val="auto"/>
                <w:sz w:val="21"/>
                <w:szCs w:val="21"/>
                <w:highlight w:val="none"/>
              </w:rPr>
            </w:pPr>
          </w:p>
        </w:tc>
      </w:tr>
      <w:tr w14:paraId="00A90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5934028A">
            <w:pPr>
              <w:jc w:val="center"/>
              <w:rPr>
                <w:rFonts w:cs="方正仿宋_GBK" w:asciiTheme="minorEastAsia" w:hAnsiTheme="minorEastAsia" w:eastAsiaTheme="minorEastAsia"/>
                <w:color w:val="auto"/>
                <w:sz w:val="21"/>
                <w:szCs w:val="21"/>
                <w:highlight w:val="none"/>
              </w:rPr>
            </w:pPr>
          </w:p>
        </w:tc>
        <w:tc>
          <w:tcPr>
            <w:tcW w:w="709" w:type="dxa"/>
            <w:vMerge w:val="continue"/>
            <w:vAlign w:val="center"/>
          </w:tcPr>
          <w:p w14:paraId="2C6BB2B8">
            <w:pPr>
              <w:rPr>
                <w:rFonts w:cs="方正仿宋_GBK" w:asciiTheme="minorEastAsia" w:hAnsiTheme="minorEastAsia" w:eastAsiaTheme="minorEastAsia"/>
                <w:color w:val="auto"/>
                <w:sz w:val="21"/>
                <w:szCs w:val="21"/>
                <w:highlight w:val="none"/>
              </w:rPr>
            </w:pPr>
          </w:p>
        </w:tc>
        <w:tc>
          <w:tcPr>
            <w:tcW w:w="3118" w:type="dxa"/>
            <w:vAlign w:val="center"/>
          </w:tcPr>
          <w:p w14:paraId="1DEB3F6F">
            <w:pP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7.本项目的特定资格要求</w:t>
            </w:r>
          </w:p>
        </w:tc>
        <w:tc>
          <w:tcPr>
            <w:tcW w:w="4984" w:type="dxa"/>
            <w:vAlign w:val="center"/>
          </w:tcPr>
          <w:p w14:paraId="70B69F21">
            <w:pP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按第一篇“三、投标人资格要求（三）本项目的特定资格要求”的要求提交（如果有）。</w:t>
            </w:r>
          </w:p>
        </w:tc>
      </w:tr>
      <w:tr w14:paraId="5A9A7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14F34979">
            <w:pPr>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（二）</w:t>
            </w:r>
          </w:p>
        </w:tc>
        <w:tc>
          <w:tcPr>
            <w:tcW w:w="3827" w:type="dxa"/>
            <w:gridSpan w:val="2"/>
            <w:vAlign w:val="center"/>
          </w:tcPr>
          <w:p w14:paraId="32DEA9B9">
            <w:pP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落实政府采购政策需满足的资格要求</w:t>
            </w:r>
          </w:p>
        </w:tc>
        <w:tc>
          <w:tcPr>
            <w:tcW w:w="4984" w:type="dxa"/>
            <w:vAlign w:val="center"/>
          </w:tcPr>
          <w:p w14:paraId="02DD629A">
            <w:pP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按第一篇“三、投标人资格要求（二）落实政府采购政策需满足的资格要求”的要求提交（如果有）。</w:t>
            </w:r>
          </w:p>
        </w:tc>
      </w:tr>
      <w:tr w14:paraId="327C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17" w:type="dxa"/>
            <w:vAlign w:val="center"/>
          </w:tcPr>
          <w:p w14:paraId="1900B7B3">
            <w:pPr>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（三）</w:t>
            </w:r>
          </w:p>
        </w:tc>
        <w:tc>
          <w:tcPr>
            <w:tcW w:w="3827" w:type="dxa"/>
            <w:gridSpan w:val="2"/>
            <w:vAlign w:val="center"/>
          </w:tcPr>
          <w:p w14:paraId="4E13432F">
            <w:pP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投标保证金</w:t>
            </w:r>
          </w:p>
        </w:tc>
        <w:tc>
          <w:tcPr>
            <w:tcW w:w="4984" w:type="dxa"/>
            <w:vAlign w:val="center"/>
          </w:tcPr>
          <w:p w14:paraId="24E293A5">
            <w:pP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按照招标文件要求足额交纳所投包的投标保证金。</w:t>
            </w:r>
          </w:p>
        </w:tc>
      </w:tr>
    </w:tbl>
    <w:p w14:paraId="0A0F6BF9">
      <w:pPr>
        <w:snapToGrid w:val="0"/>
        <w:spacing w:line="400" w:lineRule="exact"/>
        <w:ind w:firstLine="480" w:firstLineChars="200"/>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注：</w:t>
      </w:r>
    </w:p>
    <w:p w14:paraId="2B97C252">
      <w:pPr>
        <w:snapToGrid w:val="0"/>
        <w:spacing w:line="400" w:lineRule="exact"/>
        <w:ind w:firstLine="480" w:firstLineChars="200"/>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fldChar w:fldCharType="begin"/>
      </w:r>
      <w:r>
        <w:rPr>
          <w:rFonts w:hint="eastAsia" w:cs="方正仿宋_GBK" w:asciiTheme="minorEastAsia" w:hAnsiTheme="minorEastAsia" w:eastAsiaTheme="minorEastAsia"/>
          <w:color w:val="auto"/>
          <w:kern w:val="0"/>
          <w:sz w:val="24"/>
          <w:szCs w:val="24"/>
          <w:highlight w:val="none"/>
        </w:rPr>
        <w:instrText xml:space="preserve"> eq \o\ac(○,</w:instrText>
      </w:r>
      <w:r>
        <w:rPr>
          <w:rFonts w:hint="eastAsia" w:cs="方正仿宋_GBK" w:asciiTheme="minorEastAsia" w:hAnsiTheme="minorEastAsia" w:eastAsiaTheme="minorEastAsia"/>
          <w:color w:val="auto"/>
          <w:kern w:val="0"/>
          <w:position w:val="3"/>
          <w:sz w:val="16"/>
          <w:szCs w:val="24"/>
          <w:highlight w:val="none"/>
        </w:rPr>
        <w:instrText xml:space="preserve">1</w:instrText>
      </w:r>
      <w:r>
        <w:rPr>
          <w:rFonts w:hint="eastAsia" w:cs="方正仿宋_GBK" w:asciiTheme="minorEastAsia" w:hAnsiTheme="minorEastAsia" w:eastAsiaTheme="minorEastAsia"/>
          <w:color w:val="auto"/>
          <w:kern w:val="0"/>
          <w:sz w:val="24"/>
          <w:szCs w:val="24"/>
          <w:highlight w:val="none"/>
        </w:rPr>
        <w:instrText xml:space="preserve">)</w:instrText>
      </w:r>
      <w:r>
        <w:rPr>
          <w:rFonts w:hint="eastAsia" w:cs="方正仿宋_GBK" w:asciiTheme="minorEastAsia" w:hAnsiTheme="minorEastAsia" w:eastAsiaTheme="minorEastAsia"/>
          <w:color w:val="auto"/>
          <w:kern w:val="0"/>
          <w:sz w:val="24"/>
          <w:szCs w:val="24"/>
          <w:highlight w:val="none"/>
        </w:rPr>
        <w:fldChar w:fldCharType="end"/>
      </w:r>
      <w:r>
        <w:rPr>
          <w:rFonts w:hint="eastAsia" w:cs="方正仿宋_GBK" w:asciiTheme="minorEastAsia" w:hAnsiTheme="minorEastAsia" w:eastAsiaTheme="minorEastAsia"/>
          <w:color w:val="auto"/>
          <w:kern w:val="0"/>
          <w:sz w:val="24"/>
          <w:szCs w:val="24"/>
          <w:highlight w:val="none"/>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投标人可于投标截止日期前通过 “信用中国”网站(www.creditchina.gov.cn)、“中国政府采购网”(www.ccgp.gov.cn)等渠道查询信用记录。</w:t>
      </w:r>
    </w:p>
    <w:p w14:paraId="03D557CF">
      <w:pPr>
        <w:snapToGrid w:val="0"/>
        <w:spacing w:line="400" w:lineRule="exact"/>
        <w:ind w:firstLine="480" w:firstLineChars="200"/>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w:t>
      </w:r>
      <w:r>
        <w:rPr>
          <w:rFonts w:hint="eastAsia" w:cs="方正仿宋_GBK" w:asciiTheme="minorEastAsia" w:hAnsiTheme="minorEastAsia" w:eastAsiaTheme="minorEastAsia"/>
          <w:b/>
          <w:color w:val="auto"/>
          <w:kern w:val="0"/>
          <w:sz w:val="24"/>
          <w:szCs w:val="24"/>
          <w:highlight w:val="none"/>
        </w:rPr>
        <w:t>二</w:t>
      </w:r>
      <w:r>
        <w:rPr>
          <w:rFonts w:hint="eastAsia" w:cs="方正仿宋_GBK" w:asciiTheme="minorEastAsia" w:hAnsiTheme="minorEastAsia" w:eastAsiaTheme="minorEastAsia"/>
          <w:color w:val="auto"/>
          <w:kern w:val="0"/>
          <w:sz w:val="24"/>
          <w:szCs w:val="24"/>
          <w:highlight w:val="none"/>
        </w:rPr>
        <w:t>）符合性审查</w:t>
      </w:r>
    </w:p>
    <w:p w14:paraId="105624D6">
      <w:pPr>
        <w:snapToGrid w:val="0"/>
        <w:spacing w:line="400" w:lineRule="exact"/>
        <w:ind w:firstLine="480" w:firstLineChars="200"/>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评标委员会应当对符合资格的投标人的投标文件进行符合性审查，以确定其是否满足招标文件的实质性要求。符合性审查资料表如下：</w:t>
      </w:r>
    </w:p>
    <w:tbl>
      <w:tblPr>
        <w:tblStyle w:val="16"/>
        <w:tblW w:w="52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1601"/>
        <w:gridCol w:w="1596"/>
        <w:gridCol w:w="5983"/>
      </w:tblGrid>
      <w:tr w14:paraId="6F9B0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75" w:type="dxa"/>
            <w:vAlign w:val="center"/>
          </w:tcPr>
          <w:p w14:paraId="0A201D5C">
            <w:pPr>
              <w:jc w:val="center"/>
              <w:rPr>
                <w:rFonts w:cs="方正仿宋_GBK" w:asciiTheme="minorEastAsia" w:hAnsiTheme="minorEastAsia" w:eastAsiaTheme="minorEastAsia"/>
                <w:b/>
                <w:color w:val="auto"/>
                <w:kern w:val="0"/>
                <w:sz w:val="21"/>
                <w:szCs w:val="21"/>
                <w:highlight w:val="none"/>
              </w:rPr>
            </w:pPr>
            <w:r>
              <w:rPr>
                <w:rFonts w:hint="eastAsia" w:cs="方正仿宋_GBK" w:asciiTheme="minorEastAsia" w:hAnsiTheme="minorEastAsia" w:eastAsiaTheme="minorEastAsia"/>
                <w:b/>
                <w:color w:val="auto"/>
                <w:kern w:val="0"/>
                <w:sz w:val="21"/>
                <w:szCs w:val="21"/>
                <w:highlight w:val="none"/>
              </w:rPr>
              <w:t>序号</w:t>
            </w:r>
          </w:p>
        </w:tc>
        <w:tc>
          <w:tcPr>
            <w:tcW w:w="3119" w:type="dxa"/>
            <w:gridSpan w:val="2"/>
            <w:vAlign w:val="center"/>
          </w:tcPr>
          <w:p w14:paraId="796338B6">
            <w:pPr>
              <w:jc w:val="center"/>
              <w:rPr>
                <w:rFonts w:cs="方正仿宋_GBK" w:asciiTheme="minorEastAsia" w:hAnsiTheme="minorEastAsia" w:eastAsiaTheme="minorEastAsia"/>
                <w:b/>
                <w:color w:val="auto"/>
                <w:kern w:val="0"/>
                <w:sz w:val="21"/>
                <w:szCs w:val="21"/>
                <w:highlight w:val="none"/>
              </w:rPr>
            </w:pPr>
            <w:r>
              <w:rPr>
                <w:rFonts w:hint="eastAsia" w:cs="方正仿宋_GBK" w:asciiTheme="minorEastAsia" w:hAnsiTheme="minorEastAsia" w:eastAsiaTheme="minorEastAsia"/>
                <w:b/>
                <w:color w:val="auto"/>
                <w:kern w:val="0"/>
                <w:sz w:val="21"/>
                <w:szCs w:val="21"/>
                <w:highlight w:val="none"/>
              </w:rPr>
              <w:t>评审因素</w:t>
            </w:r>
          </w:p>
        </w:tc>
        <w:tc>
          <w:tcPr>
            <w:tcW w:w="5836" w:type="dxa"/>
            <w:vAlign w:val="center"/>
          </w:tcPr>
          <w:p w14:paraId="279812FE">
            <w:pPr>
              <w:jc w:val="center"/>
              <w:rPr>
                <w:rFonts w:cs="方正仿宋_GBK" w:asciiTheme="minorEastAsia" w:hAnsiTheme="minorEastAsia" w:eastAsiaTheme="minorEastAsia"/>
                <w:b/>
                <w:color w:val="auto"/>
                <w:kern w:val="0"/>
                <w:sz w:val="21"/>
                <w:szCs w:val="21"/>
                <w:highlight w:val="none"/>
              </w:rPr>
            </w:pPr>
            <w:r>
              <w:rPr>
                <w:rFonts w:hint="eastAsia" w:cs="方正仿宋_GBK" w:asciiTheme="minorEastAsia" w:hAnsiTheme="minorEastAsia" w:eastAsiaTheme="minorEastAsia"/>
                <w:b/>
                <w:color w:val="auto"/>
                <w:kern w:val="0"/>
                <w:sz w:val="21"/>
                <w:szCs w:val="21"/>
                <w:highlight w:val="none"/>
              </w:rPr>
              <w:t>评审标准</w:t>
            </w:r>
          </w:p>
        </w:tc>
      </w:tr>
      <w:tr w14:paraId="63F70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75" w:type="dxa"/>
            <w:vMerge w:val="restart"/>
            <w:vAlign w:val="center"/>
          </w:tcPr>
          <w:p w14:paraId="0B803E90">
            <w:pPr>
              <w:jc w:val="cente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1</w:t>
            </w:r>
          </w:p>
        </w:tc>
        <w:tc>
          <w:tcPr>
            <w:tcW w:w="1562" w:type="dxa"/>
            <w:vMerge w:val="restart"/>
            <w:vAlign w:val="center"/>
          </w:tcPr>
          <w:p w14:paraId="7B8AE9ED">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有效性审查</w:t>
            </w:r>
          </w:p>
        </w:tc>
        <w:tc>
          <w:tcPr>
            <w:tcW w:w="1557" w:type="dxa"/>
            <w:vAlign w:val="center"/>
          </w:tcPr>
          <w:p w14:paraId="19AF0FE6">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sz w:val="21"/>
                <w:szCs w:val="21"/>
                <w:highlight w:val="none"/>
              </w:rPr>
              <w:t>投标文件签署或盖章</w:t>
            </w:r>
          </w:p>
        </w:tc>
        <w:tc>
          <w:tcPr>
            <w:tcW w:w="5836" w:type="dxa"/>
            <w:vAlign w:val="center"/>
          </w:tcPr>
          <w:p w14:paraId="32A62C09">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sz w:val="21"/>
                <w:szCs w:val="21"/>
                <w:highlight w:val="none"/>
              </w:rPr>
              <w:t>投标文件上法定代表人（或其授权代表）或自然人（投标人为自然人）的签署或盖章齐全。</w:t>
            </w:r>
          </w:p>
        </w:tc>
      </w:tr>
      <w:tr w14:paraId="1551F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675" w:type="dxa"/>
            <w:vMerge w:val="continue"/>
            <w:vAlign w:val="center"/>
          </w:tcPr>
          <w:p w14:paraId="036AD026">
            <w:pPr>
              <w:jc w:val="center"/>
              <w:rPr>
                <w:rFonts w:cs="方正仿宋_GBK" w:asciiTheme="minorEastAsia" w:hAnsiTheme="minorEastAsia" w:eastAsiaTheme="minorEastAsia"/>
                <w:color w:val="auto"/>
                <w:kern w:val="0"/>
                <w:sz w:val="21"/>
                <w:szCs w:val="21"/>
                <w:highlight w:val="none"/>
              </w:rPr>
            </w:pPr>
          </w:p>
        </w:tc>
        <w:tc>
          <w:tcPr>
            <w:tcW w:w="1562" w:type="dxa"/>
            <w:vMerge w:val="continue"/>
            <w:vAlign w:val="center"/>
          </w:tcPr>
          <w:p w14:paraId="5A85F9F8">
            <w:pPr>
              <w:rPr>
                <w:rFonts w:cs="方正仿宋_GBK" w:asciiTheme="minorEastAsia" w:hAnsiTheme="minorEastAsia" w:eastAsiaTheme="minorEastAsia"/>
                <w:color w:val="auto"/>
                <w:kern w:val="0"/>
                <w:sz w:val="21"/>
                <w:szCs w:val="21"/>
                <w:highlight w:val="none"/>
              </w:rPr>
            </w:pPr>
          </w:p>
        </w:tc>
        <w:tc>
          <w:tcPr>
            <w:tcW w:w="1557" w:type="dxa"/>
            <w:vAlign w:val="center"/>
          </w:tcPr>
          <w:p w14:paraId="224D60F9">
            <w:pPr>
              <w:rPr>
                <w:rFonts w:cs="方正仿宋_GBK" w:asciiTheme="minorEastAsia" w:hAnsiTheme="minorEastAsia" w:eastAsiaTheme="minorEastAsia"/>
                <w:color w:val="auto"/>
                <w:sz w:val="21"/>
                <w:szCs w:val="21"/>
                <w:highlight w:val="none"/>
                <w:lang w:val="zh-CN"/>
              </w:rPr>
            </w:pPr>
            <w:r>
              <w:rPr>
                <w:rFonts w:hint="eastAsia" w:cs="方正仿宋_GBK" w:asciiTheme="minorEastAsia" w:hAnsiTheme="minorEastAsia" w:eastAsiaTheme="minorEastAsia"/>
                <w:color w:val="auto"/>
                <w:sz w:val="21"/>
                <w:szCs w:val="21"/>
                <w:highlight w:val="none"/>
                <w:lang w:val="zh-CN"/>
              </w:rPr>
              <w:t>投标方案</w:t>
            </w:r>
          </w:p>
        </w:tc>
        <w:tc>
          <w:tcPr>
            <w:tcW w:w="5836" w:type="dxa"/>
            <w:vAlign w:val="center"/>
          </w:tcPr>
          <w:p w14:paraId="6953C804">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sz w:val="21"/>
                <w:szCs w:val="21"/>
                <w:highlight w:val="none"/>
                <w:lang w:val="zh-CN"/>
              </w:rPr>
              <w:t>每个包只能有一个方案投标。</w:t>
            </w:r>
          </w:p>
        </w:tc>
      </w:tr>
      <w:tr w14:paraId="2C7C0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75" w:type="dxa"/>
            <w:vMerge w:val="continue"/>
            <w:vAlign w:val="center"/>
          </w:tcPr>
          <w:p w14:paraId="459CAA78">
            <w:pPr>
              <w:jc w:val="center"/>
              <w:rPr>
                <w:rFonts w:cs="方正仿宋_GBK" w:asciiTheme="minorEastAsia" w:hAnsiTheme="minorEastAsia" w:eastAsiaTheme="minorEastAsia"/>
                <w:color w:val="auto"/>
                <w:kern w:val="0"/>
                <w:sz w:val="21"/>
                <w:szCs w:val="21"/>
                <w:highlight w:val="none"/>
              </w:rPr>
            </w:pPr>
          </w:p>
        </w:tc>
        <w:tc>
          <w:tcPr>
            <w:tcW w:w="1562" w:type="dxa"/>
            <w:vMerge w:val="continue"/>
            <w:vAlign w:val="center"/>
          </w:tcPr>
          <w:p w14:paraId="7C816308">
            <w:pPr>
              <w:rPr>
                <w:rFonts w:cs="方正仿宋_GBK" w:asciiTheme="minorEastAsia" w:hAnsiTheme="minorEastAsia" w:eastAsiaTheme="minorEastAsia"/>
                <w:color w:val="auto"/>
                <w:kern w:val="0"/>
                <w:sz w:val="21"/>
                <w:szCs w:val="21"/>
                <w:highlight w:val="none"/>
              </w:rPr>
            </w:pPr>
          </w:p>
        </w:tc>
        <w:tc>
          <w:tcPr>
            <w:tcW w:w="1557" w:type="dxa"/>
            <w:vAlign w:val="center"/>
          </w:tcPr>
          <w:p w14:paraId="140BBFBA">
            <w:pPr>
              <w:rPr>
                <w:rFonts w:cs="方正仿宋_GBK" w:asciiTheme="minorEastAsia" w:hAnsiTheme="minorEastAsia" w:eastAsiaTheme="minorEastAsia"/>
                <w:color w:val="auto"/>
                <w:sz w:val="21"/>
                <w:szCs w:val="21"/>
                <w:highlight w:val="none"/>
                <w:lang w:val="zh-CN"/>
              </w:rPr>
            </w:pPr>
            <w:r>
              <w:rPr>
                <w:rFonts w:hint="eastAsia" w:cs="方正仿宋_GBK" w:asciiTheme="minorEastAsia" w:hAnsiTheme="minorEastAsia" w:eastAsiaTheme="minorEastAsia"/>
                <w:color w:val="auto"/>
                <w:sz w:val="21"/>
                <w:szCs w:val="21"/>
                <w:highlight w:val="none"/>
              </w:rPr>
              <w:t>报价唯一</w:t>
            </w:r>
          </w:p>
        </w:tc>
        <w:tc>
          <w:tcPr>
            <w:tcW w:w="5836" w:type="dxa"/>
            <w:vAlign w:val="center"/>
          </w:tcPr>
          <w:p w14:paraId="7989E125">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sz w:val="21"/>
                <w:szCs w:val="21"/>
                <w:highlight w:val="none"/>
                <w:lang w:val="zh-CN"/>
              </w:rPr>
              <w:t>只能在预算金额和最高限价内报价，</w:t>
            </w:r>
            <w:r>
              <w:rPr>
                <w:rFonts w:hint="eastAsia" w:cs="方正仿宋_GBK" w:asciiTheme="minorEastAsia" w:hAnsiTheme="minorEastAsia" w:eastAsiaTheme="minorEastAsia"/>
                <w:color w:val="auto"/>
                <w:sz w:val="21"/>
                <w:szCs w:val="21"/>
                <w:highlight w:val="none"/>
              </w:rPr>
              <w:t>只能有一个有效报价，不得提交选择性报价。</w:t>
            </w:r>
          </w:p>
        </w:tc>
      </w:tr>
      <w:tr w14:paraId="3F09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75" w:type="dxa"/>
            <w:vAlign w:val="center"/>
          </w:tcPr>
          <w:p w14:paraId="6CB6EABE">
            <w:pPr>
              <w:jc w:val="cente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2</w:t>
            </w:r>
          </w:p>
        </w:tc>
        <w:tc>
          <w:tcPr>
            <w:tcW w:w="1562" w:type="dxa"/>
            <w:vAlign w:val="center"/>
          </w:tcPr>
          <w:p w14:paraId="550675C8">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完整性审查</w:t>
            </w:r>
          </w:p>
        </w:tc>
        <w:tc>
          <w:tcPr>
            <w:tcW w:w="1557" w:type="dxa"/>
            <w:vAlign w:val="center"/>
          </w:tcPr>
          <w:p w14:paraId="598AA3F8">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sz w:val="21"/>
                <w:szCs w:val="21"/>
                <w:highlight w:val="none"/>
                <w:lang w:val="zh-CN"/>
              </w:rPr>
              <w:t>投标文件份数</w:t>
            </w:r>
          </w:p>
        </w:tc>
        <w:tc>
          <w:tcPr>
            <w:tcW w:w="5836" w:type="dxa"/>
            <w:vAlign w:val="center"/>
          </w:tcPr>
          <w:p w14:paraId="29EAF1F4">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sz w:val="21"/>
                <w:szCs w:val="21"/>
                <w:highlight w:val="none"/>
                <w:lang w:val="zh-CN"/>
              </w:rPr>
              <w:t>投标文件正、副本数量（含电子文档）符合招标文件要求。</w:t>
            </w:r>
          </w:p>
        </w:tc>
      </w:tr>
      <w:tr w14:paraId="05521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75" w:type="dxa"/>
            <w:vAlign w:val="center"/>
          </w:tcPr>
          <w:p w14:paraId="392A0B7F">
            <w:pPr>
              <w:jc w:val="cente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3</w:t>
            </w:r>
          </w:p>
        </w:tc>
        <w:tc>
          <w:tcPr>
            <w:tcW w:w="1562" w:type="dxa"/>
            <w:vAlign w:val="center"/>
          </w:tcPr>
          <w:p w14:paraId="5F4877B9">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技术部分</w:t>
            </w:r>
          </w:p>
        </w:tc>
        <w:tc>
          <w:tcPr>
            <w:tcW w:w="1557" w:type="dxa"/>
            <w:vAlign w:val="center"/>
          </w:tcPr>
          <w:p w14:paraId="45207659">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投标文件内容</w:t>
            </w:r>
          </w:p>
        </w:tc>
        <w:tc>
          <w:tcPr>
            <w:tcW w:w="5836" w:type="dxa"/>
            <w:vAlign w:val="center"/>
          </w:tcPr>
          <w:p w14:paraId="050FF3EB">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本招标文件第二篇中（※）号标注的部分。</w:t>
            </w:r>
          </w:p>
        </w:tc>
      </w:tr>
      <w:tr w14:paraId="3C6B8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675" w:type="dxa"/>
            <w:vAlign w:val="center"/>
          </w:tcPr>
          <w:p w14:paraId="7EEF7848">
            <w:pPr>
              <w:jc w:val="cente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4</w:t>
            </w:r>
          </w:p>
        </w:tc>
        <w:tc>
          <w:tcPr>
            <w:tcW w:w="1562" w:type="dxa"/>
            <w:vAlign w:val="center"/>
          </w:tcPr>
          <w:p w14:paraId="13E6E0B8">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商务部分</w:t>
            </w:r>
          </w:p>
        </w:tc>
        <w:tc>
          <w:tcPr>
            <w:tcW w:w="1557" w:type="dxa"/>
            <w:vAlign w:val="center"/>
          </w:tcPr>
          <w:p w14:paraId="35C28761">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投标文件内容</w:t>
            </w:r>
          </w:p>
        </w:tc>
        <w:tc>
          <w:tcPr>
            <w:tcW w:w="5836" w:type="dxa"/>
            <w:vAlign w:val="center"/>
          </w:tcPr>
          <w:p w14:paraId="1257F400">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本招标文件第三篇中（※）号标注的部分。</w:t>
            </w:r>
          </w:p>
        </w:tc>
      </w:tr>
      <w:tr w14:paraId="595B3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675" w:type="dxa"/>
            <w:vAlign w:val="center"/>
          </w:tcPr>
          <w:p w14:paraId="04E7989F">
            <w:pPr>
              <w:jc w:val="cente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5</w:t>
            </w:r>
          </w:p>
        </w:tc>
        <w:tc>
          <w:tcPr>
            <w:tcW w:w="1562" w:type="dxa"/>
            <w:vAlign w:val="center"/>
          </w:tcPr>
          <w:p w14:paraId="75076A57">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投标有效期</w:t>
            </w:r>
          </w:p>
        </w:tc>
        <w:tc>
          <w:tcPr>
            <w:tcW w:w="1557" w:type="dxa"/>
            <w:vAlign w:val="center"/>
          </w:tcPr>
          <w:p w14:paraId="7F40D18C">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投标文件内容</w:t>
            </w:r>
          </w:p>
        </w:tc>
        <w:tc>
          <w:tcPr>
            <w:tcW w:w="5836" w:type="dxa"/>
            <w:vAlign w:val="center"/>
          </w:tcPr>
          <w:p w14:paraId="2E4C11E1">
            <w:pPr>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投标有效期为投标截止时间起90天。</w:t>
            </w:r>
          </w:p>
        </w:tc>
      </w:tr>
    </w:tbl>
    <w:p w14:paraId="6EBF8203">
      <w:pPr>
        <w:pStyle w:val="3"/>
        <w:spacing w:line="400" w:lineRule="exact"/>
        <w:ind w:firstLine="482" w:firstLineChars="200"/>
        <w:rPr>
          <w:rFonts w:cs="方正仿宋_GBK" w:asciiTheme="minorEastAsia" w:hAnsiTheme="minorEastAsia" w:eastAsiaTheme="minorEastAsia"/>
          <w:b/>
          <w:color w:val="auto"/>
          <w:sz w:val="24"/>
          <w:szCs w:val="24"/>
          <w:highlight w:val="none"/>
        </w:rPr>
      </w:pPr>
      <w:bookmarkStart w:id="276" w:name="_Toc204345221"/>
      <w:bookmarkStart w:id="277" w:name="_Toc75793519"/>
      <w:bookmarkStart w:id="278" w:name="_Toc27015"/>
      <w:bookmarkStart w:id="279" w:name="_Toc30717"/>
      <w:bookmarkStart w:id="280" w:name="_Toc31997"/>
      <w:bookmarkStart w:id="281" w:name="_Toc14824"/>
      <w:bookmarkStart w:id="282" w:name="_Toc28549"/>
      <w:bookmarkStart w:id="283" w:name="_Toc9094"/>
      <w:bookmarkStart w:id="284" w:name="_Toc27633"/>
      <w:bookmarkStart w:id="285" w:name="_Toc26796"/>
      <w:bookmarkStart w:id="286" w:name="_Toc21650"/>
      <w:bookmarkStart w:id="287" w:name="_Toc30011"/>
      <w:bookmarkStart w:id="288" w:name="_Toc5620"/>
      <w:bookmarkStart w:id="289" w:name="_Toc25341"/>
      <w:bookmarkStart w:id="290" w:name="_Toc26397"/>
      <w:bookmarkStart w:id="291" w:name="_Toc29140"/>
      <w:bookmarkStart w:id="292" w:name="_Toc20171"/>
      <w:r>
        <w:rPr>
          <w:rFonts w:hint="eastAsia" w:cs="方正仿宋_GBK" w:asciiTheme="minorEastAsia" w:hAnsiTheme="minorEastAsia" w:eastAsiaTheme="minorEastAsia"/>
          <w:b/>
          <w:color w:val="auto"/>
          <w:sz w:val="24"/>
          <w:szCs w:val="24"/>
          <w:highlight w:val="none"/>
        </w:rPr>
        <w:t>二、评标方法</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0C9E656B">
      <w:pPr>
        <w:snapToGrid w:val="0"/>
        <w:spacing w:line="400" w:lineRule="exact"/>
        <w:ind w:firstLine="482" w:firstLineChars="200"/>
        <w:rPr>
          <w:rFonts w:cs="方正仿宋_GBK" w:asciiTheme="minorEastAsia" w:hAnsiTheme="minorEastAsia" w:eastAsiaTheme="minorEastAsia"/>
          <w:b/>
          <w:color w:val="auto"/>
          <w:kern w:val="0"/>
          <w:sz w:val="24"/>
          <w:szCs w:val="24"/>
          <w:highlight w:val="none"/>
        </w:rPr>
      </w:pPr>
      <w:r>
        <w:rPr>
          <w:rFonts w:hint="eastAsia" w:cs="方正仿宋_GBK" w:asciiTheme="minorEastAsia" w:hAnsiTheme="minorEastAsia" w:eastAsiaTheme="minorEastAsia"/>
          <w:b/>
          <w:color w:val="auto"/>
          <w:kern w:val="0"/>
          <w:sz w:val="24"/>
          <w:szCs w:val="24"/>
          <w:highlight w:val="none"/>
        </w:rPr>
        <w:t>采用综合评分法进行评标。</w:t>
      </w:r>
    </w:p>
    <w:p w14:paraId="76E78D68">
      <w:pPr>
        <w:snapToGrid w:val="0"/>
        <w:spacing w:line="400" w:lineRule="exact"/>
        <w:ind w:firstLine="480" w:firstLineChars="200"/>
        <w:rPr>
          <w:rFonts w:cs="方正仿宋_GBK" w:asciiTheme="minorEastAsia" w:hAnsiTheme="minorEastAsia" w:eastAsiaTheme="minorEastAsia"/>
          <w:color w:val="auto"/>
          <w:kern w:val="0"/>
          <w:sz w:val="24"/>
          <w:szCs w:val="24"/>
          <w:highlight w:val="none"/>
        </w:rPr>
      </w:pPr>
      <w:r>
        <w:rPr>
          <w:rFonts w:hint="eastAsia" w:cs="方正仿宋_GBK" w:asciiTheme="minorEastAsia" w:hAnsiTheme="minorEastAsia" w:eastAsiaTheme="minorEastAsia"/>
          <w:color w:val="auto"/>
          <w:kern w:val="0"/>
          <w:sz w:val="24"/>
          <w:szCs w:val="24"/>
          <w:highlight w:val="none"/>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另有4分为政策性加分。</w:t>
      </w:r>
    </w:p>
    <w:p w14:paraId="2C2605D5">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澄清有关问题。对投标文件中含义不明确、同类问题表述不一致或者有明显文字和计算错误的内容，评标委员会可以书面形式（应当由评标委员会成员签字）要求投标人作出必要澄清、说明或者纠正。投标人的澄清、说明或者补正应当采用书面形式，由其法定代表人（或其授权代表）或自然人（投标人为自然人）签字，其澄清的内容不得超出投标文件的范围或者改变投标文件的实质性内容。</w:t>
      </w:r>
    </w:p>
    <w:p w14:paraId="18B2DF22">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（一）比较与评价。按招标文件中规定的评标方法和标准，对资格审查和符合性审查合格的投标文件进行商务和技术评估。</w:t>
      </w:r>
    </w:p>
    <w:p w14:paraId="2898B3B3">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同一合同项（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14:paraId="58695E40">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397ADDDC">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复核后，评标委员会汇总每个投标人每项评分因素的得分。</w:t>
      </w:r>
    </w:p>
    <w:p w14:paraId="56B2056A">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（二）推荐中标候选人名单。</w:t>
      </w:r>
    </w:p>
    <w:p w14:paraId="34DBE5C0">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按评审后得分由高到低的排列顺序推荐综合得分排名前三的投标人为本包（项目）中标候选人，排名第一的为第一中标候选人。得分相同的，按投标报价由低到高顺序排列。得分且投标报价相同的并列。不推荐技术（质量）部分得分为0分的投标人成为中标候选人。</w:t>
      </w:r>
    </w:p>
    <w:p w14:paraId="594F110C">
      <w:pPr>
        <w:pStyle w:val="3"/>
        <w:spacing w:line="400" w:lineRule="exact"/>
        <w:ind w:firstLine="482" w:firstLineChars="200"/>
        <w:rPr>
          <w:rFonts w:cs="方正仿宋_GBK" w:asciiTheme="minorEastAsia" w:hAnsiTheme="minorEastAsia" w:eastAsiaTheme="minorEastAsia"/>
          <w:b/>
          <w:color w:val="auto"/>
          <w:sz w:val="24"/>
          <w:szCs w:val="24"/>
          <w:highlight w:val="none"/>
        </w:rPr>
      </w:pPr>
      <w:bookmarkStart w:id="293" w:name="_Toc20800"/>
      <w:bookmarkStart w:id="294" w:name="_Toc5799"/>
      <w:bookmarkStart w:id="295" w:name="_Toc20875"/>
      <w:bookmarkStart w:id="296" w:name="_Toc267320057"/>
      <w:bookmarkStart w:id="297" w:name="_Toc19924"/>
      <w:bookmarkStart w:id="298" w:name="_Toc6342"/>
      <w:bookmarkStart w:id="299" w:name="_Toc22772"/>
      <w:bookmarkStart w:id="300" w:name="_Toc75793520"/>
      <w:bookmarkStart w:id="301" w:name="_Toc15716"/>
      <w:bookmarkStart w:id="302" w:name="_Toc17116"/>
      <w:bookmarkStart w:id="303" w:name="_Toc204345222"/>
      <w:bookmarkStart w:id="304" w:name="_Toc26049"/>
      <w:bookmarkStart w:id="305" w:name="_Toc20354"/>
      <w:bookmarkStart w:id="306" w:name="_Toc25814"/>
      <w:bookmarkStart w:id="307" w:name="_Toc20699"/>
      <w:bookmarkStart w:id="308" w:name="_Toc1055"/>
      <w:bookmarkStart w:id="309" w:name="_Toc4511"/>
      <w:bookmarkStart w:id="310" w:name="_Toc17311"/>
      <w:r>
        <w:rPr>
          <w:rFonts w:hint="eastAsia" w:cs="方正仿宋_GBK" w:asciiTheme="minorEastAsia" w:hAnsiTheme="minorEastAsia" w:eastAsiaTheme="minorEastAsia"/>
          <w:b/>
          <w:color w:val="auto"/>
          <w:sz w:val="24"/>
          <w:szCs w:val="24"/>
          <w:highlight w:val="none"/>
        </w:rPr>
        <w:t>三、评标标准</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5E11B840">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（一）评审因素</w:t>
      </w:r>
    </w:p>
    <w:tbl>
      <w:tblPr>
        <w:tblStyle w:val="16"/>
        <w:tblW w:w="57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0"/>
        <w:gridCol w:w="1299"/>
        <w:gridCol w:w="1106"/>
        <w:gridCol w:w="4717"/>
        <w:gridCol w:w="2483"/>
      </w:tblGrid>
      <w:tr w14:paraId="472D6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vAlign w:val="center"/>
          </w:tcPr>
          <w:p w14:paraId="4AFCB889">
            <w:pPr>
              <w:widowControl/>
              <w:adjustRightInd w:val="0"/>
              <w:snapToGrid w:val="0"/>
              <w:jc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color w:val="auto"/>
                <w:kern w:val="0"/>
                <w:sz w:val="24"/>
                <w:szCs w:val="24"/>
                <w:highlight w:val="none"/>
              </w:rPr>
              <w:t>序号</w:t>
            </w:r>
          </w:p>
        </w:tc>
        <w:tc>
          <w:tcPr>
            <w:tcW w:w="605" w:type="pct"/>
            <w:vAlign w:val="center"/>
          </w:tcPr>
          <w:p w14:paraId="13EC690F">
            <w:pPr>
              <w:widowControl/>
              <w:adjustRightInd w:val="0"/>
              <w:snapToGrid w:val="0"/>
              <w:jc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color w:val="auto"/>
                <w:kern w:val="0"/>
                <w:sz w:val="24"/>
                <w:szCs w:val="24"/>
                <w:highlight w:val="none"/>
              </w:rPr>
              <w:t>评分因素及权重</w:t>
            </w:r>
          </w:p>
        </w:tc>
        <w:tc>
          <w:tcPr>
            <w:tcW w:w="515" w:type="pct"/>
            <w:vAlign w:val="center"/>
          </w:tcPr>
          <w:p w14:paraId="312FFFF7">
            <w:pPr>
              <w:widowControl/>
              <w:adjustRightInd w:val="0"/>
              <w:snapToGrid w:val="0"/>
              <w:jc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color w:val="auto"/>
                <w:kern w:val="0"/>
                <w:sz w:val="24"/>
                <w:szCs w:val="24"/>
                <w:highlight w:val="none"/>
              </w:rPr>
              <w:t>分值</w:t>
            </w:r>
          </w:p>
        </w:tc>
        <w:tc>
          <w:tcPr>
            <w:tcW w:w="2196" w:type="pct"/>
            <w:vAlign w:val="center"/>
          </w:tcPr>
          <w:p w14:paraId="585EC89C">
            <w:pPr>
              <w:widowControl/>
              <w:adjustRightInd w:val="0"/>
              <w:snapToGrid w:val="0"/>
              <w:jc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color w:val="auto"/>
                <w:kern w:val="0"/>
                <w:sz w:val="24"/>
                <w:szCs w:val="24"/>
                <w:highlight w:val="none"/>
              </w:rPr>
              <w:t>评分标准</w:t>
            </w:r>
          </w:p>
        </w:tc>
        <w:tc>
          <w:tcPr>
            <w:tcW w:w="1155" w:type="pct"/>
            <w:vAlign w:val="center"/>
          </w:tcPr>
          <w:p w14:paraId="5F3D4FE6">
            <w:pPr>
              <w:widowControl/>
              <w:adjustRightInd w:val="0"/>
              <w:snapToGrid w:val="0"/>
              <w:jc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color w:val="auto"/>
                <w:kern w:val="0"/>
                <w:sz w:val="24"/>
                <w:szCs w:val="24"/>
                <w:highlight w:val="none"/>
              </w:rPr>
              <w:t>说明</w:t>
            </w:r>
          </w:p>
        </w:tc>
      </w:tr>
      <w:tr w14:paraId="0D82B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Borders>
              <w:bottom w:val="single" w:color="auto" w:sz="4" w:space="0"/>
            </w:tcBorders>
            <w:vAlign w:val="center"/>
          </w:tcPr>
          <w:p w14:paraId="3E6A4567">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1</w:t>
            </w:r>
          </w:p>
        </w:tc>
        <w:tc>
          <w:tcPr>
            <w:tcW w:w="605" w:type="pct"/>
            <w:tcBorders>
              <w:bottom w:val="single" w:color="auto" w:sz="4" w:space="0"/>
            </w:tcBorders>
            <w:vAlign w:val="center"/>
          </w:tcPr>
          <w:p w14:paraId="106415E9">
            <w:pPr>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投标报价</w:t>
            </w:r>
          </w:p>
          <w:p w14:paraId="05E26949">
            <w:pPr>
              <w:ind w:firstLine="28"/>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（40%）</w:t>
            </w:r>
          </w:p>
        </w:tc>
        <w:tc>
          <w:tcPr>
            <w:tcW w:w="515" w:type="pct"/>
            <w:tcBorders>
              <w:bottom w:val="single" w:color="auto" w:sz="4" w:space="0"/>
            </w:tcBorders>
            <w:vAlign w:val="center"/>
          </w:tcPr>
          <w:p w14:paraId="566213D1">
            <w:pPr>
              <w:ind w:firstLine="28"/>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报价</w:t>
            </w:r>
          </w:p>
          <w:p w14:paraId="641D7CFA">
            <w:pPr>
              <w:ind w:firstLine="28"/>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40</w:t>
            </w:r>
          </w:p>
        </w:tc>
        <w:tc>
          <w:tcPr>
            <w:tcW w:w="2196" w:type="pct"/>
            <w:tcBorders>
              <w:bottom w:val="single" w:color="auto" w:sz="4" w:space="0"/>
            </w:tcBorders>
            <w:vAlign w:val="center"/>
          </w:tcPr>
          <w:p w14:paraId="233F630B">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有效的投标报价中的最低价为评标基准价，其价格分为满分。其他投标人的价格分统一按照下列公式计算：投标报价得分＝（评标基准价/投标报价）×价格权重×100。（按四舍五入法保留两位小数）</w:t>
            </w:r>
          </w:p>
        </w:tc>
        <w:tc>
          <w:tcPr>
            <w:tcW w:w="1155" w:type="pct"/>
            <w:tcBorders>
              <w:bottom w:val="single" w:color="auto" w:sz="4" w:space="0"/>
            </w:tcBorders>
            <w:vAlign w:val="center"/>
          </w:tcPr>
          <w:p w14:paraId="5A94227C">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对本国产品的报价价格用扣除后的价格参与评审，详见“关于本国产品报价扣除比例说明”</w:t>
            </w:r>
          </w:p>
        </w:tc>
      </w:tr>
      <w:tr w14:paraId="2A46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Borders>
              <w:top w:val="single" w:color="auto" w:sz="4" w:space="0"/>
              <w:left w:val="single" w:color="auto" w:sz="4" w:space="0"/>
              <w:bottom w:val="single" w:color="auto" w:sz="4" w:space="0"/>
              <w:right w:val="single" w:color="auto" w:sz="4" w:space="0"/>
            </w:tcBorders>
            <w:vAlign w:val="center"/>
          </w:tcPr>
          <w:p w14:paraId="2E314A9F">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2</w:t>
            </w:r>
          </w:p>
        </w:tc>
        <w:tc>
          <w:tcPr>
            <w:tcW w:w="605" w:type="pct"/>
            <w:tcBorders>
              <w:top w:val="single" w:color="auto" w:sz="4" w:space="0"/>
              <w:left w:val="single" w:color="auto" w:sz="4" w:space="0"/>
              <w:bottom w:val="single" w:color="auto" w:sz="4" w:space="0"/>
              <w:right w:val="single" w:color="auto" w:sz="4" w:space="0"/>
            </w:tcBorders>
            <w:vAlign w:val="center"/>
          </w:tcPr>
          <w:p w14:paraId="52BCAA78">
            <w:pPr>
              <w:widowControl/>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技术</w:t>
            </w:r>
          </w:p>
          <w:p w14:paraId="2244A305">
            <w:pPr>
              <w:widowControl/>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部分（40%）</w:t>
            </w:r>
          </w:p>
        </w:tc>
        <w:tc>
          <w:tcPr>
            <w:tcW w:w="515" w:type="pct"/>
            <w:tcBorders>
              <w:top w:val="single" w:color="auto" w:sz="4" w:space="0"/>
              <w:left w:val="single" w:color="auto" w:sz="4" w:space="0"/>
              <w:right w:val="single" w:color="auto" w:sz="4" w:space="0"/>
            </w:tcBorders>
            <w:vAlign w:val="center"/>
          </w:tcPr>
          <w:p w14:paraId="1C2ED5CE">
            <w:pPr>
              <w:widowControl/>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技术响应</w:t>
            </w:r>
          </w:p>
          <w:p w14:paraId="72CA5C9E">
            <w:pPr>
              <w:widowControl/>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40</w:t>
            </w:r>
          </w:p>
        </w:tc>
        <w:tc>
          <w:tcPr>
            <w:tcW w:w="2196" w:type="pct"/>
            <w:tcBorders>
              <w:top w:val="single" w:color="auto" w:sz="4" w:space="0"/>
              <w:left w:val="single" w:color="auto" w:sz="4" w:space="0"/>
              <w:right w:val="single" w:color="auto" w:sz="4" w:space="0"/>
            </w:tcBorders>
            <w:vAlign w:val="center"/>
          </w:tcPr>
          <w:p w14:paraId="40235F7D">
            <w:pPr>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1.起评分：有效投标人的起评分为40分。</w:t>
            </w:r>
          </w:p>
          <w:p w14:paraId="55F573DF">
            <w:pPr>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2.扣分条款：</w:t>
            </w:r>
          </w:p>
          <w:p w14:paraId="0A4B58A3">
            <w:pPr>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2.1投标文件投标应答不满足带“▲”号标注的重要技术需求部分，共</w:t>
            </w:r>
            <w:r>
              <w:rPr>
                <w:rFonts w:hint="eastAsia" w:ascii="方正仿宋_GBK" w:hAnsi="方正仿宋_GBK" w:eastAsia="方正仿宋_GBK" w:cs="方正仿宋_GBK"/>
                <w:color w:val="auto"/>
                <w:kern w:val="0"/>
                <w:sz w:val="24"/>
                <w:szCs w:val="24"/>
                <w:highlight w:val="none"/>
                <w:lang w:val="en-US" w:eastAsia="zh-CN"/>
              </w:rPr>
              <w:t>34</w:t>
            </w:r>
            <w:r>
              <w:rPr>
                <w:rFonts w:hint="eastAsia" w:ascii="方正仿宋_GBK" w:hAnsi="方正仿宋_GBK" w:eastAsia="方正仿宋_GBK" w:cs="方正仿宋_GBK"/>
                <w:color w:val="auto"/>
                <w:kern w:val="0"/>
                <w:sz w:val="24"/>
                <w:szCs w:val="24"/>
                <w:highlight w:val="none"/>
              </w:rPr>
              <w:t>条，共2</w:t>
            </w:r>
            <w:r>
              <w:rPr>
                <w:rFonts w:hint="eastAsia" w:ascii="方正仿宋_GBK" w:hAnsi="方正仿宋_GBK" w:eastAsia="方正仿宋_GBK" w:cs="方正仿宋_GBK"/>
                <w:color w:val="auto"/>
                <w:kern w:val="0"/>
                <w:sz w:val="24"/>
                <w:szCs w:val="24"/>
                <w:highlight w:val="none"/>
                <w:lang w:val="en-US" w:eastAsia="zh-CN"/>
              </w:rPr>
              <w:t>0</w:t>
            </w:r>
            <w:r>
              <w:rPr>
                <w:rFonts w:hint="eastAsia" w:ascii="方正仿宋_GBK" w:hAnsi="方正仿宋_GBK" w:eastAsia="方正仿宋_GBK" w:cs="方正仿宋_GBK"/>
                <w:color w:val="auto"/>
                <w:kern w:val="0"/>
                <w:sz w:val="24"/>
                <w:szCs w:val="24"/>
                <w:highlight w:val="none"/>
              </w:rPr>
              <w:t>.</w:t>
            </w:r>
            <w:r>
              <w:rPr>
                <w:rFonts w:hint="eastAsia" w:ascii="方正仿宋_GBK" w:hAnsi="方正仿宋_GBK" w:eastAsia="方正仿宋_GBK" w:cs="方正仿宋_GBK"/>
                <w:color w:val="auto"/>
                <w:kern w:val="0"/>
                <w:sz w:val="24"/>
                <w:szCs w:val="24"/>
                <w:highlight w:val="none"/>
                <w:lang w:val="en-US" w:eastAsia="zh-CN"/>
              </w:rPr>
              <w:t>4</w:t>
            </w:r>
            <w:r>
              <w:rPr>
                <w:rFonts w:hint="eastAsia" w:ascii="方正仿宋_GBK" w:hAnsi="方正仿宋_GBK" w:eastAsia="方正仿宋_GBK" w:cs="方正仿宋_GBK"/>
                <w:color w:val="auto"/>
                <w:kern w:val="0"/>
                <w:sz w:val="24"/>
                <w:szCs w:val="24"/>
                <w:highlight w:val="none"/>
              </w:rPr>
              <w:t>分。有一条不满足，从起评分中扣除0.</w:t>
            </w:r>
            <w:r>
              <w:rPr>
                <w:rFonts w:hint="eastAsia" w:ascii="方正仿宋_GBK" w:hAnsi="方正仿宋_GBK" w:eastAsia="方正仿宋_GBK" w:cs="方正仿宋_GBK"/>
                <w:color w:val="auto"/>
                <w:kern w:val="0"/>
                <w:sz w:val="24"/>
                <w:szCs w:val="24"/>
                <w:highlight w:val="none"/>
                <w:lang w:val="en-US" w:eastAsia="zh-CN"/>
              </w:rPr>
              <w:t>6</w:t>
            </w:r>
            <w:r>
              <w:rPr>
                <w:rFonts w:hint="eastAsia" w:ascii="方正仿宋_GBK" w:hAnsi="方正仿宋_GBK" w:eastAsia="方正仿宋_GBK" w:cs="方正仿宋_GBK"/>
                <w:color w:val="auto"/>
                <w:kern w:val="0"/>
                <w:sz w:val="24"/>
                <w:szCs w:val="24"/>
                <w:highlight w:val="none"/>
              </w:rPr>
              <w:t>分，扣完为止。</w:t>
            </w:r>
          </w:p>
          <w:p w14:paraId="457656D8">
            <w:pPr>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2.2投标文件投标应答不满足带“〇”号标注的一般性技术需求部分，共</w:t>
            </w:r>
            <w:r>
              <w:rPr>
                <w:rFonts w:hint="eastAsia" w:ascii="方正仿宋_GBK" w:hAnsi="方正仿宋_GBK" w:eastAsia="方正仿宋_GBK" w:cs="方正仿宋_GBK"/>
                <w:color w:val="auto"/>
                <w:kern w:val="0"/>
                <w:sz w:val="24"/>
                <w:szCs w:val="24"/>
                <w:highlight w:val="none"/>
                <w:lang w:val="en-US" w:eastAsia="zh-CN"/>
              </w:rPr>
              <w:t>49</w:t>
            </w:r>
            <w:r>
              <w:rPr>
                <w:rFonts w:hint="eastAsia" w:ascii="方正仿宋_GBK" w:hAnsi="方正仿宋_GBK" w:eastAsia="方正仿宋_GBK" w:cs="方正仿宋_GBK"/>
                <w:color w:val="auto"/>
                <w:kern w:val="0"/>
                <w:sz w:val="24"/>
                <w:szCs w:val="24"/>
                <w:highlight w:val="none"/>
              </w:rPr>
              <w:t>条，共</w:t>
            </w:r>
            <w:r>
              <w:rPr>
                <w:rFonts w:hint="eastAsia" w:ascii="方正仿宋_GBK" w:hAnsi="方正仿宋_GBK" w:eastAsia="方正仿宋_GBK" w:cs="方正仿宋_GBK"/>
                <w:color w:val="auto"/>
                <w:kern w:val="0"/>
                <w:sz w:val="24"/>
                <w:szCs w:val="24"/>
                <w:highlight w:val="none"/>
                <w:lang w:val="en-US" w:eastAsia="zh-CN"/>
              </w:rPr>
              <w:t>19.6</w:t>
            </w:r>
            <w:r>
              <w:rPr>
                <w:rFonts w:hint="eastAsia" w:ascii="方正仿宋_GBK" w:hAnsi="方正仿宋_GBK" w:eastAsia="方正仿宋_GBK" w:cs="方正仿宋_GBK"/>
                <w:color w:val="auto"/>
                <w:kern w:val="0"/>
                <w:sz w:val="24"/>
                <w:szCs w:val="24"/>
                <w:highlight w:val="none"/>
              </w:rPr>
              <w:t>分。有一条不满足，从起评分中扣除0.</w:t>
            </w:r>
            <w:r>
              <w:rPr>
                <w:rFonts w:hint="eastAsia" w:ascii="方正仿宋_GBK" w:hAnsi="方正仿宋_GBK" w:eastAsia="方正仿宋_GBK" w:cs="方正仿宋_GBK"/>
                <w:color w:val="auto"/>
                <w:kern w:val="0"/>
                <w:sz w:val="24"/>
                <w:szCs w:val="24"/>
                <w:highlight w:val="none"/>
                <w:lang w:val="en-US" w:eastAsia="zh-CN"/>
              </w:rPr>
              <w:t>4</w:t>
            </w:r>
            <w:r>
              <w:rPr>
                <w:rFonts w:hint="eastAsia" w:ascii="方正仿宋_GBK" w:hAnsi="方正仿宋_GBK" w:eastAsia="方正仿宋_GBK" w:cs="方正仿宋_GBK"/>
                <w:color w:val="auto"/>
                <w:kern w:val="0"/>
                <w:sz w:val="24"/>
                <w:szCs w:val="24"/>
                <w:highlight w:val="none"/>
              </w:rPr>
              <w:t>分，扣完为止。</w:t>
            </w:r>
          </w:p>
        </w:tc>
        <w:tc>
          <w:tcPr>
            <w:tcW w:w="1155" w:type="pct"/>
            <w:tcBorders>
              <w:top w:val="single" w:color="auto" w:sz="4" w:space="0"/>
              <w:left w:val="single" w:color="auto" w:sz="4" w:space="0"/>
              <w:right w:val="single" w:color="auto" w:sz="4" w:space="0"/>
            </w:tcBorders>
            <w:vAlign w:val="center"/>
          </w:tcPr>
          <w:p w14:paraId="275A0F62">
            <w:pPr>
              <w:widowControl/>
              <w:adjustRightInd w:val="0"/>
              <w:snapToGrid w:val="0"/>
              <w:rPr>
                <w:rFonts w:hint="eastAsia" w:ascii="方正仿宋_GBK" w:hAnsi="方正仿宋_GBK" w:eastAsia="方正仿宋_GBK" w:cs="方正仿宋_GBK"/>
                <w:color w:val="auto"/>
                <w:kern w:val="0"/>
                <w:sz w:val="24"/>
                <w:szCs w:val="24"/>
                <w:highlight w:val="none"/>
              </w:rPr>
            </w:pPr>
          </w:p>
        </w:tc>
      </w:tr>
      <w:tr w14:paraId="6C0A7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vMerge w:val="restart"/>
            <w:tcBorders>
              <w:top w:val="single" w:color="auto" w:sz="4" w:space="0"/>
              <w:left w:val="single" w:color="auto" w:sz="4" w:space="0"/>
              <w:right w:val="single" w:color="auto" w:sz="4" w:space="0"/>
            </w:tcBorders>
            <w:vAlign w:val="center"/>
          </w:tcPr>
          <w:p w14:paraId="0198FB88">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3</w:t>
            </w:r>
          </w:p>
        </w:tc>
        <w:tc>
          <w:tcPr>
            <w:tcW w:w="605" w:type="pct"/>
            <w:vMerge w:val="restart"/>
            <w:tcBorders>
              <w:top w:val="single" w:color="auto" w:sz="4" w:space="0"/>
              <w:left w:val="single" w:color="auto" w:sz="4" w:space="0"/>
              <w:right w:val="single" w:color="auto" w:sz="4" w:space="0"/>
            </w:tcBorders>
            <w:vAlign w:val="center"/>
          </w:tcPr>
          <w:p w14:paraId="50918006">
            <w:pPr>
              <w:widowControl/>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商务部分（20%）</w:t>
            </w:r>
          </w:p>
        </w:tc>
        <w:tc>
          <w:tcPr>
            <w:tcW w:w="515" w:type="pct"/>
            <w:tcBorders>
              <w:top w:val="single" w:color="auto" w:sz="4" w:space="0"/>
              <w:left w:val="single" w:color="auto" w:sz="4" w:space="0"/>
              <w:right w:val="single" w:color="auto" w:sz="4" w:space="0"/>
            </w:tcBorders>
            <w:vAlign w:val="center"/>
          </w:tcPr>
          <w:p w14:paraId="49122306">
            <w:pPr>
              <w:widowControl/>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供货及安装方案</w:t>
            </w:r>
          </w:p>
          <w:p w14:paraId="352DB5DA">
            <w:pPr>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6</w:t>
            </w:r>
          </w:p>
        </w:tc>
        <w:tc>
          <w:tcPr>
            <w:tcW w:w="2196" w:type="pct"/>
            <w:tcBorders>
              <w:top w:val="single" w:color="auto" w:sz="4" w:space="0"/>
              <w:left w:val="single" w:color="auto" w:sz="4" w:space="0"/>
              <w:right w:val="single" w:color="auto" w:sz="4" w:space="0"/>
            </w:tcBorders>
            <w:vAlign w:val="center"/>
          </w:tcPr>
          <w:p w14:paraId="32C4F7BF">
            <w:pPr>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投标人针对本项目采购需求提供的项目供货及安装方案，内容须包含：项目产品生产能力及过程安排计划、项目实施人员配置及分工、项目运输、搬运、安装实施、质量保障、项目沟通机制与应急处理等内容。</w:t>
            </w:r>
          </w:p>
          <w:p w14:paraId="38CF2804">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方案包含上述所有内容，且对各项内容均进行描述的基础上，方案内容不存在瑕疵，得6分；方案内容存在1处瑕疵，得4分；方案内容存在2处瑕疵，得2分；方案内容存在3处及以上瑕疵或未提供方案得0分。</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注：本项内容中所称的“瑕疵”指以下内容：</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①方案内容要素欠缺、仅有标题而无实质意义叙述内容；</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②方案内容中包含其他项目名称，或出现与本项目不相关的其他内容；</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③内容表述前后矛盾、无连贯性、内容存在逻辑漏洞；</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④常识性错误；</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⑤方案内容并不适用于本项目特性或非专门针对本项目制定；</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⑥方案中提出的措施举措不利于本项目目标的实现；</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⑦现有技术条件下不可能实现采购目标。</w:t>
            </w:r>
          </w:p>
          <w:p w14:paraId="6AD3AE0F">
            <w:pP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上述任意一种情形为1处瑕疵。</w:t>
            </w:r>
          </w:p>
        </w:tc>
        <w:tc>
          <w:tcPr>
            <w:tcW w:w="1155" w:type="pct"/>
            <w:tcBorders>
              <w:top w:val="single" w:color="auto" w:sz="4" w:space="0"/>
              <w:left w:val="single" w:color="auto" w:sz="4" w:space="0"/>
              <w:right w:val="single" w:color="auto" w:sz="4" w:space="0"/>
            </w:tcBorders>
            <w:vAlign w:val="center"/>
          </w:tcPr>
          <w:p w14:paraId="6B50AFF0">
            <w:pPr>
              <w:widowControl/>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须提供具体方案并加盖投标人公章。</w:t>
            </w:r>
          </w:p>
        </w:tc>
      </w:tr>
      <w:tr w14:paraId="0A38D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vMerge w:val="continue"/>
            <w:tcBorders>
              <w:left w:val="single" w:color="auto" w:sz="4" w:space="0"/>
              <w:right w:val="single" w:color="auto" w:sz="4" w:space="0"/>
            </w:tcBorders>
            <w:vAlign w:val="center"/>
          </w:tcPr>
          <w:p w14:paraId="1447DFA1">
            <w:pPr>
              <w:widowControl/>
              <w:adjustRightInd w:val="0"/>
              <w:snapToGrid w:val="0"/>
              <w:rPr>
                <w:rFonts w:hint="eastAsia" w:ascii="方正仿宋_GBK" w:hAnsi="方正仿宋_GBK" w:eastAsia="方正仿宋_GBK" w:cs="方正仿宋_GBK"/>
                <w:color w:val="auto"/>
                <w:kern w:val="0"/>
                <w:sz w:val="24"/>
                <w:szCs w:val="24"/>
                <w:highlight w:val="none"/>
              </w:rPr>
            </w:pPr>
          </w:p>
        </w:tc>
        <w:tc>
          <w:tcPr>
            <w:tcW w:w="605" w:type="pct"/>
            <w:vMerge w:val="continue"/>
            <w:tcBorders>
              <w:left w:val="single" w:color="auto" w:sz="4" w:space="0"/>
              <w:right w:val="single" w:color="auto" w:sz="4" w:space="0"/>
            </w:tcBorders>
            <w:vAlign w:val="center"/>
          </w:tcPr>
          <w:p w14:paraId="35E9B21A">
            <w:pPr>
              <w:widowControl/>
              <w:adjustRightInd w:val="0"/>
              <w:snapToGrid w:val="0"/>
              <w:rPr>
                <w:rFonts w:hint="eastAsia" w:ascii="方正仿宋_GBK" w:hAnsi="方正仿宋_GBK" w:eastAsia="方正仿宋_GBK" w:cs="方正仿宋_GBK"/>
                <w:color w:val="auto"/>
                <w:kern w:val="0"/>
                <w:sz w:val="24"/>
                <w:szCs w:val="24"/>
                <w:highlight w:val="none"/>
              </w:rPr>
            </w:pPr>
          </w:p>
        </w:tc>
        <w:tc>
          <w:tcPr>
            <w:tcW w:w="515" w:type="pct"/>
            <w:tcBorders>
              <w:top w:val="single" w:color="auto" w:sz="4" w:space="0"/>
              <w:left w:val="single" w:color="auto" w:sz="4" w:space="0"/>
              <w:bottom w:val="single" w:color="auto" w:sz="4" w:space="0"/>
              <w:right w:val="single" w:color="auto" w:sz="4" w:space="0"/>
            </w:tcBorders>
            <w:vAlign w:val="center"/>
          </w:tcPr>
          <w:p w14:paraId="59F50E0E">
            <w:pPr>
              <w:widowControl/>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售后服务方案</w:t>
            </w:r>
          </w:p>
          <w:p w14:paraId="6AA68289">
            <w:pPr>
              <w:widowControl/>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5</w:t>
            </w:r>
          </w:p>
        </w:tc>
        <w:tc>
          <w:tcPr>
            <w:tcW w:w="2196" w:type="pct"/>
            <w:tcBorders>
              <w:top w:val="single" w:color="auto" w:sz="4" w:space="0"/>
              <w:left w:val="single" w:color="auto" w:sz="4" w:space="0"/>
              <w:bottom w:val="single" w:color="auto" w:sz="4" w:space="0"/>
              <w:right w:val="single" w:color="auto" w:sz="4" w:space="0"/>
            </w:tcBorders>
            <w:vAlign w:val="center"/>
          </w:tcPr>
          <w:p w14:paraId="1A8738C0">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针对本项目采购需求提供售后服务方案，内容须包括：产品质量保证、质保时间、质保范围、服务速度与效率、应急维修、备品备件、服务咨询、保养、专人负责、专人巡检等内容。</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方案包含上述所有内容，且对各项内容均进行描述的基础上，方案内容不存在瑕疵，得5分；方案内容存在1处瑕疵，得3分；方案内容存在2处瑕疵，得1分；方案内容存在3处及以上瑕疵或未提供方案得0分。</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注：本项内容中所称的“瑕疵”指以下内容：</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①方案内容要素欠缺、仅有标题而无实质意义叙述内容；</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②方案内容中包含其他项目名称，或出现与本项目不相关的其他内容；</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③内容表述前后矛盾、无连贯性、内容存在逻辑漏洞；</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④常识性错误；</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⑤方案内容不适用于本项目特性或非专门针对本项目制定；</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⑥方案中提出的措施举措不利于本项目目标的实现；</w:t>
            </w:r>
            <w:r>
              <w:rPr>
                <w:rFonts w:hint="eastAsia" w:ascii="方正仿宋_GBK" w:hAnsi="方正仿宋_GBK" w:eastAsia="方正仿宋_GBK" w:cs="方正仿宋_GBK"/>
                <w:color w:val="auto"/>
                <w:kern w:val="0"/>
                <w:sz w:val="24"/>
                <w:szCs w:val="24"/>
                <w:highlight w:val="none"/>
              </w:rPr>
              <w:br w:type="textWrapping"/>
            </w:r>
            <w:r>
              <w:rPr>
                <w:rFonts w:hint="eastAsia" w:ascii="方正仿宋_GBK" w:hAnsi="方正仿宋_GBK" w:eastAsia="方正仿宋_GBK" w:cs="方正仿宋_GBK"/>
                <w:color w:val="auto"/>
                <w:kern w:val="0"/>
                <w:sz w:val="24"/>
                <w:szCs w:val="24"/>
                <w:highlight w:val="none"/>
              </w:rPr>
              <w:t>⑦现有技术条件下不可能实现采购目标。</w:t>
            </w:r>
          </w:p>
          <w:p w14:paraId="7C45FAC9">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上述任意一种情形为1处瑕疵。</w:t>
            </w:r>
          </w:p>
        </w:tc>
        <w:tc>
          <w:tcPr>
            <w:tcW w:w="1155" w:type="pct"/>
            <w:tcBorders>
              <w:top w:val="single" w:color="auto" w:sz="4" w:space="0"/>
              <w:left w:val="single" w:color="auto" w:sz="4" w:space="0"/>
              <w:bottom w:val="single" w:color="auto" w:sz="4" w:space="0"/>
              <w:right w:val="single" w:color="auto" w:sz="4" w:space="0"/>
            </w:tcBorders>
            <w:vAlign w:val="center"/>
          </w:tcPr>
          <w:p w14:paraId="6BF858A2">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须提供具体方案并加盖投标人公章。</w:t>
            </w:r>
          </w:p>
        </w:tc>
      </w:tr>
      <w:tr w14:paraId="019C0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vMerge w:val="continue"/>
            <w:tcBorders>
              <w:left w:val="single" w:color="auto" w:sz="4" w:space="0"/>
              <w:right w:val="single" w:color="auto" w:sz="4" w:space="0"/>
            </w:tcBorders>
            <w:vAlign w:val="center"/>
          </w:tcPr>
          <w:p w14:paraId="06B9A21D">
            <w:pPr>
              <w:widowControl/>
              <w:adjustRightInd w:val="0"/>
              <w:snapToGrid w:val="0"/>
              <w:rPr>
                <w:rFonts w:hint="eastAsia" w:ascii="方正仿宋_GBK" w:hAnsi="方正仿宋_GBK" w:eastAsia="方正仿宋_GBK" w:cs="方正仿宋_GBK"/>
                <w:color w:val="auto"/>
                <w:kern w:val="0"/>
                <w:sz w:val="24"/>
                <w:szCs w:val="24"/>
                <w:highlight w:val="none"/>
              </w:rPr>
            </w:pPr>
          </w:p>
        </w:tc>
        <w:tc>
          <w:tcPr>
            <w:tcW w:w="605" w:type="pct"/>
            <w:vMerge w:val="continue"/>
            <w:tcBorders>
              <w:left w:val="single" w:color="auto" w:sz="4" w:space="0"/>
              <w:right w:val="single" w:color="auto" w:sz="4" w:space="0"/>
            </w:tcBorders>
            <w:vAlign w:val="center"/>
          </w:tcPr>
          <w:p w14:paraId="23412C46">
            <w:pPr>
              <w:widowControl/>
              <w:adjustRightInd w:val="0"/>
              <w:snapToGrid w:val="0"/>
              <w:rPr>
                <w:rFonts w:hint="eastAsia" w:ascii="方正仿宋_GBK" w:hAnsi="方正仿宋_GBK" w:eastAsia="方正仿宋_GBK" w:cs="方正仿宋_GBK"/>
                <w:color w:val="auto"/>
                <w:kern w:val="0"/>
                <w:sz w:val="24"/>
                <w:szCs w:val="24"/>
                <w:highlight w:val="none"/>
              </w:rPr>
            </w:pPr>
          </w:p>
        </w:tc>
        <w:tc>
          <w:tcPr>
            <w:tcW w:w="515" w:type="pct"/>
            <w:tcBorders>
              <w:top w:val="single" w:color="auto" w:sz="4" w:space="0"/>
              <w:left w:val="single" w:color="auto" w:sz="4" w:space="0"/>
              <w:bottom w:val="single" w:color="auto" w:sz="4" w:space="0"/>
              <w:right w:val="single" w:color="auto" w:sz="4" w:space="0"/>
            </w:tcBorders>
            <w:vAlign w:val="center"/>
          </w:tcPr>
          <w:p w14:paraId="77E364DC">
            <w:pPr>
              <w:widowControl/>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投标人业绩</w:t>
            </w:r>
          </w:p>
          <w:p w14:paraId="50262C30">
            <w:pPr>
              <w:widowControl/>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9</w:t>
            </w:r>
          </w:p>
        </w:tc>
        <w:tc>
          <w:tcPr>
            <w:tcW w:w="2196" w:type="pct"/>
            <w:tcBorders>
              <w:top w:val="single" w:color="auto" w:sz="4" w:space="0"/>
              <w:left w:val="single" w:color="auto" w:sz="4" w:space="0"/>
              <w:bottom w:val="single" w:color="auto" w:sz="4" w:space="0"/>
              <w:right w:val="single" w:color="auto" w:sz="4" w:space="0"/>
            </w:tcBorders>
            <w:vAlign w:val="center"/>
          </w:tcPr>
          <w:p w14:paraId="6014AF48">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投标人提供2021年1月1日起至本项目投标截止时间止（以合同签订时间为准）的与本项目类似产品业绩的，有1个得3分，最多得9分。</w:t>
            </w:r>
          </w:p>
        </w:tc>
        <w:tc>
          <w:tcPr>
            <w:tcW w:w="1155" w:type="pct"/>
            <w:tcBorders>
              <w:top w:val="single" w:color="auto" w:sz="4" w:space="0"/>
              <w:left w:val="single" w:color="auto" w:sz="4" w:space="0"/>
              <w:bottom w:val="single" w:color="auto" w:sz="4" w:space="0"/>
              <w:right w:val="single" w:color="auto" w:sz="4" w:space="0"/>
            </w:tcBorders>
            <w:vAlign w:val="center"/>
          </w:tcPr>
          <w:p w14:paraId="102C4A1B">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提供合同关键页复印件，加盖投标人公章。具体要求如下：</w:t>
            </w:r>
          </w:p>
          <w:p w14:paraId="727ADB8F">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1.合同业绩须为投标人销售至具体使用方的业绩，不得为投标人购买产品的业绩。</w:t>
            </w:r>
          </w:p>
          <w:p w14:paraId="01A76C86">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2.合同关键页复印件须体现合同标的（合同标的须至少包含分包内的核心产品，若分包为单一品目则至少包含分包中的产品，品牌、规格、型号不限）、合同金额、建设内容、签字盖章页）。</w:t>
            </w:r>
          </w:p>
          <w:p w14:paraId="7B50DC3D">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3.须提供合同具体使用方出具的验收合格证明并加盖投标人公章。</w:t>
            </w:r>
          </w:p>
          <w:p w14:paraId="3E3B1B4D">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4.未按上述要求提供业绩证明材料的，不得分。</w:t>
            </w:r>
          </w:p>
        </w:tc>
      </w:tr>
      <w:tr w14:paraId="69F1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6" w:type="pct"/>
            <w:tcBorders>
              <w:left w:val="single" w:color="auto" w:sz="4" w:space="0"/>
              <w:right w:val="single" w:color="auto" w:sz="4" w:space="0"/>
            </w:tcBorders>
            <w:vAlign w:val="center"/>
          </w:tcPr>
          <w:p w14:paraId="399857AF">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4</w:t>
            </w:r>
          </w:p>
        </w:tc>
        <w:tc>
          <w:tcPr>
            <w:tcW w:w="1120" w:type="pct"/>
            <w:gridSpan w:val="2"/>
            <w:tcBorders>
              <w:left w:val="single" w:color="auto" w:sz="4" w:space="0"/>
              <w:right w:val="single" w:color="auto" w:sz="4" w:space="0"/>
            </w:tcBorders>
            <w:vAlign w:val="center"/>
          </w:tcPr>
          <w:p w14:paraId="5B87DF3C">
            <w:pPr>
              <w:widowControl/>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政策性加分</w:t>
            </w:r>
          </w:p>
          <w:p w14:paraId="5EF25888">
            <w:pPr>
              <w:widowControl/>
              <w:adjustRightInd w:val="0"/>
              <w:snapToGrid w:val="0"/>
              <w:jc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（4）</w:t>
            </w:r>
          </w:p>
        </w:tc>
        <w:tc>
          <w:tcPr>
            <w:tcW w:w="3352" w:type="pct"/>
            <w:gridSpan w:val="2"/>
            <w:tcBorders>
              <w:top w:val="single" w:color="auto" w:sz="4" w:space="0"/>
              <w:left w:val="single" w:color="auto" w:sz="4" w:space="0"/>
              <w:bottom w:val="single" w:color="auto" w:sz="4" w:space="0"/>
              <w:right w:val="single" w:color="auto" w:sz="4" w:space="0"/>
            </w:tcBorders>
            <w:vAlign w:val="center"/>
          </w:tcPr>
          <w:p w14:paraId="139F99EB">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1.投标产品属于《财政部发展改革委关于印发节能产品政府采购品目清单的通知》（财库〔2019〕19号）范围内的节能产品，且“节能产品政府采购品目清单”中未标注“*”的，有一款得0.5分，最多得2分（清单中以“*”标注为政府强制采购的节能产品）。</w:t>
            </w:r>
          </w:p>
          <w:p w14:paraId="49809C39">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说明：提供所投产品列入《财政部发展改革委关于印发节能产品政府采购品目清单的通知》（财库〔2019〕19号）中“节能产品政府采购品目清单”所在页面打印件，及国家确定的认证机构出具的、处于有效期之内的节能产品认证证书复印件。2.投标产品属于《财政部生态环境部关于印发环境标志产品政府采购品目清单的通知》（财库〔2019〕18号）范围内的环境标志产品的，有一款得0.5分，最多得2分。</w:t>
            </w:r>
          </w:p>
          <w:p w14:paraId="7D319450">
            <w:pPr>
              <w:widowControl/>
              <w:adjustRightInd w:val="0"/>
              <w:snapToGrid w:val="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说明：提供所投产品列入《财政部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bl>
    <w:p w14:paraId="09235E76">
      <w:pPr>
        <w:snapToGrid w:val="0"/>
        <w:spacing w:line="400" w:lineRule="exact"/>
        <w:ind w:firstLine="465"/>
        <w:rPr>
          <w:rFonts w:ascii="宋体" w:hAnsi="宋体" w:cs="宋体"/>
          <w:b/>
          <w:color w:val="auto"/>
          <w:sz w:val="24"/>
          <w:szCs w:val="24"/>
          <w:highlight w:val="none"/>
        </w:rPr>
      </w:pPr>
      <w:r>
        <w:rPr>
          <w:rFonts w:hint="eastAsia" w:ascii="宋体" w:hAnsi="宋体" w:cs="宋体"/>
          <w:b/>
          <w:color w:val="auto"/>
          <w:sz w:val="24"/>
          <w:szCs w:val="24"/>
          <w:highlight w:val="none"/>
        </w:rPr>
        <w:t>注</w:t>
      </w:r>
      <w:r>
        <w:rPr>
          <w:rFonts w:ascii="宋体" w:hAnsi="宋体" w:cs="宋体"/>
          <w:b/>
          <w:color w:val="auto"/>
          <w:sz w:val="24"/>
          <w:szCs w:val="24"/>
          <w:highlight w:val="none"/>
        </w:rPr>
        <w:t>：</w:t>
      </w:r>
    </w:p>
    <w:p w14:paraId="2CEB97A1">
      <w:pPr>
        <w:snapToGrid w:val="0"/>
        <w:spacing w:line="400" w:lineRule="exact"/>
        <w:ind w:firstLine="465"/>
        <w:rPr>
          <w:rFonts w:ascii="宋体" w:hAnsi="宋体" w:cs="宋体"/>
          <w:b/>
          <w:color w:val="auto"/>
          <w:sz w:val="24"/>
          <w:szCs w:val="24"/>
          <w:highlight w:val="none"/>
        </w:rPr>
      </w:pPr>
      <w:r>
        <w:rPr>
          <w:rFonts w:hint="eastAsia" w:ascii="宋体" w:hAnsi="宋体" w:cs="宋体"/>
          <w:b/>
          <w:color w:val="auto"/>
          <w:sz w:val="24"/>
          <w:szCs w:val="24"/>
          <w:highlight w:val="none"/>
        </w:rPr>
        <w:t>（一）政府采购异常低价问题有关事项的说明</w:t>
      </w:r>
    </w:p>
    <w:p w14:paraId="6524CF42">
      <w:pPr>
        <w:snapToGrid w:val="0"/>
        <w:spacing w:line="400" w:lineRule="exact"/>
        <w:ind w:firstLine="465"/>
        <w:rPr>
          <w:rFonts w:ascii="宋体" w:hAnsi="宋体" w:cs="宋体"/>
          <w:color w:val="auto"/>
          <w:sz w:val="24"/>
          <w:szCs w:val="24"/>
          <w:highlight w:val="none"/>
        </w:rPr>
      </w:pPr>
      <w:r>
        <w:rPr>
          <w:rFonts w:hint="eastAsia" w:ascii="宋体" w:hAnsi="宋体" w:cs="宋体"/>
          <w:color w:val="auto"/>
          <w:sz w:val="24"/>
          <w:szCs w:val="24"/>
          <w:highlight w:val="none"/>
        </w:rPr>
        <w:t>1.根据《关于推动解决政府采购异常低价问题的通知》财库〔2026〕2号文件规定，政府采购评审中出现下列情形之一的，评审委员会应当启动异常低价投标（响应）审查程序：</w:t>
      </w:r>
    </w:p>
    <w:p w14:paraId="502FF3AA">
      <w:pPr>
        <w:snapToGrid w:val="0"/>
        <w:spacing w:line="400" w:lineRule="exact"/>
        <w:ind w:firstLine="465"/>
        <w:rPr>
          <w:rFonts w:ascii="宋体" w:hAnsi="宋体" w:cs="宋体"/>
          <w:color w:val="auto"/>
          <w:sz w:val="24"/>
          <w:szCs w:val="24"/>
          <w:highlight w:val="none"/>
        </w:rPr>
      </w:pPr>
      <w:r>
        <w:rPr>
          <w:rFonts w:hint="eastAsia" w:ascii="宋体" w:hAnsi="宋体" w:cs="宋体"/>
          <w:color w:val="auto"/>
          <w:sz w:val="24"/>
          <w:szCs w:val="24"/>
          <w:highlight w:val="none"/>
        </w:rPr>
        <w:t>1.1.投标（响应）报价低于全部通过符合性审查供应商投标（响应）报价平均值50%的，即投标（响应）报价&lt;全部通过符合性审查供应商投标（响应）报价平均值×50%；</w:t>
      </w:r>
    </w:p>
    <w:p w14:paraId="5AA38EAF">
      <w:pPr>
        <w:snapToGrid w:val="0"/>
        <w:spacing w:line="400" w:lineRule="exact"/>
        <w:ind w:firstLine="465"/>
        <w:rPr>
          <w:rFonts w:ascii="宋体" w:hAnsi="宋体" w:cs="宋体"/>
          <w:color w:val="auto"/>
          <w:sz w:val="24"/>
          <w:szCs w:val="24"/>
          <w:highlight w:val="none"/>
        </w:rPr>
      </w:pPr>
      <w:r>
        <w:rPr>
          <w:rFonts w:hint="eastAsia" w:ascii="宋体" w:hAnsi="宋体" w:cs="宋体"/>
          <w:color w:val="auto"/>
          <w:sz w:val="24"/>
          <w:szCs w:val="24"/>
          <w:highlight w:val="none"/>
        </w:rPr>
        <w:t>1.2.投标（响应）报价低于通过符合性审查的次低报价供应商投标（响应）报价50%的，即投标（响应）报价&lt;通过符合性审查的次低报价供应商投标（响应）报价×50%；</w:t>
      </w:r>
    </w:p>
    <w:p w14:paraId="4FA5A5D1">
      <w:pPr>
        <w:snapToGrid w:val="0"/>
        <w:spacing w:line="400" w:lineRule="exact"/>
        <w:ind w:firstLine="465"/>
        <w:rPr>
          <w:rFonts w:ascii="宋体" w:hAnsi="宋体" w:cs="宋体"/>
          <w:color w:val="auto"/>
          <w:sz w:val="24"/>
          <w:szCs w:val="24"/>
          <w:highlight w:val="none"/>
        </w:rPr>
      </w:pPr>
      <w:r>
        <w:rPr>
          <w:rFonts w:hint="eastAsia" w:ascii="宋体" w:hAnsi="宋体" w:cs="宋体"/>
          <w:color w:val="auto"/>
          <w:sz w:val="24"/>
          <w:szCs w:val="24"/>
          <w:highlight w:val="none"/>
        </w:rPr>
        <w:t>1.3.投标（响应）报价低于采购项目最高限价45%的，即投标（响应）报价&lt;采购项目最高限价×45%；</w:t>
      </w:r>
    </w:p>
    <w:p w14:paraId="20D71F64">
      <w:pPr>
        <w:snapToGrid w:val="0"/>
        <w:spacing w:line="400" w:lineRule="exact"/>
        <w:ind w:firstLine="465"/>
        <w:rPr>
          <w:rFonts w:ascii="宋体" w:hAnsi="宋体" w:cs="宋体"/>
          <w:color w:val="auto"/>
          <w:sz w:val="24"/>
          <w:szCs w:val="24"/>
          <w:highlight w:val="none"/>
        </w:rPr>
      </w:pPr>
      <w:r>
        <w:rPr>
          <w:rFonts w:hint="eastAsia" w:ascii="宋体" w:hAnsi="宋体" w:cs="宋体"/>
          <w:color w:val="auto"/>
          <w:sz w:val="24"/>
          <w:szCs w:val="24"/>
          <w:highlight w:val="none"/>
        </w:rPr>
        <w:t>1.4.评审委员会基于专业判断，认为供应商报价过低，有可能影响产品质量或者不能诚信履约的其他情形。</w:t>
      </w:r>
    </w:p>
    <w:p w14:paraId="77DBF858">
      <w:pPr>
        <w:snapToGrid w:val="0"/>
        <w:spacing w:line="400" w:lineRule="exact"/>
        <w:ind w:firstLine="465"/>
        <w:rPr>
          <w:rFonts w:ascii="宋体" w:hAnsi="宋体" w:cs="宋体"/>
          <w:color w:val="auto"/>
          <w:sz w:val="24"/>
          <w:szCs w:val="24"/>
          <w:highlight w:val="none"/>
        </w:rPr>
      </w:pPr>
      <w:r>
        <w:rPr>
          <w:rFonts w:hint="eastAsia" w:ascii="宋体" w:hAnsi="宋体" w:cs="宋体"/>
          <w:color w:val="auto"/>
          <w:sz w:val="24"/>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供应商须在不少于 30 分钟内现场提交书面说明。。其中，属于第3项情形，供应商已随投标（响应）文件一并提交相关书面说明及必要的证明材料的，在评审现场可不再重复提交。</w:t>
      </w:r>
    </w:p>
    <w:p w14:paraId="4CD350F0">
      <w:pPr>
        <w:snapToGrid w:val="0"/>
        <w:spacing w:line="400" w:lineRule="exact"/>
        <w:ind w:firstLine="465"/>
        <w:rPr>
          <w:rFonts w:ascii="宋体" w:hAnsi="宋体" w:cs="宋体"/>
          <w:color w:val="auto"/>
          <w:sz w:val="24"/>
          <w:szCs w:val="24"/>
          <w:highlight w:val="none"/>
        </w:rPr>
      </w:pPr>
      <w:r>
        <w:rPr>
          <w:rFonts w:hint="eastAsia" w:ascii="宋体" w:hAnsi="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8A7C06E">
      <w:pPr>
        <w:snapToGrid w:val="0"/>
        <w:spacing w:line="400" w:lineRule="exact"/>
        <w:ind w:firstLine="465"/>
        <w:rPr>
          <w:rFonts w:ascii="宋体" w:hAnsi="宋体" w:cs="宋体"/>
          <w:b/>
          <w:color w:val="auto"/>
          <w:sz w:val="24"/>
          <w:szCs w:val="24"/>
          <w:highlight w:val="none"/>
        </w:rPr>
      </w:pPr>
      <w:r>
        <w:rPr>
          <w:rFonts w:hint="eastAsia" w:ascii="宋体" w:hAnsi="宋体" w:cs="宋体"/>
          <w:b/>
          <w:color w:val="auto"/>
          <w:sz w:val="24"/>
          <w:szCs w:val="24"/>
          <w:highlight w:val="none"/>
        </w:rPr>
        <w:t>（二）关于本国产品报价扣除比例说明</w:t>
      </w:r>
    </w:p>
    <w:p w14:paraId="368E3233">
      <w:pPr>
        <w:shd w:val="clear" w:color="auto" w:fill="FFFFFF"/>
        <w:snapToGrid w:val="0"/>
        <w:spacing w:line="400" w:lineRule="exact"/>
        <w:ind w:firstLine="465"/>
        <w:rPr>
          <w:rFonts w:ascii="宋体" w:hAnsi="宋体" w:cs="宋体"/>
          <w:color w:val="auto"/>
          <w:sz w:val="24"/>
          <w:szCs w:val="24"/>
          <w:highlight w:val="none"/>
        </w:rPr>
      </w:pPr>
      <w:r>
        <w:rPr>
          <w:rFonts w:hint="eastAsia" w:ascii="宋体" w:hAnsi="宋体" w:cs="宋体"/>
          <w:color w:val="auto"/>
          <w:sz w:val="24"/>
          <w:szCs w:val="24"/>
          <w:highlight w:val="none"/>
        </w:rPr>
        <w:t>政府采购活动中既有本国产品又有非本国产品参与竞争的，依法对本国产品给予价格评审优惠，对本国产品的报价给予20%的价格扣除，用扣除后的价格参与评审。</w:t>
      </w:r>
    </w:p>
    <w:p w14:paraId="08289A22">
      <w:pPr>
        <w:shd w:val="clear" w:color="auto" w:fill="FFFFFF"/>
        <w:snapToGrid w:val="0"/>
        <w:spacing w:line="400" w:lineRule="exact"/>
        <w:ind w:firstLine="465"/>
        <w:rPr>
          <w:rFonts w:ascii="宋体" w:hAnsi="宋体" w:cs="宋体"/>
          <w:color w:val="auto"/>
          <w:sz w:val="24"/>
          <w:szCs w:val="24"/>
          <w:highlight w:val="none"/>
        </w:rPr>
      </w:pPr>
      <w:r>
        <w:rPr>
          <w:rFonts w:hint="eastAsia" w:ascii="宋体" w:hAnsi="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8ADC865">
      <w:pPr>
        <w:shd w:val="clear" w:color="auto" w:fill="FFFFFF"/>
        <w:snapToGrid w:val="0"/>
        <w:spacing w:line="400" w:lineRule="exact"/>
        <w:ind w:firstLine="465"/>
        <w:rPr>
          <w:rFonts w:ascii="宋体" w:hAnsi="宋体" w:cs="宋体"/>
          <w:color w:val="auto"/>
          <w:sz w:val="24"/>
          <w:szCs w:val="24"/>
          <w:highlight w:val="none"/>
        </w:rPr>
      </w:pPr>
      <w:r>
        <w:rPr>
          <w:rFonts w:hint="eastAsia" w:ascii="宋体" w:hAnsi="宋体" w:cs="宋体"/>
          <w:color w:val="auto"/>
          <w:sz w:val="24"/>
          <w:szCs w:val="24"/>
          <w:highlight w:val="none"/>
        </w:rPr>
        <w:t>注：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5F95110">
      <w:pPr>
        <w:snapToGrid w:val="0"/>
        <w:spacing w:line="400" w:lineRule="exact"/>
        <w:ind w:firstLine="465"/>
        <w:rPr>
          <w:rFonts w:ascii="宋体" w:hAnsi="宋体" w:cs="宋体"/>
          <w:color w:val="auto"/>
          <w:sz w:val="24"/>
          <w:szCs w:val="24"/>
          <w:highlight w:val="none"/>
        </w:rPr>
      </w:pPr>
      <w:r>
        <w:rPr>
          <w:rFonts w:hint="eastAsia" w:ascii="宋体" w:hAnsi="宋体" w:cs="宋体"/>
          <w:color w:val="auto"/>
          <w:sz w:val="24"/>
          <w:szCs w:val="24"/>
          <w:highlight w:val="none"/>
        </w:rPr>
        <w:t>供应商投标文件中应提供所投产品的《关于符合本国产品标准的声明函》（以下简称声明函）或财政部会同有关部门规定的有关证明文件，以及关于产品成本之和的承诺（若涉及多种产品需提供）。评审中发现《声明函》内容含义不明确、同类事项与投标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w:t>
      </w:r>
    </w:p>
    <w:p w14:paraId="49D8DFA5">
      <w:pPr>
        <w:snapToGrid w:val="0"/>
        <w:spacing w:line="400" w:lineRule="exact"/>
        <w:ind w:firstLine="482" w:firstLineChars="200"/>
        <w:rPr>
          <w:rFonts w:ascii="宋体" w:hAnsi="宋体" w:cs="方正仿宋_GBK"/>
          <w:b/>
          <w:color w:val="auto"/>
          <w:sz w:val="24"/>
          <w:szCs w:val="24"/>
          <w:highlight w:val="none"/>
        </w:rPr>
      </w:pPr>
      <w:r>
        <w:rPr>
          <w:rFonts w:hint="eastAsia" w:ascii="宋体" w:hAnsi="宋体" w:cs="方正仿宋_GBK"/>
          <w:b/>
          <w:color w:val="auto"/>
          <w:sz w:val="24"/>
          <w:szCs w:val="24"/>
          <w:highlight w:val="none"/>
        </w:rPr>
        <w:t>（三）关于小微企业报价扣除比例说明</w:t>
      </w:r>
    </w:p>
    <w:p w14:paraId="70D1F1EC">
      <w:pPr>
        <w:snapToGrid w:val="0"/>
        <w:spacing w:line="400" w:lineRule="exact"/>
        <w:ind w:firstLine="480" w:firstLineChars="200"/>
        <w:rPr>
          <w:rFonts w:ascii="宋体" w:hAnsi="宋体" w:cs="方正仿宋_GBK"/>
          <w:color w:val="auto"/>
          <w:sz w:val="24"/>
          <w:szCs w:val="24"/>
          <w:highlight w:val="none"/>
        </w:rPr>
      </w:pPr>
      <w:r>
        <w:rPr>
          <w:rFonts w:hint="eastAsia" w:ascii="宋体" w:hAnsi="宋体" w:cs="方正仿宋_GBK"/>
          <w:color w:val="auto"/>
          <w:sz w:val="24"/>
          <w:szCs w:val="24"/>
          <w:highlight w:val="none"/>
        </w:rPr>
        <w:t>无。</w:t>
      </w:r>
    </w:p>
    <w:p w14:paraId="15020C8C">
      <w:pPr>
        <w:pStyle w:val="3"/>
        <w:spacing w:line="400" w:lineRule="exact"/>
        <w:ind w:firstLine="482" w:firstLineChars="200"/>
        <w:rPr>
          <w:rFonts w:cs="方正仿宋_GBK" w:asciiTheme="minorEastAsia" w:hAnsiTheme="minorEastAsia" w:eastAsiaTheme="minorEastAsia"/>
          <w:b/>
          <w:color w:val="auto"/>
          <w:sz w:val="24"/>
          <w:szCs w:val="24"/>
          <w:highlight w:val="none"/>
        </w:rPr>
      </w:pPr>
      <w:bookmarkStart w:id="311" w:name="_Toc2347"/>
      <w:bookmarkStart w:id="312" w:name="_Toc26747"/>
      <w:bookmarkStart w:id="313" w:name="_Toc4045"/>
      <w:bookmarkStart w:id="314" w:name="_Toc5010"/>
      <w:bookmarkStart w:id="315" w:name="_Toc27926"/>
      <w:bookmarkStart w:id="316" w:name="_Toc13232"/>
      <w:bookmarkStart w:id="317" w:name="_Toc10923"/>
      <w:bookmarkStart w:id="318" w:name="_Toc29586"/>
      <w:bookmarkStart w:id="319" w:name="_Toc30659"/>
      <w:bookmarkStart w:id="320" w:name="_Toc15200"/>
      <w:bookmarkStart w:id="321" w:name="_Toc22167"/>
      <w:bookmarkStart w:id="322" w:name="_Toc18716"/>
      <w:bookmarkStart w:id="323" w:name="_Toc20423"/>
      <w:bookmarkStart w:id="324" w:name="_Toc17065"/>
      <w:bookmarkStart w:id="325" w:name="_Toc13045"/>
      <w:bookmarkStart w:id="326" w:name="_Toc75793521"/>
      <w:bookmarkStart w:id="327" w:name="_Toc204345223"/>
      <w:r>
        <w:rPr>
          <w:rFonts w:hint="eastAsia" w:cs="方正仿宋_GBK" w:asciiTheme="minorEastAsia" w:hAnsiTheme="minorEastAsia" w:eastAsiaTheme="minorEastAsia"/>
          <w:b/>
          <w:color w:val="auto"/>
          <w:sz w:val="24"/>
          <w:szCs w:val="24"/>
          <w:highlight w:val="none"/>
        </w:rPr>
        <w:t>四、无效投标条款</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052D6C70">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投标人或其投标文件出现下列情况之一者，应为无效投标：</w:t>
      </w:r>
    </w:p>
    <w:p w14:paraId="3C34A6D4">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（一）未按照招标文件的规定提交投标保证金的；</w:t>
      </w:r>
    </w:p>
    <w:p w14:paraId="0119312F">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（二）投标文件未按招标文件要求签署、盖章的；</w:t>
      </w:r>
    </w:p>
    <w:p w14:paraId="49920AC5">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（三）不具备招标文件中规定的资格要求的；</w:t>
      </w:r>
    </w:p>
    <w:p w14:paraId="291D8CC0">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（四）报价超过招标文件中规定的预算金额或者最高限价或者单价最高限价的；</w:t>
      </w:r>
    </w:p>
    <w:p w14:paraId="377EDB2E">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（五）投标文件含有采购人不能接受的附加条件的；</w:t>
      </w:r>
    </w:p>
    <w:p w14:paraId="1B183B3A">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（六）投标人串通投标的；</w:t>
      </w:r>
    </w:p>
    <w:p w14:paraId="58AADF2B">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（七）法律、法规和招标文件规定的其他无效情形。</w:t>
      </w:r>
    </w:p>
    <w:p w14:paraId="0AEF0A96">
      <w:pPr>
        <w:pStyle w:val="3"/>
        <w:spacing w:line="400" w:lineRule="exact"/>
        <w:ind w:firstLine="482" w:firstLineChars="200"/>
        <w:rPr>
          <w:rFonts w:cs="方正仿宋_GBK" w:asciiTheme="minorEastAsia" w:hAnsiTheme="minorEastAsia" w:eastAsiaTheme="minorEastAsia"/>
          <w:b/>
          <w:color w:val="auto"/>
          <w:sz w:val="24"/>
          <w:szCs w:val="24"/>
          <w:highlight w:val="none"/>
        </w:rPr>
      </w:pPr>
      <w:bookmarkStart w:id="328" w:name="_Toc14355"/>
      <w:bookmarkStart w:id="329" w:name="_Toc23533"/>
      <w:bookmarkStart w:id="330" w:name="_Toc7802"/>
      <w:bookmarkStart w:id="331" w:name="_Toc21946"/>
      <w:bookmarkStart w:id="332" w:name="_Toc14424"/>
      <w:bookmarkStart w:id="333" w:name="_Toc75793522"/>
      <w:bookmarkStart w:id="334" w:name="_Toc6956"/>
      <w:bookmarkStart w:id="335" w:name="_Toc25549"/>
      <w:bookmarkStart w:id="336" w:name="_Toc30605"/>
      <w:bookmarkStart w:id="337" w:name="_Toc6719"/>
      <w:bookmarkStart w:id="338" w:name="_Toc6204"/>
      <w:bookmarkStart w:id="339" w:name="_Toc204345224"/>
      <w:bookmarkStart w:id="340" w:name="_Toc4422"/>
      <w:bookmarkStart w:id="341" w:name="_Toc11293"/>
      <w:bookmarkStart w:id="342" w:name="_Toc25960"/>
      <w:bookmarkStart w:id="343" w:name="_Toc27133"/>
      <w:bookmarkStart w:id="344" w:name="_Toc20005"/>
      <w:r>
        <w:rPr>
          <w:rFonts w:hint="eastAsia" w:cs="方正仿宋_GBK" w:asciiTheme="minorEastAsia" w:hAnsiTheme="minorEastAsia" w:eastAsiaTheme="minorEastAsia"/>
          <w:b/>
          <w:color w:val="auto"/>
          <w:sz w:val="24"/>
          <w:szCs w:val="24"/>
          <w:highlight w:val="none"/>
        </w:rPr>
        <w:t>五、废标条款</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77567B96">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在招标采购中，出现下列情形之一的，应予废标：</w:t>
      </w:r>
    </w:p>
    <w:p w14:paraId="0CD07704">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（一）符合专业条件的投标人或者对招标文件作实质响应的投标人不足三家的；</w:t>
      </w:r>
    </w:p>
    <w:p w14:paraId="08F8D719">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（二）投标人的报价均超过了采购预算，采购人不能支付的；</w:t>
      </w:r>
    </w:p>
    <w:p w14:paraId="0C365F9C">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（三）出现影响采购公正的违法、违规行为的；</w:t>
      </w:r>
    </w:p>
    <w:p w14:paraId="37D0F7B4">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（四）以联合体参与投标的或者进行合同分包的。</w:t>
      </w:r>
    </w:p>
    <w:p w14:paraId="6FAD1B48">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（五）因重大变故，采购任务取消的。</w:t>
      </w:r>
    </w:p>
    <w:p w14:paraId="39DE065E">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废标后，除采购任务取消情形外，应当重新组织采购。</w:t>
      </w:r>
    </w:p>
    <w:p w14:paraId="02BC8183">
      <w:pPr>
        <w:pStyle w:val="2"/>
        <w:spacing w:before="0" w:beforeLines="0" w:after="0" w:afterLines="0" w:line="360" w:lineRule="auto"/>
        <w:rPr>
          <w:rFonts w:cs="方正仿宋_GBK" w:asciiTheme="minorEastAsia" w:hAnsiTheme="minorEastAsia" w:eastAsiaTheme="minorEastAsia"/>
          <w:b/>
          <w:color w:val="auto"/>
          <w:highlight w:val="none"/>
        </w:rPr>
      </w:pPr>
      <w:r>
        <w:rPr>
          <w:rFonts w:hint="eastAsia" w:cs="方正仿宋_GBK" w:asciiTheme="minorEastAsia" w:hAnsiTheme="minorEastAsia" w:eastAsiaTheme="minorEastAsia"/>
          <w:color w:val="auto"/>
          <w:sz w:val="28"/>
          <w:highlight w:val="none"/>
        </w:rPr>
        <w:br w:type="page"/>
      </w:r>
      <w:bookmarkStart w:id="345" w:name="_Toc13159"/>
      <w:bookmarkStart w:id="346" w:name="_Toc25755"/>
      <w:bookmarkStart w:id="347" w:name="_Toc19831"/>
      <w:bookmarkStart w:id="348" w:name="_Toc75793523"/>
      <w:bookmarkStart w:id="349" w:name="_Toc29546"/>
      <w:bookmarkStart w:id="350" w:name="_Toc18502"/>
      <w:bookmarkStart w:id="351" w:name="_Toc22201"/>
      <w:bookmarkStart w:id="352" w:name="_Toc14403"/>
      <w:bookmarkStart w:id="353" w:name="_Toc12533"/>
      <w:bookmarkStart w:id="354" w:name="_Toc4735"/>
      <w:bookmarkStart w:id="355" w:name="_Toc1982"/>
      <w:bookmarkStart w:id="356" w:name="_Toc21000"/>
      <w:bookmarkStart w:id="357" w:name="_Toc22256"/>
      <w:bookmarkStart w:id="358" w:name="_Toc21720"/>
      <w:bookmarkStart w:id="359" w:name="_Toc5106"/>
      <w:bookmarkStart w:id="360" w:name="_Toc25962"/>
      <w:bookmarkStart w:id="361" w:name="_Toc204345225"/>
      <w:r>
        <w:rPr>
          <w:rFonts w:hint="eastAsia" w:cs="方正仿宋_GBK" w:asciiTheme="minorEastAsia" w:hAnsiTheme="minorEastAsia" w:eastAsiaTheme="minorEastAsia"/>
          <w:b/>
          <w:color w:val="auto"/>
          <w:highlight w:val="none"/>
        </w:rPr>
        <w:t>第五篇  投标人须知</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18FB97C0">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362" w:name="_Toc3327"/>
      <w:bookmarkStart w:id="363" w:name="_Toc10657"/>
      <w:bookmarkStart w:id="364" w:name="_Toc17185"/>
      <w:bookmarkStart w:id="365" w:name="_Toc422"/>
      <w:bookmarkStart w:id="366" w:name="_Toc10325"/>
      <w:bookmarkStart w:id="367" w:name="_Toc13197"/>
      <w:bookmarkStart w:id="368" w:name="_Toc12955"/>
      <w:bookmarkStart w:id="369" w:name="_Toc2439"/>
      <w:bookmarkStart w:id="370" w:name="_Toc75793524"/>
      <w:bookmarkStart w:id="371" w:name="_Toc15432"/>
      <w:bookmarkStart w:id="372" w:name="_Toc1327"/>
      <w:bookmarkStart w:id="373" w:name="_Toc27405"/>
      <w:bookmarkStart w:id="374" w:name="_Toc20020"/>
      <w:bookmarkStart w:id="375" w:name="_Toc204345226"/>
      <w:bookmarkStart w:id="376" w:name="_Toc3330"/>
      <w:bookmarkStart w:id="377" w:name="_Toc11996"/>
      <w:bookmarkStart w:id="378" w:name="_Toc18929"/>
      <w:r>
        <w:rPr>
          <w:rFonts w:hint="eastAsia" w:cs="方正仿宋_GBK" w:asciiTheme="minorEastAsia" w:hAnsiTheme="minorEastAsia" w:eastAsiaTheme="minorEastAsia"/>
          <w:b/>
          <w:color w:val="auto"/>
          <w:sz w:val="24"/>
          <w:highlight w:val="none"/>
        </w:rPr>
        <w:t>一、投标人</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14951F53">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（一）投标人</w:t>
      </w:r>
    </w:p>
    <w:p w14:paraId="5B68AFBE">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投标人是指响应招标、参加投标竞争的法人、其他组织或者自然人。</w:t>
      </w:r>
    </w:p>
    <w:p w14:paraId="7EB3435A">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（二）合格投标人条件</w:t>
      </w:r>
    </w:p>
    <w:p w14:paraId="6035B6A9">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合格投标人应完全符合招标文件第一篇中规定的投标人资格条件，并对招标文件作出实质性响应。</w:t>
      </w:r>
    </w:p>
    <w:p w14:paraId="27C5ED4F">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（三）投标人的风险</w:t>
      </w:r>
    </w:p>
    <w:p w14:paraId="126396DF">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投标人没有按照招标文件要求提供全部资料，或者投标人没有对招标文件在各方面作出实质性响应，可能导致投标被拒绝或评定为无效投标。</w:t>
      </w:r>
    </w:p>
    <w:p w14:paraId="4DF7F436">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（四）法律责任</w:t>
      </w:r>
    </w:p>
    <w:p w14:paraId="4C39304C">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投标人违反《中华人民共和国政府采购法》、《中华人民共和国政府采购实施条例》等相关规定，将按规定追究投标人法律责任。</w:t>
      </w:r>
    </w:p>
    <w:p w14:paraId="493F2AD8">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379" w:name="_Toc10710"/>
      <w:bookmarkStart w:id="380" w:name="_Toc11909"/>
      <w:bookmarkStart w:id="381" w:name="_Toc17367"/>
      <w:bookmarkStart w:id="382" w:name="_Toc15037"/>
      <w:bookmarkStart w:id="383" w:name="_Toc1815"/>
      <w:bookmarkStart w:id="384" w:name="_Toc204345227"/>
      <w:bookmarkStart w:id="385" w:name="_Toc2692"/>
      <w:bookmarkStart w:id="386" w:name="_Toc167"/>
      <w:bookmarkStart w:id="387" w:name="_Toc26158"/>
      <w:bookmarkStart w:id="388" w:name="_Toc15851"/>
      <w:bookmarkStart w:id="389" w:name="_Toc22254"/>
      <w:bookmarkStart w:id="390" w:name="_Toc4836"/>
      <w:bookmarkStart w:id="391" w:name="_Toc12347"/>
      <w:bookmarkStart w:id="392" w:name="_Toc75793525"/>
      <w:bookmarkStart w:id="393" w:name="_Toc26074"/>
      <w:bookmarkStart w:id="394" w:name="_Toc15849"/>
      <w:bookmarkStart w:id="395" w:name="_Toc13133"/>
      <w:r>
        <w:rPr>
          <w:rFonts w:hint="eastAsia" w:cs="方正仿宋_GBK" w:asciiTheme="minorEastAsia" w:hAnsiTheme="minorEastAsia" w:eastAsiaTheme="minorEastAsia"/>
          <w:b/>
          <w:color w:val="auto"/>
          <w:sz w:val="24"/>
          <w:highlight w:val="none"/>
        </w:rPr>
        <w:t>二、招标文件</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4698BA8E">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招标文件是投标人编制投标文件的依据，是评标委员会评判依据和标准。招标文件也是采购人与中标人签订合同的基础。</w:t>
      </w:r>
    </w:p>
    <w:p w14:paraId="3736C453">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（一）招标文件由投标邀请书；项目技术（质量）需求；商务条款；投标人须知；评标方法、评标标准、无效投标条款和废标条款；合同主要条款、合同范本；投标文件格式等七部分组成。</w:t>
      </w:r>
    </w:p>
    <w:p w14:paraId="2834D256">
      <w:pPr>
        <w:snapToGrid w:val="0"/>
        <w:spacing w:line="400" w:lineRule="exact"/>
        <w:ind w:firstLine="48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szCs w:val="28"/>
          <w:highlight w:val="none"/>
        </w:rPr>
        <w:t>（二）</w:t>
      </w:r>
      <w:r>
        <w:rPr>
          <w:rFonts w:hint="eastAsia" w:cs="方正仿宋_GBK" w:asciiTheme="minorEastAsia" w:hAnsiTheme="minorEastAsia" w:eastAsiaTheme="minorEastAsia"/>
          <w:color w:val="auto"/>
          <w:sz w:val="24"/>
          <w:highlight w:val="none"/>
        </w:rPr>
        <w:t>采购代理机构对招标文件所作的一切有效的书面通知、修改及补充，都是招标文件不可分割的部分。</w:t>
      </w:r>
    </w:p>
    <w:p w14:paraId="12F11C21">
      <w:pPr>
        <w:snapToGrid w:val="0"/>
        <w:spacing w:line="400" w:lineRule="exact"/>
        <w:ind w:firstLine="48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（三）</w:t>
      </w:r>
      <w:r>
        <w:rPr>
          <w:rFonts w:hint="eastAsia" w:cs="方正仿宋_GBK" w:asciiTheme="minorEastAsia" w:hAnsiTheme="minorEastAsia" w:eastAsiaTheme="minorEastAsia"/>
          <w:color w:val="auto"/>
          <w:sz w:val="24"/>
          <w:szCs w:val="24"/>
          <w:highlight w:val="none"/>
        </w:rPr>
        <w:t>本项目的招标文件、澄清文件（如果有）一律在重庆市政府采购网或重庆工商大学招投标信息网上发布，请各投标人注意下载或到采购代理机构处领取；无论投标人下载或领取与否，均视同投标人已知晓本项目招标文件、澄清文件的内容。</w:t>
      </w:r>
    </w:p>
    <w:p w14:paraId="6DA2CBF8">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（四）采购代理机构对已发出的招标文件需要进行澄清或修改的，应以书面形式或公告形式通知所有招标文件收受人。该澄清或者修改的内容为招标文件的组成部分。</w:t>
      </w:r>
    </w:p>
    <w:p w14:paraId="52A9989B">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396" w:name="_Toc29709"/>
      <w:bookmarkStart w:id="397" w:name="_Toc15881"/>
      <w:bookmarkStart w:id="398" w:name="_Toc32133"/>
      <w:bookmarkStart w:id="399" w:name="_Toc14835"/>
      <w:bookmarkStart w:id="400" w:name="_Toc28745"/>
      <w:bookmarkStart w:id="401" w:name="_Toc27176"/>
      <w:bookmarkStart w:id="402" w:name="_Toc3303"/>
      <w:bookmarkStart w:id="403" w:name="_Toc27321"/>
      <w:bookmarkStart w:id="404" w:name="_Toc10809"/>
      <w:bookmarkStart w:id="405" w:name="_Toc2716"/>
      <w:bookmarkStart w:id="406" w:name="_Toc23192"/>
      <w:bookmarkStart w:id="407" w:name="_Toc75793526"/>
      <w:bookmarkStart w:id="408" w:name="_Toc29417"/>
      <w:bookmarkStart w:id="409" w:name="_Toc13738"/>
      <w:bookmarkStart w:id="410" w:name="_Toc28353"/>
      <w:bookmarkStart w:id="411" w:name="_Toc204345228"/>
      <w:bookmarkStart w:id="412" w:name="_Toc15470"/>
      <w:r>
        <w:rPr>
          <w:rFonts w:hint="eastAsia" w:cs="方正仿宋_GBK" w:asciiTheme="minorEastAsia" w:hAnsiTheme="minorEastAsia" w:eastAsiaTheme="minorEastAsia"/>
          <w:b/>
          <w:color w:val="auto"/>
          <w:sz w:val="24"/>
          <w:highlight w:val="none"/>
        </w:rPr>
        <w:t>三、投标文件</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52344EE7">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投标人应当按照招标文件的要求编制投标文件，并对招标文件提出的要求和条件作出实质性响应，投标文件原则上采用软面订本，同时应编制完整的页码、目录。</w:t>
      </w:r>
    </w:p>
    <w:p w14:paraId="6361124E">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（一）投标文件组成</w:t>
      </w:r>
    </w:p>
    <w:p w14:paraId="3985FCE9">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14:paraId="00BFD6D6">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（二）投标有效期</w:t>
      </w:r>
    </w:p>
    <w:p w14:paraId="30221BC9">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投标有效期为投标截止时间起90天。</w:t>
      </w:r>
    </w:p>
    <w:p w14:paraId="0D26E108">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（三）投标保证金</w:t>
      </w:r>
    </w:p>
    <w:p w14:paraId="7731D572">
      <w:pPr>
        <w:tabs>
          <w:tab w:val="left" w:pos="0"/>
        </w:tabs>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1.投标人应在投标截止时间前，按招标文件第一篇规定交纳投标保证金。</w:t>
      </w:r>
    </w:p>
    <w:p w14:paraId="4AD16988">
      <w:pPr>
        <w:tabs>
          <w:tab w:val="left" w:pos="0"/>
        </w:tabs>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2.投标保证金为投标的有效约束条件。</w:t>
      </w:r>
    </w:p>
    <w:p w14:paraId="4221ECF5">
      <w:pPr>
        <w:tabs>
          <w:tab w:val="left" w:pos="0"/>
        </w:tabs>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3.投标保证金的有效期限在投标有效期过后三十天继续有效。</w:t>
      </w:r>
    </w:p>
    <w:p w14:paraId="4FB6D930">
      <w:pPr>
        <w:tabs>
          <w:tab w:val="left" w:pos="0"/>
        </w:tabs>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4.投标保证金币种应与投标报价币种相同。</w:t>
      </w:r>
    </w:p>
    <w:p w14:paraId="7F07F96B">
      <w:pPr>
        <w:tabs>
          <w:tab w:val="left" w:pos="0"/>
        </w:tabs>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5.《中标通知书》发出后，由</w:t>
      </w:r>
      <w:r>
        <w:rPr>
          <w:rFonts w:hint="eastAsia" w:cs="方正仿宋_GBK" w:asciiTheme="minorEastAsia" w:hAnsiTheme="minorEastAsia" w:eastAsiaTheme="minorEastAsia"/>
          <w:color w:val="auto"/>
          <w:sz w:val="24"/>
          <w:szCs w:val="24"/>
          <w:highlight w:val="none"/>
        </w:rPr>
        <w:t>重庆市公共资源交易中心</w:t>
      </w:r>
      <w:r>
        <w:rPr>
          <w:rFonts w:hint="eastAsia" w:cs="方正仿宋_GBK" w:asciiTheme="minorEastAsia" w:hAnsiTheme="minorEastAsia" w:eastAsiaTheme="minorEastAsia"/>
          <w:color w:val="auto"/>
          <w:sz w:val="24"/>
          <w:highlight w:val="none"/>
        </w:rPr>
        <w:t>五个工作日内退还未中标人的投标保证金；在采购合同签订后，由</w:t>
      </w:r>
      <w:r>
        <w:rPr>
          <w:rFonts w:hint="eastAsia" w:cs="方正仿宋_GBK" w:asciiTheme="minorEastAsia" w:hAnsiTheme="minorEastAsia" w:eastAsiaTheme="minorEastAsia"/>
          <w:color w:val="auto"/>
          <w:sz w:val="24"/>
          <w:szCs w:val="24"/>
          <w:highlight w:val="none"/>
        </w:rPr>
        <w:t>重庆市公共资源交易中心</w:t>
      </w:r>
      <w:r>
        <w:rPr>
          <w:rFonts w:hint="eastAsia" w:cs="方正仿宋_GBK" w:asciiTheme="minorEastAsia" w:hAnsiTheme="minorEastAsia" w:eastAsiaTheme="minorEastAsia"/>
          <w:color w:val="auto"/>
          <w:sz w:val="24"/>
          <w:highlight w:val="none"/>
        </w:rPr>
        <w:t>五个工作日退还中标人的投标保证金。</w:t>
      </w:r>
    </w:p>
    <w:p w14:paraId="04014BD8">
      <w:pPr>
        <w:tabs>
          <w:tab w:val="left" w:pos="0"/>
        </w:tabs>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6.投标人有下列情形之一的，采购人或者采购代理机构可以不退还投标保证金：</w:t>
      </w:r>
    </w:p>
    <w:p w14:paraId="37BDF261">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6.1投标人在投标有效期撤回投标文件的；</w:t>
      </w:r>
    </w:p>
    <w:p w14:paraId="0F22F7B7">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6.2投标人未按规定提交履约保证金的；</w:t>
      </w:r>
    </w:p>
    <w:p w14:paraId="323E4751">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6.3投标人在投标过程中弄虚作假，提供虚假材料的；</w:t>
      </w:r>
    </w:p>
    <w:p w14:paraId="62FEE7AA">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6.4中标人无正当理由不与采购人签订合同的；</w:t>
      </w:r>
    </w:p>
    <w:p w14:paraId="2C4A3FE1">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6.5中标人将中标项目转让给他人或者在投标文件中未说明且未经采购人同意，将中标项目分包给他人的；</w:t>
      </w:r>
    </w:p>
    <w:p w14:paraId="047427F8">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6.6中标人拒绝履行合同义务的；</w:t>
      </w:r>
    </w:p>
    <w:p w14:paraId="5526DAF9">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6.7其他严重扰乱招投标程序的。</w:t>
      </w:r>
    </w:p>
    <w:p w14:paraId="2E300C6E">
      <w:pPr>
        <w:snapToGrid w:val="0"/>
        <w:spacing w:line="400" w:lineRule="exact"/>
        <w:ind w:firstLine="480" w:firstLineChars="200"/>
        <w:rPr>
          <w:rFonts w:cs="方正仿宋_GBK" w:asciiTheme="minorEastAsia" w:hAnsiTheme="minorEastAsia" w:eastAsiaTheme="minorEastAsia"/>
          <w:bCs/>
          <w:color w:val="auto"/>
          <w:sz w:val="24"/>
          <w:highlight w:val="none"/>
        </w:rPr>
      </w:pPr>
      <w:r>
        <w:rPr>
          <w:rFonts w:hint="eastAsia" w:cs="方正仿宋_GBK" w:asciiTheme="minorEastAsia" w:hAnsiTheme="minorEastAsia" w:eastAsiaTheme="minorEastAsia"/>
          <w:bCs/>
          <w:color w:val="auto"/>
          <w:sz w:val="24"/>
          <w:highlight w:val="none"/>
        </w:rPr>
        <w:t>（四）</w:t>
      </w:r>
      <w:r>
        <w:rPr>
          <w:rFonts w:hint="eastAsia" w:cs="方正仿宋_GBK" w:asciiTheme="minorEastAsia" w:hAnsiTheme="minorEastAsia" w:eastAsiaTheme="minorEastAsia"/>
          <w:color w:val="auto"/>
          <w:sz w:val="24"/>
          <w:highlight w:val="none"/>
        </w:rPr>
        <w:t>投标</w:t>
      </w:r>
      <w:r>
        <w:rPr>
          <w:rFonts w:hint="eastAsia" w:cs="方正仿宋_GBK" w:asciiTheme="minorEastAsia" w:hAnsiTheme="minorEastAsia" w:eastAsiaTheme="minorEastAsia"/>
          <w:bCs/>
          <w:color w:val="auto"/>
          <w:sz w:val="24"/>
          <w:highlight w:val="none"/>
        </w:rPr>
        <w:t>文件的份数和签署</w:t>
      </w:r>
    </w:p>
    <w:p w14:paraId="7D259A3D">
      <w:pPr>
        <w:tabs>
          <w:tab w:val="left" w:pos="0"/>
        </w:tabs>
        <w:spacing w:line="400" w:lineRule="exact"/>
        <w:ind w:firstLine="482"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b/>
          <w:color w:val="auto"/>
          <w:sz w:val="24"/>
          <w:highlight w:val="none"/>
        </w:rPr>
        <w:t>1.投标文件一式四份，其中正本一份，副本二份，电子文档一份（电子文档内容应与投标文件正本一致，采用U盘为文件载体）</w:t>
      </w:r>
      <w:r>
        <w:rPr>
          <w:rFonts w:hint="eastAsia" w:cs="方正仿宋_GBK" w:asciiTheme="minorEastAsia" w:hAnsiTheme="minorEastAsia" w:eastAsiaTheme="minorEastAsia"/>
          <w:color w:val="auto"/>
          <w:sz w:val="24"/>
          <w:highlight w:val="none"/>
        </w:rPr>
        <w:t>。每套投标文件须在封面清楚地标明“正本”、“副本”或“电子文档”，副本应为正本的完整复印件，副本与正本不一致时以正本为准。投标文件电子文档与纸质投标文件正本不一致时，以纸质投标文件正本为准。</w:t>
      </w:r>
    </w:p>
    <w:p w14:paraId="414A9F0E">
      <w:pPr>
        <w:tabs>
          <w:tab w:val="left" w:pos="0"/>
        </w:tabs>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2.在投标文件正本中，招标文件第七篇投标文件格式中规定签署、盖章的地方必须按其规定签署、盖章。</w:t>
      </w:r>
    </w:p>
    <w:p w14:paraId="0D66C3CC">
      <w:pPr>
        <w:tabs>
          <w:tab w:val="left" w:pos="0"/>
        </w:tabs>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3.若投标人对投标文件的错处作必要修改，则应在修改处加盖投标人公章或由</w:t>
      </w:r>
      <w:r>
        <w:rPr>
          <w:rFonts w:hint="eastAsia" w:cs="方正仿宋_GBK" w:asciiTheme="minorEastAsia" w:hAnsiTheme="minorEastAsia" w:eastAsiaTheme="minorEastAsia"/>
          <w:color w:val="auto"/>
          <w:sz w:val="24"/>
          <w:szCs w:val="28"/>
          <w:highlight w:val="none"/>
        </w:rPr>
        <w:t>法定代表人（或其授权代表）或自然人（投标人为自然人）</w:t>
      </w:r>
      <w:r>
        <w:rPr>
          <w:rFonts w:hint="eastAsia" w:cs="方正仿宋_GBK" w:asciiTheme="minorEastAsia" w:hAnsiTheme="minorEastAsia" w:eastAsiaTheme="minorEastAsia"/>
          <w:color w:val="auto"/>
          <w:sz w:val="24"/>
          <w:highlight w:val="none"/>
        </w:rPr>
        <w:t>签署确认。</w:t>
      </w:r>
    </w:p>
    <w:p w14:paraId="4799C6D9">
      <w:pPr>
        <w:snapToGrid w:val="0"/>
        <w:spacing w:line="400" w:lineRule="exact"/>
        <w:ind w:firstLine="470" w:firstLineChars="196"/>
        <w:jc w:val="left"/>
        <w:rPr>
          <w:rFonts w:cs="方正仿宋_GBK" w:asciiTheme="minorEastAsia" w:hAnsiTheme="minorEastAsia" w:eastAsiaTheme="minorEastAsia"/>
          <w:bCs/>
          <w:color w:val="auto"/>
          <w:sz w:val="24"/>
          <w:highlight w:val="none"/>
        </w:rPr>
      </w:pPr>
      <w:r>
        <w:rPr>
          <w:rFonts w:hint="eastAsia" w:cs="方正仿宋_GBK" w:asciiTheme="minorEastAsia" w:hAnsiTheme="minorEastAsia" w:eastAsiaTheme="minorEastAsia"/>
          <w:color w:val="auto"/>
          <w:sz w:val="24"/>
          <w:highlight w:val="none"/>
        </w:rPr>
        <w:t>4.电报、电话、传真形式的投标文件概不接受。</w:t>
      </w:r>
    </w:p>
    <w:p w14:paraId="333F1092">
      <w:pPr>
        <w:snapToGrid w:val="0"/>
        <w:spacing w:line="400" w:lineRule="exact"/>
        <w:ind w:firstLine="480" w:firstLineChars="200"/>
        <w:rPr>
          <w:rFonts w:cs="方正仿宋_GBK" w:asciiTheme="minorEastAsia" w:hAnsiTheme="minorEastAsia" w:eastAsiaTheme="minorEastAsia"/>
          <w:bCs/>
          <w:color w:val="auto"/>
          <w:sz w:val="24"/>
          <w:highlight w:val="none"/>
        </w:rPr>
      </w:pPr>
      <w:r>
        <w:rPr>
          <w:rFonts w:hint="eastAsia" w:cs="方正仿宋_GBK" w:asciiTheme="minorEastAsia" w:hAnsiTheme="minorEastAsia" w:eastAsiaTheme="minorEastAsia"/>
          <w:bCs/>
          <w:color w:val="auto"/>
          <w:sz w:val="24"/>
          <w:highlight w:val="none"/>
        </w:rPr>
        <w:t>（五）投标报价</w:t>
      </w:r>
    </w:p>
    <w:p w14:paraId="40A0B5DE">
      <w:pPr>
        <w:snapToGrid w:val="0"/>
        <w:spacing w:line="400" w:lineRule="exact"/>
        <w:ind w:firstLine="470" w:firstLineChars="196"/>
        <w:jc w:val="left"/>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bCs/>
          <w:color w:val="auto"/>
          <w:sz w:val="24"/>
          <w:highlight w:val="none"/>
        </w:rPr>
        <w:t>1.投标人应严格按照“投标文件格式”中“开标一览表”和“分项报价明细表”</w:t>
      </w:r>
      <w:r>
        <w:rPr>
          <w:rFonts w:hint="eastAsia" w:cs="方正仿宋_GBK" w:asciiTheme="minorEastAsia" w:hAnsiTheme="minorEastAsia" w:eastAsiaTheme="minorEastAsia"/>
          <w:color w:val="auto"/>
          <w:sz w:val="24"/>
          <w:highlight w:val="none"/>
        </w:rPr>
        <w:t>的格式填写报价。</w:t>
      </w:r>
    </w:p>
    <w:p w14:paraId="7F98BA60">
      <w:pPr>
        <w:snapToGrid w:val="0"/>
        <w:spacing w:line="400" w:lineRule="exact"/>
        <w:ind w:left="3" w:leftChars="1"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2.投标人的报价为一次性报价，即在投标有效期内投标价格固定不变。</w:t>
      </w:r>
    </w:p>
    <w:p w14:paraId="1882A928">
      <w:pPr>
        <w:snapToGrid w:val="0"/>
        <w:spacing w:line="400" w:lineRule="exact"/>
        <w:ind w:left="3" w:leftChars="1"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3.本项目只接受一个投标报价，有选择的或有条件的报价将不予接受。</w:t>
      </w:r>
    </w:p>
    <w:p w14:paraId="2C6DF69F">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（六）修正错误</w:t>
      </w:r>
    </w:p>
    <w:p w14:paraId="06ABB1D0">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若投标文件出现计算或表达上的错误，修正错误的原则如下：</w:t>
      </w:r>
    </w:p>
    <w:p w14:paraId="6A6C02BF">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1.投标文件中开标一览表（报价表）内容与投标文件中相应内容不一致的，以开标一览表（报价表）为准；</w:t>
      </w:r>
    </w:p>
    <w:p w14:paraId="64C4596A">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2.大写金额和小写金额不一致的，以大写金额为准；</w:t>
      </w:r>
    </w:p>
    <w:p w14:paraId="60FEBC4B">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3.单价金额小数点或者百分比有明显错位的，以开标一览表的总价为准，并修改单价；</w:t>
      </w:r>
    </w:p>
    <w:p w14:paraId="27FCB028">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4.总价金额与按单价汇总金额不一致的，以单价金额计算结果为准。</w:t>
      </w:r>
    </w:p>
    <w:p w14:paraId="02C047DD">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5F8F449E">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（七）投标文件的递交</w:t>
      </w:r>
    </w:p>
    <w:p w14:paraId="73153641">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投标文件的正本、副本以及电子文档均应密封送达投标地点，应在封套上注明项目名称、投标人名称。若正本、副本以及电子文档分别进行密封的，还应在封套上注明“正本”、“副本”、“电子文档”字样。</w:t>
      </w:r>
    </w:p>
    <w:p w14:paraId="581E34A0">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413" w:name="_Toc23080"/>
      <w:bookmarkStart w:id="414" w:name="_Toc29335"/>
      <w:bookmarkStart w:id="415" w:name="_Toc2597"/>
      <w:bookmarkStart w:id="416" w:name="_Toc13756"/>
      <w:bookmarkStart w:id="417" w:name="_Toc22407"/>
      <w:bookmarkStart w:id="418" w:name="_Toc26616"/>
      <w:bookmarkStart w:id="419" w:name="_Toc75793527"/>
      <w:bookmarkStart w:id="420" w:name="_Toc17836"/>
      <w:bookmarkStart w:id="421" w:name="_Toc17096"/>
      <w:bookmarkStart w:id="422" w:name="_Toc12661"/>
      <w:bookmarkStart w:id="423" w:name="_Toc1820"/>
      <w:bookmarkStart w:id="424" w:name="_Toc4765"/>
      <w:bookmarkStart w:id="425" w:name="_Toc27710"/>
      <w:bookmarkStart w:id="426" w:name="_Toc12657"/>
      <w:bookmarkStart w:id="427" w:name="_Toc2517"/>
      <w:bookmarkStart w:id="428" w:name="_Toc13013"/>
      <w:bookmarkStart w:id="429" w:name="_Toc204345229"/>
      <w:r>
        <w:rPr>
          <w:rFonts w:hint="eastAsia" w:cs="方正仿宋_GBK" w:asciiTheme="minorEastAsia" w:hAnsiTheme="minorEastAsia" w:eastAsiaTheme="minorEastAsia"/>
          <w:b/>
          <w:color w:val="auto"/>
          <w:sz w:val="24"/>
          <w:highlight w:val="none"/>
        </w:rPr>
        <w:t>四、开标</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6EC100E4">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（一）开标应当在招标文件中“投标邀请书”确定的时间和地点公开进行。</w:t>
      </w:r>
    </w:p>
    <w:p w14:paraId="1047F52B">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（二）采购代理机构可视采购具体情况，延长投标截止时间和开标时间，并将变更时间书面通知所有招标文件收受人。</w:t>
      </w:r>
    </w:p>
    <w:p w14:paraId="39AB7C09">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（三）开标由采购人或采购代理机构主持，邀请投标人和有关监督部门代表参加,有关监督部门可视情况派员现场监督。</w:t>
      </w:r>
    </w:p>
    <w:p w14:paraId="2F6561F6">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四）开标时，由投标人或者其推选的代表检查投标文件的密封情况；经确认无误后，由采购人或者采购代理机构工作人员当众拆封，宣布投标人名称、投标价格和《开标一览表》规定的需要宣布的其他内容。投标人不足三家的，不得开标。</w:t>
      </w:r>
    </w:p>
    <w:p w14:paraId="6153968B">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（五）未宣读的投标价格、价格折扣和招标文件允许提供的备选投标方案等实质性内容等，评标时不予承认。</w:t>
      </w:r>
    </w:p>
    <w:p w14:paraId="4D895911">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（六）开标过程应由采购人或采购代理机构或重庆市公共资源交易中心指定专人负责记录，并存档备查。</w:t>
      </w:r>
    </w:p>
    <w:p w14:paraId="12C36016">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（七）投标人未参加开标的，视同认可开标结果。</w:t>
      </w:r>
    </w:p>
    <w:p w14:paraId="157C47EB">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430" w:name="_Toc5409"/>
      <w:bookmarkStart w:id="431" w:name="_Toc26506"/>
      <w:bookmarkStart w:id="432" w:name="_Toc75793528"/>
      <w:bookmarkStart w:id="433" w:name="_Toc17837"/>
      <w:bookmarkStart w:id="434" w:name="_Toc12882"/>
      <w:bookmarkStart w:id="435" w:name="_Toc25586"/>
      <w:bookmarkStart w:id="436" w:name="_Toc15031"/>
      <w:bookmarkStart w:id="437" w:name="_Toc204345230"/>
      <w:bookmarkStart w:id="438" w:name="_Toc868"/>
      <w:bookmarkStart w:id="439" w:name="_Toc24485"/>
      <w:bookmarkStart w:id="440" w:name="_Toc9134"/>
      <w:bookmarkStart w:id="441" w:name="_Toc20739"/>
      <w:bookmarkStart w:id="442" w:name="_Toc31378"/>
      <w:bookmarkStart w:id="443" w:name="_Toc179"/>
      <w:bookmarkStart w:id="444" w:name="_Toc8319"/>
      <w:bookmarkStart w:id="445" w:name="_Toc8659"/>
      <w:bookmarkStart w:id="446" w:name="_Toc13976"/>
      <w:r>
        <w:rPr>
          <w:rFonts w:hint="eastAsia" w:cs="方正仿宋_GBK" w:asciiTheme="minorEastAsia" w:hAnsiTheme="minorEastAsia" w:eastAsiaTheme="minorEastAsia"/>
          <w:b/>
          <w:color w:val="auto"/>
          <w:sz w:val="24"/>
          <w:highlight w:val="none"/>
        </w:rPr>
        <w:t>五、评标</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4B72025B">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见第四篇“评标”内容。</w:t>
      </w:r>
    </w:p>
    <w:p w14:paraId="1D7DF742">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447" w:name="_Toc19170"/>
      <w:bookmarkStart w:id="448" w:name="_Toc26593"/>
      <w:bookmarkStart w:id="449" w:name="_Toc27276"/>
      <w:bookmarkStart w:id="450" w:name="_Toc14491"/>
      <w:bookmarkStart w:id="451" w:name="_Toc14504"/>
      <w:bookmarkStart w:id="452" w:name="_Toc5090"/>
      <w:bookmarkStart w:id="453" w:name="_Toc4529"/>
      <w:bookmarkStart w:id="454" w:name="_Toc204345231"/>
      <w:bookmarkStart w:id="455" w:name="_Toc29714"/>
      <w:bookmarkStart w:id="456" w:name="_Toc4062"/>
      <w:bookmarkStart w:id="457" w:name="_Toc22130"/>
      <w:bookmarkStart w:id="458" w:name="_Toc29605"/>
      <w:bookmarkStart w:id="459" w:name="_Toc32002"/>
      <w:bookmarkStart w:id="460" w:name="_Toc9516"/>
      <w:bookmarkStart w:id="461" w:name="_Toc6174"/>
      <w:bookmarkStart w:id="462" w:name="_Toc75793529"/>
      <w:bookmarkStart w:id="463" w:name="_Toc18575"/>
      <w:r>
        <w:rPr>
          <w:rFonts w:hint="eastAsia" w:cs="方正仿宋_GBK" w:asciiTheme="minorEastAsia" w:hAnsiTheme="minorEastAsia" w:eastAsiaTheme="minorEastAsia"/>
          <w:b/>
          <w:color w:val="auto"/>
          <w:sz w:val="24"/>
          <w:highlight w:val="none"/>
        </w:rPr>
        <w:t>六、定标</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303FF59F">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（一）定标原则</w:t>
      </w:r>
    </w:p>
    <w:p w14:paraId="4E53BE00">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采购人或其授权的评标委员会应按照评标报告中推荐的中标候选人排名顺序确定中标人。</w:t>
      </w:r>
    </w:p>
    <w:p w14:paraId="3420F48E">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（二）定标程序</w:t>
      </w:r>
    </w:p>
    <w:p w14:paraId="62C0E13F">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w:t>
      </w:r>
      <w:r>
        <w:rPr>
          <w:rFonts w:hint="eastAsia" w:cs="方正仿宋_GBK" w:asciiTheme="minorEastAsia" w:hAnsiTheme="minorEastAsia" w:eastAsiaTheme="minorEastAsia"/>
          <w:color w:val="auto"/>
          <w:highlight w:val="none"/>
        </w:rPr>
        <w:t xml:space="preserve"> </w:t>
      </w:r>
      <w:r>
        <w:rPr>
          <w:rFonts w:hint="eastAsia" w:cs="方正仿宋_GBK" w:asciiTheme="minorEastAsia" w:hAnsiTheme="minorEastAsia" w:eastAsiaTheme="minorEastAsia"/>
          <w:color w:val="auto"/>
          <w:sz w:val="24"/>
          <w:highlight w:val="none"/>
        </w:rPr>
        <w:t>采购代理机构应当在评标结束后2个工作日内将评标报告送采购人。</w:t>
      </w:r>
    </w:p>
    <w:p w14:paraId="4C345AA5">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2.采购人应当自收到评标报告之日起5个工作日内按评标报告推荐的中标候选人顺序确定中标人。</w:t>
      </w:r>
    </w:p>
    <w:p w14:paraId="346CC7EA">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3.采购人或者采购代理机构应当自中标人确定之日起2个工作日内，在重庆市政府采购网或“重庆工商大学招投标信息网”上公告中标结果。中标公告期限为1个工作日。</w:t>
      </w:r>
    </w:p>
    <w:p w14:paraId="4126C6C8">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4.中标人变更</w:t>
      </w:r>
    </w:p>
    <w:p w14:paraId="101836EA">
      <w:pPr>
        <w:pStyle w:val="8"/>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中标人拒绝与采购人签订合同的，采购人可以按照评标报告推荐的中标候选人顺序，确定排名下一位的候选人为中标人，也可以重新开展政府采购活动。</w:t>
      </w:r>
    </w:p>
    <w:p w14:paraId="4A61BADF">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464" w:name="_Toc5060"/>
      <w:bookmarkStart w:id="465" w:name="_Toc8542"/>
      <w:bookmarkStart w:id="466" w:name="_Toc204345232"/>
      <w:bookmarkStart w:id="467" w:name="_Toc75793530"/>
      <w:bookmarkStart w:id="468" w:name="_Toc13043"/>
      <w:bookmarkStart w:id="469" w:name="_Toc13250"/>
      <w:bookmarkStart w:id="470" w:name="_Toc30482"/>
      <w:bookmarkStart w:id="471" w:name="_Toc13010"/>
      <w:bookmarkStart w:id="472" w:name="_Toc31365"/>
      <w:bookmarkStart w:id="473" w:name="_Toc29924"/>
      <w:bookmarkStart w:id="474" w:name="_Toc15468"/>
      <w:bookmarkStart w:id="475" w:name="_Toc1114"/>
      <w:bookmarkStart w:id="476" w:name="_Toc20706"/>
      <w:bookmarkStart w:id="477" w:name="_Toc15206"/>
      <w:bookmarkStart w:id="478" w:name="_Toc2458"/>
      <w:bookmarkStart w:id="479" w:name="_Toc27221"/>
      <w:bookmarkStart w:id="480" w:name="_Toc12034"/>
      <w:r>
        <w:rPr>
          <w:rFonts w:hint="eastAsia" w:cs="方正仿宋_GBK" w:asciiTheme="minorEastAsia" w:hAnsiTheme="minorEastAsia" w:eastAsiaTheme="minorEastAsia"/>
          <w:b/>
          <w:color w:val="auto"/>
          <w:sz w:val="24"/>
          <w:highlight w:val="none"/>
        </w:rPr>
        <w:t>七、中标</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7EC80F43">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（一）采购人依法确定中标人后，采购代理机构以书面形式发出中标通知书。</w:t>
      </w:r>
    </w:p>
    <w:p w14:paraId="717274BC">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（二）中标通知书发出后，采购人改变中标结果，或者中标人放弃中标，应当承担相应的法律责任。</w:t>
      </w:r>
    </w:p>
    <w:p w14:paraId="56D80B0C">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481" w:name="_Toc75793531"/>
      <w:bookmarkStart w:id="482" w:name="_Toc14518"/>
      <w:bookmarkStart w:id="483" w:name="_Toc32509"/>
      <w:bookmarkStart w:id="484" w:name="_Toc23031"/>
      <w:bookmarkStart w:id="485" w:name="_Toc17845"/>
      <w:bookmarkStart w:id="486" w:name="_Toc26806"/>
      <w:bookmarkStart w:id="487" w:name="_Toc16406"/>
      <w:bookmarkStart w:id="488" w:name="_Toc4157"/>
      <w:bookmarkStart w:id="489" w:name="_Toc902"/>
      <w:bookmarkStart w:id="490" w:name="_Toc10950"/>
      <w:bookmarkStart w:id="491" w:name="_Toc9499"/>
      <w:bookmarkStart w:id="492" w:name="_Toc204345233"/>
      <w:bookmarkStart w:id="493" w:name="_Toc27770"/>
      <w:bookmarkStart w:id="494" w:name="_Toc32707"/>
      <w:bookmarkStart w:id="495" w:name="_Toc2537"/>
      <w:bookmarkStart w:id="496" w:name="_Toc10390"/>
      <w:bookmarkStart w:id="497" w:name="_Toc6815"/>
      <w:r>
        <w:rPr>
          <w:rFonts w:hint="eastAsia" w:cs="方正仿宋_GBK" w:asciiTheme="minorEastAsia" w:hAnsiTheme="minorEastAsia" w:eastAsiaTheme="minorEastAsia"/>
          <w:b/>
          <w:color w:val="auto"/>
          <w:sz w:val="24"/>
          <w:highlight w:val="none"/>
        </w:rPr>
        <w:t>八、询问、质疑和投诉</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786FCC86">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（一）询问</w:t>
      </w:r>
    </w:p>
    <w:p w14:paraId="3C10D4B4">
      <w:pPr>
        <w:spacing w:line="400" w:lineRule="exact"/>
        <w:ind w:right="12" w:firstLine="48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采购人或者采购代理机构应当在3个工作日内对投标人依法提出的询问作出答复。投标人询问可以是口头或书面形式。</w:t>
      </w:r>
    </w:p>
    <w:p w14:paraId="37B1DB52">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（二）质疑</w:t>
      </w:r>
    </w:p>
    <w:p w14:paraId="0729E178">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投标人认为采购文件、采购过程和中标结果使自己的权益受到伤害的，可向采购人或采购代理机构以书面形式提出质疑。</w:t>
      </w:r>
    </w:p>
    <w:p w14:paraId="03873423">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提出质疑的应当是参与所质疑项目采购活动的投标人。</w:t>
      </w:r>
    </w:p>
    <w:p w14:paraId="6F9D8909">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1.质疑时限、内容</w:t>
      </w:r>
    </w:p>
    <w:p w14:paraId="123C9D4D">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1.1投标人对招标文件提出质疑的，应在依法获取招标文件之日或者招标文件公告期限届满之日起七个工作日内提出。</w:t>
      </w:r>
    </w:p>
    <w:p w14:paraId="5940C275">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1.2 投标人对采购过程提出质疑的，应在各采购程序环节结束之日起七个工作日内提出。</w:t>
      </w:r>
    </w:p>
    <w:p w14:paraId="31B2177B">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1.3投标人对中标结果提出质疑的，应当在中标结果公告期限届满之日起七个工作日内提出。</w:t>
      </w:r>
    </w:p>
    <w:p w14:paraId="639730FE">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1.4投标人提出质疑应当提交质疑函和必要的证明材料，质疑函应当包括下列内容：</w:t>
      </w:r>
    </w:p>
    <w:p w14:paraId="33D48C96">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1.4.1供应商的姓名或者名称、地址、邮编、联系人及联系电话；</w:t>
      </w:r>
    </w:p>
    <w:p w14:paraId="063272DE">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1.4.2质疑项目的名称、项目号以及采购执行编号；</w:t>
      </w:r>
    </w:p>
    <w:p w14:paraId="6974D6BD">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1.4.3具体、明确的质疑事项和与质疑事项相关的请求；</w:t>
      </w:r>
    </w:p>
    <w:p w14:paraId="48EE3A68">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1.4.4事实依据；</w:t>
      </w:r>
    </w:p>
    <w:p w14:paraId="36CFD3ED">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1.4.5必要的法律依据；</w:t>
      </w:r>
    </w:p>
    <w:p w14:paraId="55AD9303">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1.4.6提出质疑的日期；</w:t>
      </w:r>
    </w:p>
    <w:p w14:paraId="54ACC2A3">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1.4.7营业执照（或事业单位法人证书，或个体工商户营业执照或有效的自然人身份证明）复印件；</w:t>
      </w:r>
    </w:p>
    <w:p w14:paraId="4D441A73">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1.4.8法定代表人授权委托书原件、法定代表人身份证复印件和其授权代表的身份证复印件（供应商为自然人的提供自然人身份证复印件）；</w:t>
      </w:r>
    </w:p>
    <w:p w14:paraId="6411BF19">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1.5供应商为自然人的，质疑函应当由本人签字；供应商为法人或者其他组织的，质疑函应当由法定代表人、主要负责人，或者其授权代表签字或者盖章，并加盖公章。</w:t>
      </w:r>
    </w:p>
    <w:p w14:paraId="2E458584">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2.质疑答复</w:t>
      </w:r>
    </w:p>
    <w:p w14:paraId="6D8CBE77">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采购人、采购代理机构应当在收到投标人的书面质疑后七个工作日内作出答复，并以书面形式通知质疑投标人和其他有关投标人。</w:t>
      </w:r>
    </w:p>
    <w:p w14:paraId="3A453659">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3.其他</w:t>
      </w:r>
    </w:p>
    <w:p w14:paraId="150B918D">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3.1投标人应按照《政府采购质疑和投诉办法》（财政部令第94号）及相关法律法规要求，在法定质疑期内一次性提出针对同一采购程序环节的质疑。</w:t>
      </w:r>
    </w:p>
    <w:p w14:paraId="33692ABE">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3.2质疑函范本可在财政部门户网站和中国政府采购网下载。</w:t>
      </w:r>
    </w:p>
    <w:p w14:paraId="72044CF2">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4.质疑联系方式详见第一篇“联系方式”。</w:t>
      </w:r>
    </w:p>
    <w:p w14:paraId="2533CF5F">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（三）投诉</w:t>
      </w:r>
    </w:p>
    <w:p w14:paraId="63B7C616">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1.投标人对采购人、采购代理机构的答复不满意，或者采购人、采购代理机构未在规定时间内作出答复的，可以在答复期满后15个工作日内按照相关法律法规向财政部门提起投诉。</w:t>
      </w:r>
    </w:p>
    <w:p w14:paraId="0985CA1B">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2.投标人应按照《政府采购质疑和投诉办法》（财政部令第94号）及相关法律法规要求递交投诉书和必要的证明材料。投诉书范本可在财政部门户网站和中国政府采购网下载。</w:t>
      </w:r>
    </w:p>
    <w:p w14:paraId="1939DA06">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3058EE23">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4.在确定受理投诉后，财政部门自受理投诉之日起30个工作日内（需要检验、检测、鉴定、专家评审以及需要投诉人补正材料的，所需时间不计算在投诉处理期限内）对投诉事项做出处理决定。</w:t>
      </w:r>
    </w:p>
    <w:p w14:paraId="4491B8B7">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498" w:name="_Toc18352"/>
      <w:bookmarkStart w:id="499" w:name="_Toc22227"/>
      <w:bookmarkStart w:id="500" w:name="_Toc14542"/>
      <w:bookmarkStart w:id="501" w:name="_Toc169507771"/>
      <w:bookmarkStart w:id="502" w:name="_Toc14546"/>
      <w:bookmarkStart w:id="503" w:name="_Toc76373900"/>
      <w:bookmarkStart w:id="504" w:name="_Toc18235"/>
      <w:bookmarkStart w:id="505" w:name="_Toc204345234"/>
      <w:r>
        <w:rPr>
          <w:rFonts w:hint="eastAsia" w:cs="方正仿宋_GBK" w:asciiTheme="minorEastAsia" w:hAnsiTheme="minorEastAsia" w:eastAsiaTheme="minorEastAsia"/>
          <w:b/>
          <w:color w:val="auto"/>
          <w:sz w:val="24"/>
          <w:highlight w:val="none"/>
        </w:rPr>
        <w:t>九、采购代理服务费</w:t>
      </w:r>
      <w:bookmarkEnd w:id="498"/>
      <w:bookmarkEnd w:id="499"/>
      <w:bookmarkEnd w:id="500"/>
      <w:bookmarkEnd w:id="501"/>
      <w:bookmarkEnd w:id="502"/>
      <w:bookmarkEnd w:id="503"/>
      <w:bookmarkEnd w:id="504"/>
      <w:bookmarkEnd w:id="505"/>
    </w:p>
    <w:p w14:paraId="6D9814F2">
      <w:pPr>
        <w:snapToGrid w:val="0"/>
        <w:spacing w:line="400" w:lineRule="exact"/>
        <w:ind w:firstLine="480" w:firstLineChars="200"/>
        <w:rPr>
          <w:rFonts w:cs="方正仿宋_GBK" w:asciiTheme="minorEastAsia" w:hAnsiTheme="minorEastAsia" w:eastAsiaTheme="minorEastAsia"/>
          <w:color w:val="auto"/>
          <w:sz w:val="24"/>
          <w:highlight w:val="none"/>
        </w:rPr>
      </w:pPr>
      <w:bookmarkStart w:id="506" w:name="_Toc345318310"/>
      <w:bookmarkStart w:id="507" w:name="_Toc343881212"/>
      <w:bookmarkStart w:id="508" w:name="_Toc429584878"/>
      <w:bookmarkStart w:id="509" w:name="_Toc14077"/>
      <w:bookmarkStart w:id="510" w:name="_Toc30332"/>
      <w:bookmarkStart w:id="511" w:name="_Toc28913"/>
      <w:bookmarkStart w:id="512" w:name="_Toc76373901"/>
      <w:bookmarkStart w:id="513" w:name="_Toc342983494"/>
      <w:bookmarkStart w:id="514" w:name="_Toc169507772"/>
      <w:bookmarkStart w:id="515" w:name="_Toc6078"/>
      <w:r>
        <w:rPr>
          <w:rFonts w:hint="eastAsia" w:cs="方正仿宋_GBK" w:asciiTheme="minorEastAsia" w:hAnsiTheme="minorEastAsia" w:eastAsiaTheme="minorEastAsia"/>
          <w:color w:val="auto"/>
          <w:sz w:val="24"/>
          <w:highlight w:val="none"/>
        </w:rPr>
        <w:t>采购代理服务费参照国家计委《关于印发招标代理服务收费管理暂行办法的通知》计价格[2002]1980号标准的65%作为计费依据计取，由中标单位在领取中标通知书时一次性付清。</w:t>
      </w:r>
    </w:p>
    <w:p w14:paraId="6E6687E5">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516" w:name="_Toc204345235"/>
      <w:bookmarkStart w:id="517" w:name="_Toc5979"/>
      <w:r>
        <w:rPr>
          <w:rFonts w:hint="eastAsia" w:cs="方正仿宋_GBK" w:asciiTheme="minorEastAsia" w:hAnsiTheme="minorEastAsia" w:eastAsiaTheme="minorEastAsia"/>
          <w:b/>
          <w:color w:val="auto"/>
          <w:sz w:val="24"/>
          <w:highlight w:val="none"/>
        </w:rPr>
        <w:t>十、交易服务费</w:t>
      </w:r>
      <w:bookmarkEnd w:id="506"/>
      <w:bookmarkEnd w:id="507"/>
      <w:bookmarkEnd w:id="508"/>
      <w:bookmarkEnd w:id="509"/>
      <w:bookmarkEnd w:id="510"/>
      <w:bookmarkEnd w:id="511"/>
      <w:bookmarkEnd w:id="512"/>
      <w:bookmarkEnd w:id="513"/>
      <w:bookmarkEnd w:id="514"/>
      <w:bookmarkEnd w:id="515"/>
      <w:bookmarkEnd w:id="516"/>
      <w:bookmarkEnd w:id="517"/>
    </w:p>
    <w:p w14:paraId="7D80B489">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投标人中标后向“重庆联合产权交易所集团股份有限公司”缴纳交易服务费，服务费的收取标准按渝发改收费(2023)115号执行。</w:t>
      </w:r>
    </w:p>
    <w:p w14:paraId="3E8DCAF5">
      <w:pPr>
        <w:snapToGrid w:val="0"/>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重庆市公共资源交易中心咨询电话：023-63625633</w:t>
      </w:r>
    </w:p>
    <w:p w14:paraId="18D9B2A9">
      <w:pPr>
        <w:snapToGrid w:val="0"/>
        <w:spacing w:line="400" w:lineRule="exact"/>
        <w:ind w:firstLine="480" w:firstLineChars="200"/>
        <w:rPr>
          <w:rFonts w:cs="方正仿宋_GBK" w:asciiTheme="minorEastAsia" w:hAnsiTheme="minorEastAsia" w:eastAsiaTheme="minorEastAsia"/>
          <w:color w:val="auto"/>
          <w:sz w:val="24"/>
          <w:highlight w:val="none"/>
        </w:rPr>
      </w:pPr>
    </w:p>
    <w:p w14:paraId="4F6B3B57">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518" w:name="_Toc204345236"/>
      <w:bookmarkStart w:id="519" w:name="_Toc25158"/>
      <w:bookmarkStart w:id="520" w:name="_Toc10797"/>
      <w:bookmarkStart w:id="521" w:name="_Toc25630"/>
      <w:bookmarkStart w:id="522" w:name="_Toc8954"/>
      <w:bookmarkStart w:id="523" w:name="_Toc20263"/>
      <w:bookmarkStart w:id="524" w:name="_Toc1312"/>
      <w:bookmarkStart w:id="525" w:name="_Toc9444"/>
      <w:bookmarkStart w:id="526" w:name="_Toc23988"/>
      <w:bookmarkStart w:id="527" w:name="_Toc26946"/>
      <w:bookmarkStart w:id="528" w:name="_Toc19828"/>
      <w:bookmarkStart w:id="529" w:name="_Toc9036"/>
      <w:bookmarkStart w:id="530" w:name="_Toc30396"/>
      <w:bookmarkStart w:id="531" w:name="_Toc17066"/>
      <w:bookmarkStart w:id="532" w:name="_Toc3717"/>
      <w:bookmarkStart w:id="533" w:name="_Toc18724"/>
      <w:bookmarkStart w:id="534" w:name="_Toc75793534"/>
      <w:r>
        <w:rPr>
          <w:rFonts w:hint="eastAsia" w:cs="方正仿宋_GBK" w:asciiTheme="minorEastAsia" w:hAnsiTheme="minorEastAsia" w:eastAsiaTheme="minorEastAsia"/>
          <w:b/>
          <w:color w:val="auto"/>
          <w:sz w:val="24"/>
          <w:highlight w:val="none"/>
        </w:rPr>
        <w:t>十一、签订合同</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21ECCBAD">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（一）采购人原则上应在中标通知书发出之日起三十日内和中标人签订政府采购合同，无正当理由不得拒绝或拖延合同签订。所签订的合同不得对招标文件和中标人投标文件作实质性修改。</w:t>
      </w:r>
      <w:r>
        <w:rPr>
          <w:rFonts w:hint="eastAsia" w:cs="方正仿宋_GBK" w:asciiTheme="minorEastAsia" w:hAnsiTheme="minorEastAsia" w:eastAsiaTheme="minorEastAsia"/>
          <w:color w:val="auto"/>
          <w:kern w:val="0"/>
          <w:sz w:val="24"/>
          <w:szCs w:val="24"/>
          <w:highlight w:val="none"/>
        </w:rPr>
        <w:t>其他未尽事宜由采购人和中标人在采购合同中详细约定。</w:t>
      </w:r>
    </w:p>
    <w:p w14:paraId="2CB0ADE7">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二）采购人应当自合同签订之日起7个工作日内，在“政府采购业务管理系统”进行合同登记备案；2个工作日内按相关管理要求在重庆市政府采购网上公告政府采购合同，但政府采购合同中涉及国家秘密、商业秘密的内容除外。未按要求公告及备案的，应当及时进行补充公告及备案。</w:t>
      </w:r>
    </w:p>
    <w:p w14:paraId="49E352CE">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（三）招标文件、中标人的投标文件及澄清文件等，均为签订政府采购合同的依据。</w:t>
      </w:r>
    </w:p>
    <w:p w14:paraId="7FD2F4CE">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（四）合同生效条款由供需双方约定，法律、行政法规规定应当办理批准、登记等手续后生效的合同，依照其规定。</w:t>
      </w:r>
    </w:p>
    <w:p w14:paraId="45FE6480">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（五）合同原则上应按照《重庆市政府采购合同》签订，相关单位要求适用合同通用格式版本的，应按其要求另行签订其他合同。</w:t>
      </w:r>
    </w:p>
    <w:p w14:paraId="26C70B76">
      <w:pPr>
        <w:pStyle w:val="3"/>
        <w:spacing w:line="400" w:lineRule="exact"/>
        <w:ind w:firstLine="482" w:firstLineChars="200"/>
        <w:rPr>
          <w:rFonts w:cs="方正仿宋_GBK" w:asciiTheme="minorEastAsia" w:hAnsiTheme="minorEastAsia" w:eastAsiaTheme="minorEastAsia"/>
          <w:b/>
          <w:color w:val="auto"/>
          <w:sz w:val="24"/>
          <w:highlight w:val="none"/>
        </w:rPr>
      </w:pPr>
      <w:bookmarkStart w:id="535" w:name="_Toc23965"/>
      <w:bookmarkStart w:id="536" w:name="_Toc13027"/>
      <w:bookmarkStart w:id="537" w:name="_Toc4923"/>
      <w:bookmarkStart w:id="538" w:name="_Toc13934"/>
      <w:bookmarkStart w:id="539" w:name="_Toc23671"/>
      <w:bookmarkStart w:id="540" w:name="_Toc4207"/>
      <w:bookmarkStart w:id="541" w:name="_Toc11349"/>
      <w:bookmarkStart w:id="542" w:name="_Toc11558"/>
      <w:bookmarkStart w:id="543" w:name="_Toc26438"/>
      <w:bookmarkStart w:id="544" w:name="_Toc9393"/>
      <w:bookmarkStart w:id="545" w:name="_Toc1406"/>
      <w:bookmarkStart w:id="546" w:name="_Toc29139"/>
      <w:bookmarkStart w:id="547" w:name="_Toc25795"/>
      <w:bookmarkStart w:id="548" w:name="_Toc28488"/>
      <w:bookmarkStart w:id="549" w:name="_Toc204345237"/>
      <w:r>
        <w:rPr>
          <w:rFonts w:hint="eastAsia" w:cs="方正仿宋_GBK" w:asciiTheme="minorEastAsia" w:hAnsiTheme="minorEastAsia" w:eastAsiaTheme="minorEastAsia"/>
          <w:b/>
          <w:color w:val="auto"/>
          <w:sz w:val="24"/>
          <w:highlight w:val="none"/>
        </w:rPr>
        <w:t>十二、</w:t>
      </w:r>
      <w:bookmarkEnd w:id="535"/>
      <w:bookmarkEnd w:id="536"/>
      <w:bookmarkEnd w:id="537"/>
      <w:bookmarkEnd w:id="538"/>
      <w:bookmarkEnd w:id="539"/>
      <w:bookmarkEnd w:id="540"/>
      <w:bookmarkEnd w:id="541"/>
      <w:bookmarkEnd w:id="542"/>
      <w:bookmarkEnd w:id="543"/>
      <w:bookmarkEnd w:id="544"/>
      <w:bookmarkEnd w:id="545"/>
      <w:bookmarkEnd w:id="546"/>
      <w:bookmarkEnd w:id="547"/>
      <w:bookmarkStart w:id="550" w:name="_Toc3421"/>
      <w:bookmarkStart w:id="551" w:name="_Toc75793535"/>
      <w:bookmarkStart w:id="552" w:name="_Toc2195"/>
      <w:bookmarkStart w:id="553" w:name="_Toc13002"/>
      <w:bookmarkStart w:id="554" w:name="_Toc20328"/>
      <w:bookmarkStart w:id="555" w:name="_Toc31578"/>
      <w:bookmarkStart w:id="556" w:name="_Toc31383"/>
      <w:bookmarkStart w:id="557" w:name="_Toc13368"/>
      <w:bookmarkStart w:id="558" w:name="_Toc15435"/>
      <w:bookmarkStart w:id="559" w:name="_Toc19188"/>
      <w:bookmarkStart w:id="560" w:name="_Toc1344"/>
      <w:bookmarkStart w:id="561" w:name="_Toc27353"/>
      <w:bookmarkStart w:id="562" w:name="_Toc21850"/>
      <w:bookmarkStart w:id="563" w:name="_Toc24722"/>
      <w:bookmarkStart w:id="564" w:name="_Toc13050"/>
      <w:r>
        <w:rPr>
          <w:rFonts w:hint="eastAsia" w:cs="方正仿宋_GBK" w:asciiTheme="minorEastAsia" w:hAnsiTheme="minorEastAsia" w:eastAsiaTheme="minorEastAsia"/>
          <w:b/>
          <w:color w:val="auto"/>
          <w:sz w:val="24"/>
          <w:highlight w:val="none"/>
        </w:rPr>
        <w:t>政府采购信用融资</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1AB68C7E">
      <w:pPr>
        <w:spacing w:line="4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p>
    <w:p w14:paraId="237AD433">
      <w:pPr>
        <w:pStyle w:val="3"/>
        <w:spacing w:line="276" w:lineRule="auto"/>
        <w:ind w:firstLine="482" w:firstLineChars="200"/>
        <w:rPr>
          <w:rFonts w:cs="方正仿宋_GBK" w:asciiTheme="minorEastAsia" w:hAnsiTheme="minorEastAsia" w:eastAsiaTheme="minorEastAsia"/>
          <w:b/>
          <w:color w:val="auto"/>
          <w:sz w:val="24"/>
          <w:highlight w:val="none"/>
        </w:rPr>
      </w:pPr>
      <w:bookmarkStart w:id="565" w:name="_Toc204345238"/>
      <w:bookmarkStart w:id="566" w:name="_Toc15918"/>
      <w:bookmarkStart w:id="567" w:name="_Toc143696462"/>
      <w:bookmarkStart w:id="568" w:name="_Toc3246"/>
      <w:bookmarkStart w:id="569" w:name="_Toc2087"/>
      <w:bookmarkStart w:id="570" w:name="_Toc16522"/>
      <w:r>
        <w:rPr>
          <w:rFonts w:hint="eastAsia" w:cs="方正仿宋_GBK" w:asciiTheme="minorEastAsia" w:hAnsiTheme="minorEastAsia" w:eastAsiaTheme="minorEastAsia"/>
          <w:b/>
          <w:color w:val="auto"/>
          <w:sz w:val="24"/>
          <w:highlight w:val="none"/>
        </w:rPr>
        <w:t>十三、其他</w:t>
      </w:r>
      <w:bookmarkEnd w:id="565"/>
      <w:bookmarkEnd w:id="566"/>
      <w:bookmarkEnd w:id="567"/>
      <w:bookmarkEnd w:id="568"/>
      <w:bookmarkEnd w:id="569"/>
      <w:bookmarkEnd w:id="570"/>
    </w:p>
    <w:p w14:paraId="5CA5616E">
      <w:pPr>
        <w:spacing w:line="276" w:lineRule="auto"/>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本招标文件未尽事宜及解释权属于重庆工商大学。</w:t>
      </w:r>
    </w:p>
    <w:p w14:paraId="0DD8CE20">
      <w:pPr>
        <w:spacing w:line="400" w:lineRule="exact"/>
        <w:ind w:firstLine="480" w:firstLineChars="200"/>
        <w:rPr>
          <w:rFonts w:cs="方正仿宋_GBK" w:asciiTheme="minorEastAsia" w:hAnsiTheme="minorEastAsia" w:eastAsiaTheme="minorEastAsia"/>
          <w:color w:val="auto"/>
          <w:sz w:val="24"/>
          <w:highlight w:val="none"/>
        </w:rPr>
      </w:pPr>
    </w:p>
    <w:p w14:paraId="31AF0D1B">
      <w:pPr>
        <w:pStyle w:val="2"/>
        <w:spacing w:before="0" w:beforeLines="0" w:after="0" w:afterLines="0" w:line="360" w:lineRule="auto"/>
        <w:rPr>
          <w:rFonts w:cs="方正仿宋_GBK" w:asciiTheme="minorEastAsia" w:hAnsiTheme="minorEastAsia" w:eastAsiaTheme="minorEastAsia"/>
          <w:b/>
          <w:color w:val="auto"/>
          <w:highlight w:val="none"/>
        </w:rPr>
      </w:pPr>
      <w:r>
        <w:rPr>
          <w:rFonts w:hint="eastAsia" w:cs="方正仿宋_GBK" w:asciiTheme="minorEastAsia" w:hAnsiTheme="minorEastAsia" w:eastAsiaTheme="minorEastAsia"/>
          <w:color w:val="auto"/>
          <w:highlight w:val="none"/>
        </w:rPr>
        <w:br w:type="page"/>
      </w:r>
      <w:bookmarkStart w:id="571" w:name="_Toc204345239"/>
      <w:bookmarkStart w:id="572" w:name="_Toc13696"/>
      <w:bookmarkStart w:id="573" w:name="_Toc9831"/>
      <w:bookmarkStart w:id="574" w:name="_Toc29214"/>
      <w:bookmarkStart w:id="575" w:name="_Toc17885"/>
      <w:bookmarkStart w:id="576" w:name="_Toc28592"/>
      <w:bookmarkStart w:id="577" w:name="_Toc9505"/>
      <w:bookmarkStart w:id="578" w:name="_Toc21870"/>
      <w:bookmarkStart w:id="579" w:name="_Toc5880"/>
      <w:bookmarkStart w:id="580" w:name="_Toc19939"/>
      <w:bookmarkStart w:id="581" w:name="_Toc128"/>
      <w:bookmarkStart w:id="582" w:name="_Toc3344"/>
      <w:bookmarkStart w:id="583" w:name="_Toc5544"/>
      <w:bookmarkStart w:id="584" w:name="_Toc75793536"/>
      <w:bookmarkStart w:id="585" w:name="_Toc12210"/>
      <w:bookmarkStart w:id="586" w:name="_Toc7598"/>
      <w:bookmarkStart w:id="587" w:name="_Toc4454"/>
      <w:r>
        <w:rPr>
          <w:rFonts w:hint="eastAsia" w:cs="方正仿宋_GBK" w:asciiTheme="minorEastAsia" w:hAnsiTheme="minorEastAsia" w:eastAsiaTheme="minorEastAsia"/>
          <w:b/>
          <w:color w:val="auto"/>
          <w:highlight w:val="none"/>
        </w:rPr>
        <w:t>第六篇  合同主要格式（样本）</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5E4E9300">
      <w:pPr>
        <w:pStyle w:val="3"/>
        <w:spacing w:line="500" w:lineRule="exact"/>
        <w:ind w:firstLine="482" w:firstLineChars="200"/>
        <w:rPr>
          <w:rFonts w:cs="方正仿宋_GBK" w:asciiTheme="minorEastAsia" w:hAnsiTheme="minorEastAsia" w:eastAsiaTheme="minorEastAsia"/>
          <w:b/>
          <w:color w:val="auto"/>
          <w:sz w:val="24"/>
          <w:highlight w:val="none"/>
        </w:rPr>
      </w:pPr>
      <w:bookmarkStart w:id="588" w:name="_Toc204345240"/>
      <w:bookmarkStart w:id="589" w:name="_Toc3208"/>
      <w:bookmarkStart w:id="590" w:name="_Toc13103"/>
      <w:bookmarkStart w:id="591" w:name="_Toc6201"/>
      <w:bookmarkStart w:id="592" w:name="_Toc4623"/>
      <w:bookmarkStart w:id="593" w:name="_Toc14438"/>
      <w:bookmarkStart w:id="594" w:name="_Toc1900"/>
      <w:bookmarkStart w:id="595" w:name="_Toc277084871"/>
      <w:bookmarkStart w:id="596" w:name="_Toc285722713"/>
      <w:bookmarkStart w:id="597" w:name="_Toc14172"/>
      <w:bookmarkStart w:id="598" w:name="_Toc11006"/>
      <w:bookmarkStart w:id="599" w:name="_Toc75793538"/>
      <w:bookmarkStart w:id="600" w:name="_Toc11820"/>
      <w:bookmarkStart w:id="601" w:name="_Toc6684"/>
      <w:bookmarkStart w:id="602" w:name="_Toc24031"/>
      <w:bookmarkStart w:id="603" w:name="_Toc22488"/>
      <w:bookmarkStart w:id="604" w:name="_Toc532"/>
      <w:bookmarkStart w:id="605" w:name="_Toc10851"/>
      <w:bookmarkStart w:id="606" w:name="_Toc10958"/>
      <w:r>
        <w:rPr>
          <w:rFonts w:hint="eastAsia" w:cs="方正仿宋_GBK" w:asciiTheme="minorEastAsia" w:hAnsiTheme="minorEastAsia" w:eastAsiaTheme="minorEastAsia"/>
          <w:b/>
          <w:color w:val="auto"/>
          <w:sz w:val="24"/>
          <w:highlight w:val="none"/>
        </w:rPr>
        <w:t>一、政府采购合同（格式）</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14:paraId="31C6175F">
      <w:pPr>
        <w:jc w:val="center"/>
        <w:rPr>
          <w:rFonts w:cs="方正仿宋_GBK" w:asciiTheme="minorEastAsia" w:hAnsiTheme="minorEastAsia" w:eastAsiaTheme="minorEastAsia"/>
          <w:b/>
          <w:color w:val="auto"/>
          <w:sz w:val="40"/>
          <w:highlight w:val="none"/>
        </w:rPr>
      </w:pPr>
      <w:bookmarkStart w:id="607" w:name="OLE_LINK94"/>
      <w:bookmarkStart w:id="608" w:name="OLE_LINK95"/>
      <w:r>
        <w:rPr>
          <w:rFonts w:hint="eastAsia" w:cs="方正仿宋_GBK" w:asciiTheme="minorEastAsia" w:hAnsiTheme="minorEastAsia" w:eastAsiaTheme="minorEastAsia"/>
          <w:b/>
          <w:color w:val="auto"/>
          <w:sz w:val="40"/>
          <w:highlight w:val="none"/>
        </w:rPr>
        <w:t>重庆工商大学采购合同</w:t>
      </w:r>
    </w:p>
    <w:p w14:paraId="6ABE6AEF">
      <w:pPr>
        <w:jc w:val="center"/>
        <w:rPr>
          <w:rFonts w:cs="方正仿宋_GBK" w:asciiTheme="minorEastAsia" w:hAnsiTheme="minorEastAsia" w:eastAsiaTheme="minorEastAsia"/>
          <w:color w:val="auto"/>
          <w:highlight w:val="none"/>
        </w:rPr>
      </w:pPr>
      <w:r>
        <w:rPr>
          <w:rFonts w:hint="eastAsia" w:cs="方正仿宋_GBK" w:asciiTheme="minorEastAsia" w:hAnsiTheme="minorEastAsia" w:eastAsiaTheme="minorEastAsia"/>
          <w:color w:val="auto"/>
          <w:highlight w:val="none"/>
        </w:rPr>
        <w:t>（项目号：     ）</w:t>
      </w:r>
    </w:p>
    <w:p w14:paraId="3130602A">
      <w:pPr>
        <w:spacing w:line="500" w:lineRule="exact"/>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需方：___________________________      计价单位：____________</w:t>
      </w:r>
    </w:p>
    <w:p w14:paraId="2129ECF8">
      <w:pPr>
        <w:spacing w:line="500" w:lineRule="exact"/>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供方：___________________________      计量单位：_____________</w:t>
      </w:r>
    </w:p>
    <w:p w14:paraId="583445B9">
      <w:pPr>
        <w:spacing w:line="500" w:lineRule="exact"/>
        <w:rPr>
          <w:rFonts w:cs="方正仿宋_GBK" w:asciiTheme="minorEastAsia" w:hAnsiTheme="minorEastAsia" w:eastAsiaTheme="minorEastAsia"/>
          <w:color w:val="auto"/>
          <w:sz w:val="24"/>
          <w:highlight w:val="none"/>
        </w:rPr>
      </w:pPr>
    </w:p>
    <w:p w14:paraId="15DF323A">
      <w:pPr>
        <w:spacing w:line="500" w:lineRule="exact"/>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经双方协商一致，达成以下购销合同：</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1741"/>
        <w:gridCol w:w="984"/>
        <w:gridCol w:w="448"/>
        <w:gridCol w:w="850"/>
        <w:gridCol w:w="1134"/>
        <w:gridCol w:w="1559"/>
        <w:gridCol w:w="1567"/>
        <w:gridCol w:w="15"/>
      </w:tblGrid>
      <w:tr w14:paraId="3A91E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452" w:hRule="atLeast"/>
        </w:trPr>
        <w:tc>
          <w:tcPr>
            <w:tcW w:w="1330" w:type="dxa"/>
            <w:vAlign w:val="center"/>
          </w:tcPr>
          <w:p w14:paraId="34EE45C5">
            <w:pPr>
              <w:spacing w:line="240" w:lineRule="atLeast"/>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商品名称</w:t>
            </w:r>
          </w:p>
        </w:tc>
        <w:tc>
          <w:tcPr>
            <w:tcW w:w="1741" w:type="dxa"/>
            <w:vAlign w:val="center"/>
          </w:tcPr>
          <w:p w14:paraId="45C510C2">
            <w:pPr>
              <w:spacing w:line="240" w:lineRule="atLeast"/>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规格型号</w:t>
            </w:r>
          </w:p>
        </w:tc>
        <w:tc>
          <w:tcPr>
            <w:tcW w:w="984" w:type="dxa"/>
            <w:vAlign w:val="center"/>
          </w:tcPr>
          <w:p w14:paraId="1A31FA8C">
            <w:pPr>
              <w:spacing w:line="240" w:lineRule="atLeast"/>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数量</w:t>
            </w:r>
          </w:p>
        </w:tc>
        <w:tc>
          <w:tcPr>
            <w:tcW w:w="1298" w:type="dxa"/>
            <w:gridSpan w:val="2"/>
            <w:vAlign w:val="center"/>
          </w:tcPr>
          <w:p w14:paraId="038A737B">
            <w:pPr>
              <w:spacing w:line="240" w:lineRule="atLeast"/>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综合单价</w:t>
            </w:r>
          </w:p>
        </w:tc>
        <w:tc>
          <w:tcPr>
            <w:tcW w:w="1134" w:type="dxa"/>
            <w:vAlign w:val="center"/>
          </w:tcPr>
          <w:p w14:paraId="62CB2D2F">
            <w:pPr>
              <w:spacing w:line="240" w:lineRule="atLeast"/>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总价</w:t>
            </w:r>
          </w:p>
        </w:tc>
        <w:tc>
          <w:tcPr>
            <w:tcW w:w="1559" w:type="dxa"/>
            <w:vAlign w:val="center"/>
          </w:tcPr>
          <w:p w14:paraId="76C3D1D5">
            <w:pPr>
              <w:spacing w:line="240" w:lineRule="atLeast"/>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交货时间</w:t>
            </w:r>
          </w:p>
        </w:tc>
        <w:tc>
          <w:tcPr>
            <w:tcW w:w="1567" w:type="dxa"/>
            <w:vAlign w:val="center"/>
          </w:tcPr>
          <w:p w14:paraId="652AB432">
            <w:pPr>
              <w:spacing w:line="240" w:lineRule="atLeast"/>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交货地点</w:t>
            </w:r>
          </w:p>
        </w:tc>
      </w:tr>
      <w:tr w14:paraId="7733B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2DA8FB51">
            <w:pPr>
              <w:spacing w:line="240" w:lineRule="atLeast"/>
              <w:jc w:val="center"/>
              <w:rPr>
                <w:rFonts w:cs="方正仿宋_GBK" w:asciiTheme="minorEastAsia" w:hAnsiTheme="minorEastAsia" w:eastAsiaTheme="minorEastAsia"/>
                <w:color w:val="auto"/>
                <w:sz w:val="21"/>
                <w:szCs w:val="21"/>
                <w:highlight w:val="none"/>
              </w:rPr>
            </w:pPr>
          </w:p>
        </w:tc>
        <w:tc>
          <w:tcPr>
            <w:tcW w:w="1741" w:type="dxa"/>
            <w:vAlign w:val="center"/>
          </w:tcPr>
          <w:p w14:paraId="5A4C80EF">
            <w:pPr>
              <w:spacing w:line="240" w:lineRule="atLeast"/>
              <w:jc w:val="center"/>
              <w:rPr>
                <w:rFonts w:cs="方正仿宋_GBK" w:asciiTheme="minorEastAsia" w:hAnsiTheme="minorEastAsia" w:eastAsiaTheme="minorEastAsia"/>
                <w:color w:val="auto"/>
                <w:sz w:val="21"/>
                <w:szCs w:val="21"/>
                <w:highlight w:val="none"/>
              </w:rPr>
            </w:pPr>
          </w:p>
        </w:tc>
        <w:tc>
          <w:tcPr>
            <w:tcW w:w="984" w:type="dxa"/>
            <w:vAlign w:val="center"/>
          </w:tcPr>
          <w:p w14:paraId="3CF8CAEB">
            <w:pPr>
              <w:spacing w:line="240" w:lineRule="atLeast"/>
              <w:jc w:val="center"/>
              <w:rPr>
                <w:rFonts w:cs="方正仿宋_GBK" w:asciiTheme="minorEastAsia" w:hAnsiTheme="minorEastAsia" w:eastAsiaTheme="minorEastAsia"/>
                <w:color w:val="auto"/>
                <w:sz w:val="21"/>
                <w:szCs w:val="21"/>
                <w:highlight w:val="none"/>
              </w:rPr>
            </w:pPr>
          </w:p>
        </w:tc>
        <w:tc>
          <w:tcPr>
            <w:tcW w:w="1298" w:type="dxa"/>
            <w:gridSpan w:val="2"/>
            <w:vAlign w:val="center"/>
          </w:tcPr>
          <w:p w14:paraId="51705EA8">
            <w:pPr>
              <w:spacing w:line="240" w:lineRule="atLeast"/>
              <w:jc w:val="center"/>
              <w:rPr>
                <w:rFonts w:cs="方正仿宋_GBK" w:asciiTheme="minorEastAsia" w:hAnsiTheme="minorEastAsia" w:eastAsiaTheme="minorEastAsia"/>
                <w:color w:val="auto"/>
                <w:sz w:val="21"/>
                <w:szCs w:val="21"/>
                <w:highlight w:val="none"/>
              </w:rPr>
            </w:pPr>
          </w:p>
        </w:tc>
        <w:tc>
          <w:tcPr>
            <w:tcW w:w="1134" w:type="dxa"/>
            <w:vAlign w:val="center"/>
          </w:tcPr>
          <w:p w14:paraId="6BE60FD1">
            <w:pPr>
              <w:spacing w:line="240" w:lineRule="atLeast"/>
              <w:jc w:val="center"/>
              <w:rPr>
                <w:rFonts w:cs="方正仿宋_GBK" w:asciiTheme="minorEastAsia" w:hAnsiTheme="minorEastAsia" w:eastAsiaTheme="minorEastAsia"/>
                <w:color w:val="auto"/>
                <w:sz w:val="21"/>
                <w:szCs w:val="21"/>
                <w:highlight w:val="none"/>
              </w:rPr>
            </w:pPr>
          </w:p>
        </w:tc>
        <w:tc>
          <w:tcPr>
            <w:tcW w:w="1559" w:type="dxa"/>
            <w:vAlign w:val="center"/>
          </w:tcPr>
          <w:p w14:paraId="0AFD19B4">
            <w:pPr>
              <w:spacing w:line="240" w:lineRule="atLeast"/>
              <w:jc w:val="center"/>
              <w:rPr>
                <w:rFonts w:cs="方正仿宋_GBK" w:asciiTheme="minorEastAsia" w:hAnsiTheme="minorEastAsia" w:eastAsiaTheme="minorEastAsia"/>
                <w:color w:val="auto"/>
                <w:sz w:val="21"/>
                <w:szCs w:val="21"/>
                <w:highlight w:val="none"/>
              </w:rPr>
            </w:pPr>
          </w:p>
        </w:tc>
        <w:tc>
          <w:tcPr>
            <w:tcW w:w="1567" w:type="dxa"/>
            <w:vAlign w:val="center"/>
          </w:tcPr>
          <w:p w14:paraId="56F297B3">
            <w:pPr>
              <w:spacing w:line="240" w:lineRule="atLeast"/>
              <w:jc w:val="center"/>
              <w:rPr>
                <w:rFonts w:cs="方正仿宋_GBK" w:asciiTheme="minorEastAsia" w:hAnsiTheme="minorEastAsia" w:eastAsiaTheme="minorEastAsia"/>
                <w:color w:val="auto"/>
                <w:sz w:val="21"/>
                <w:szCs w:val="21"/>
                <w:highlight w:val="none"/>
              </w:rPr>
            </w:pPr>
          </w:p>
        </w:tc>
      </w:tr>
      <w:tr w14:paraId="560E2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0B3A22B1">
            <w:pPr>
              <w:spacing w:line="240" w:lineRule="atLeast"/>
              <w:jc w:val="center"/>
              <w:rPr>
                <w:rFonts w:cs="方正仿宋_GBK" w:asciiTheme="minorEastAsia" w:hAnsiTheme="minorEastAsia" w:eastAsiaTheme="minorEastAsia"/>
                <w:color w:val="auto"/>
                <w:sz w:val="21"/>
                <w:szCs w:val="21"/>
                <w:highlight w:val="none"/>
              </w:rPr>
            </w:pPr>
          </w:p>
        </w:tc>
        <w:tc>
          <w:tcPr>
            <w:tcW w:w="1741" w:type="dxa"/>
            <w:vAlign w:val="center"/>
          </w:tcPr>
          <w:p w14:paraId="165260E5">
            <w:pPr>
              <w:spacing w:line="240" w:lineRule="atLeast"/>
              <w:jc w:val="center"/>
              <w:rPr>
                <w:rFonts w:cs="方正仿宋_GBK" w:asciiTheme="minorEastAsia" w:hAnsiTheme="minorEastAsia" w:eastAsiaTheme="minorEastAsia"/>
                <w:color w:val="auto"/>
                <w:sz w:val="21"/>
                <w:szCs w:val="21"/>
                <w:highlight w:val="none"/>
              </w:rPr>
            </w:pPr>
          </w:p>
        </w:tc>
        <w:tc>
          <w:tcPr>
            <w:tcW w:w="984" w:type="dxa"/>
            <w:vAlign w:val="center"/>
          </w:tcPr>
          <w:p w14:paraId="1EF95A8A">
            <w:pPr>
              <w:spacing w:line="240" w:lineRule="atLeast"/>
              <w:jc w:val="center"/>
              <w:rPr>
                <w:rFonts w:cs="方正仿宋_GBK" w:asciiTheme="minorEastAsia" w:hAnsiTheme="minorEastAsia" w:eastAsiaTheme="minorEastAsia"/>
                <w:color w:val="auto"/>
                <w:sz w:val="21"/>
                <w:szCs w:val="21"/>
                <w:highlight w:val="none"/>
              </w:rPr>
            </w:pPr>
          </w:p>
        </w:tc>
        <w:tc>
          <w:tcPr>
            <w:tcW w:w="1298" w:type="dxa"/>
            <w:gridSpan w:val="2"/>
            <w:vAlign w:val="center"/>
          </w:tcPr>
          <w:p w14:paraId="78192EB3">
            <w:pPr>
              <w:spacing w:line="240" w:lineRule="atLeast"/>
              <w:jc w:val="center"/>
              <w:rPr>
                <w:rFonts w:cs="方正仿宋_GBK" w:asciiTheme="minorEastAsia" w:hAnsiTheme="minorEastAsia" w:eastAsiaTheme="minorEastAsia"/>
                <w:color w:val="auto"/>
                <w:sz w:val="21"/>
                <w:szCs w:val="21"/>
                <w:highlight w:val="none"/>
              </w:rPr>
            </w:pPr>
          </w:p>
        </w:tc>
        <w:tc>
          <w:tcPr>
            <w:tcW w:w="1134" w:type="dxa"/>
            <w:vAlign w:val="center"/>
          </w:tcPr>
          <w:p w14:paraId="1F5FEB3A">
            <w:pPr>
              <w:spacing w:line="240" w:lineRule="atLeast"/>
              <w:jc w:val="center"/>
              <w:rPr>
                <w:rFonts w:cs="方正仿宋_GBK" w:asciiTheme="minorEastAsia" w:hAnsiTheme="minorEastAsia" w:eastAsiaTheme="minorEastAsia"/>
                <w:color w:val="auto"/>
                <w:sz w:val="21"/>
                <w:szCs w:val="21"/>
                <w:highlight w:val="none"/>
              </w:rPr>
            </w:pPr>
          </w:p>
        </w:tc>
        <w:tc>
          <w:tcPr>
            <w:tcW w:w="1559" w:type="dxa"/>
            <w:vAlign w:val="center"/>
          </w:tcPr>
          <w:p w14:paraId="29831581">
            <w:pPr>
              <w:spacing w:line="240" w:lineRule="atLeast"/>
              <w:jc w:val="center"/>
              <w:rPr>
                <w:rFonts w:cs="方正仿宋_GBK" w:asciiTheme="minorEastAsia" w:hAnsiTheme="minorEastAsia" w:eastAsiaTheme="minorEastAsia"/>
                <w:color w:val="auto"/>
                <w:sz w:val="21"/>
                <w:szCs w:val="21"/>
                <w:highlight w:val="none"/>
              </w:rPr>
            </w:pPr>
          </w:p>
        </w:tc>
        <w:tc>
          <w:tcPr>
            <w:tcW w:w="1567" w:type="dxa"/>
            <w:vAlign w:val="center"/>
          </w:tcPr>
          <w:p w14:paraId="16C90B05">
            <w:pPr>
              <w:spacing w:line="240" w:lineRule="atLeast"/>
              <w:jc w:val="center"/>
              <w:rPr>
                <w:rFonts w:cs="方正仿宋_GBK" w:asciiTheme="minorEastAsia" w:hAnsiTheme="minorEastAsia" w:eastAsiaTheme="minorEastAsia"/>
                <w:color w:val="auto"/>
                <w:sz w:val="21"/>
                <w:szCs w:val="21"/>
                <w:highlight w:val="none"/>
              </w:rPr>
            </w:pPr>
          </w:p>
        </w:tc>
      </w:tr>
      <w:tr w14:paraId="026BE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131510E8">
            <w:pPr>
              <w:spacing w:line="240" w:lineRule="atLeast"/>
              <w:jc w:val="center"/>
              <w:rPr>
                <w:rFonts w:cs="方正仿宋_GBK" w:asciiTheme="minorEastAsia" w:hAnsiTheme="minorEastAsia" w:eastAsiaTheme="minorEastAsia"/>
                <w:color w:val="auto"/>
                <w:sz w:val="21"/>
                <w:szCs w:val="21"/>
                <w:highlight w:val="none"/>
              </w:rPr>
            </w:pPr>
          </w:p>
        </w:tc>
        <w:tc>
          <w:tcPr>
            <w:tcW w:w="1741" w:type="dxa"/>
            <w:vAlign w:val="center"/>
          </w:tcPr>
          <w:p w14:paraId="7DD69A48">
            <w:pPr>
              <w:spacing w:line="240" w:lineRule="atLeast"/>
              <w:jc w:val="center"/>
              <w:rPr>
                <w:rFonts w:cs="方正仿宋_GBK" w:asciiTheme="minorEastAsia" w:hAnsiTheme="minorEastAsia" w:eastAsiaTheme="minorEastAsia"/>
                <w:color w:val="auto"/>
                <w:sz w:val="21"/>
                <w:szCs w:val="21"/>
                <w:highlight w:val="none"/>
              </w:rPr>
            </w:pPr>
          </w:p>
        </w:tc>
        <w:tc>
          <w:tcPr>
            <w:tcW w:w="984" w:type="dxa"/>
            <w:vAlign w:val="center"/>
          </w:tcPr>
          <w:p w14:paraId="769C8A18">
            <w:pPr>
              <w:spacing w:line="240" w:lineRule="atLeast"/>
              <w:jc w:val="center"/>
              <w:rPr>
                <w:rFonts w:cs="方正仿宋_GBK" w:asciiTheme="minorEastAsia" w:hAnsiTheme="minorEastAsia" w:eastAsiaTheme="minorEastAsia"/>
                <w:color w:val="auto"/>
                <w:sz w:val="21"/>
                <w:szCs w:val="21"/>
                <w:highlight w:val="none"/>
              </w:rPr>
            </w:pPr>
          </w:p>
        </w:tc>
        <w:tc>
          <w:tcPr>
            <w:tcW w:w="1298" w:type="dxa"/>
            <w:gridSpan w:val="2"/>
            <w:vAlign w:val="center"/>
          </w:tcPr>
          <w:p w14:paraId="06A79971">
            <w:pPr>
              <w:spacing w:line="240" w:lineRule="atLeast"/>
              <w:jc w:val="center"/>
              <w:rPr>
                <w:rFonts w:cs="方正仿宋_GBK" w:asciiTheme="minorEastAsia" w:hAnsiTheme="minorEastAsia" w:eastAsiaTheme="minorEastAsia"/>
                <w:color w:val="auto"/>
                <w:sz w:val="21"/>
                <w:szCs w:val="21"/>
                <w:highlight w:val="none"/>
              </w:rPr>
            </w:pPr>
          </w:p>
        </w:tc>
        <w:tc>
          <w:tcPr>
            <w:tcW w:w="1134" w:type="dxa"/>
            <w:vAlign w:val="center"/>
          </w:tcPr>
          <w:p w14:paraId="19C3E110">
            <w:pPr>
              <w:spacing w:line="240" w:lineRule="atLeast"/>
              <w:jc w:val="center"/>
              <w:rPr>
                <w:rFonts w:cs="方正仿宋_GBK" w:asciiTheme="minorEastAsia" w:hAnsiTheme="minorEastAsia" w:eastAsiaTheme="minorEastAsia"/>
                <w:color w:val="auto"/>
                <w:sz w:val="21"/>
                <w:szCs w:val="21"/>
                <w:highlight w:val="none"/>
              </w:rPr>
            </w:pPr>
          </w:p>
        </w:tc>
        <w:tc>
          <w:tcPr>
            <w:tcW w:w="1559" w:type="dxa"/>
            <w:vAlign w:val="center"/>
          </w:tcPr>
          <w:p w14:paraId="63C8EBF0">
            <w:pPr>
              <w:spacing w:line="240" w:lineRule="atLeast"/>
              <w:jc w:val="center"/>
              <w:rPr>
                <w:rFonts w:cs="方正仿宋_GBK" w:asciiTheme="minorEastAsia" w:hAnsiTheme="minorEastAsia" w:eastAsiaTheme="minorEastAsia"/>
                <w:color w:val="auto"/>
                <w:sz w:val="21"/>
                <w:szCs w:val="21"/>
                <w:highlight w:val="none"/>
              </w:rPr>
            </w:pPr>
          </w:p>
        </w:tc>
        <w:tc>
          <w:tcPr>
            <w:tcW w:w="1567" w:type="dxa"/>
            <w:vAlign w:val="center"/>
          </w:tcPr>
          <w:p w14:paraId="3E49AE71">
            <w:pPr>
              <w:spacing w:line="240" w:lineRule="atLeast"/>
              <w:jc w:val="center"/>
              <w:rPr>
                <w:rFonts w:cs="方正仿宋_GBK" w:asciiTheme="minorEastAsia" w:hAnsiTheme="minorEastAsia" w:eastAsiaTheme="minorEastAsia"/>
                <w:color w:val="auto"/>
                <w:sz w:val="21"/>
                <w:szCs w:val="21"/>
                <w:highlight w:val="none"/>
              </w:rPr>
            </w:pPr>
          </w:p>
        </w:tc>
      </w:tr>
      <w:tr w14:paraId="7826D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450A6D2C">
            <w:pPr>
              <w:spacing w:line="240" w:lineRule="atLeast"/>
              <w:jc w:val="center"/>
              <w:rPr>
                <w:rFonts w:cs="方正仿宋_GBK" w:asciiTheme="minorEastAsia" w:hAnsiTheme="minorEastAsia" w:eastAsiaTheme="minorEastAsia"/>
                <w:color w:val="auto"/>
                <w:sz w:val="21"/>
                <w:szCs w:val="21"/>
                <w:highlight w:val="none"/>
              </w:rPr>
            </w:pPr>
          </w:p>
        </w:tc>
        <w:tc>
          <w:tcPr>
            <w:tcW w:w="1741" w:type="dxa"/>
            <w:vAlign w:val="center"/>
          </w:tcPr>
          <w:p w14:paraId="246F0CC2">
            <w:pPr>
              <w:spacing w:line="240" w:lineRule="atLeast"/>
              <w:jc w:val="center"/>
              <w:rPr>
                <w:rFonts w:cs="方正仿宋_GBK" w:asciiTheme="minorEastAsia" w:hAnsiTheme="minorEastAsia" w:eastAsiaTheme="minorEastAsia"/>
                <w:color w:val="auto"/>
                <w:sz w:val="21"/>
                <w:szCs w:val="21"/>
                <w:highlight w:val="none"/>
              </w:rPr>
            </w:pPr>
          </w:p>
        </w:tc>
        <w:tc>
          <w:tcPr>
            <w:tcW w:w="984" w:type="dxa"/>
            <w:vAlign w:val="center"/>
          </w:tcPr>
          <w:p w14:paraId="7BB38DEE">
            <w:pPr>
              <w:spacing w:line="240" w:lineRule="atLeast"/>
              <w:jc w:val="center"/>
              <w:rPr>
                <w:rFonts w:cs="方正仿宋_GBK" w:asciiTheme="minorEastAsia" w:hAnsiTheme="minorEastAsia" w:eastAsiaTheme="minorEastAsia"/>
                <w:color w:val="auto"/>
                <w:sz w:val="21"/>
                <w:szCs w:val="21"/>
                <w:highlight w:val="none"/>
              </w:rPr>
            </w:pPr>
          </w:p>
        </w:tc>
        <w:tc>
          <w:tcPr>
            <w:tcW w:w="1298" w:type="dxa"/>
            <w:gridSpan w:val="2"/>
            <w:vAlign w:val="center"/>
          </w:tcPr>
          <w:p w14:paraId="279A36B2">
            <w:pPr>
              <w:spacing w:line="240" w:lineRule="atLeast"/>
              <w:jc w:val="center"/>
              <w:rPr>
                <w:rFonts w:cs="方正仿宋_GBK" w:asciiTheme="minorEastAsia" w:hAnsiTheme="minorEastAsia" w:eastAsiaTheme="minorEastAsia"/>
                <w:color w:val="auto"/>
                <w:sz w:val="21"/>
                <w:szCs w:val="21"/>
                <w:highlight w:val="none"/>
              </w:rPr>
            </w:pPr>
          </w:p>
        </w:tc>
        <w:tc>
          <w:tcPr>
            <w:tcW w:w="1134" w:type="dxa"/>
            <w:vAlign w:val="center"/>
          </w:tcPr>
          <w:p w14:paraId="20AA91EF">
            <w:pPr>
              <w:spacing w:line="240" w:lineRule="atLeast"/>
              <w:jc w:val="center"/>
              <w:rPr>
                <w:rFonts w:cs="方正仿宋_GBK" w:asciiTheme="minorEastAsia" w:hAnsiTheme="minorEastAsia" w:eastAsiaTheme="minorEastAsia"/>
                <w:color w:val="auto"/>
                <w:sz w:val="21"/>
                <w:szCs w:val="21"/>
                <w:highlight w:val="none"/>
              </w:rPr>
            </w:pPr>
          </w:p>
        </w:tc>
        <w:tc>
          <w:tcPr>
            <w:tcW w:w="1559" w:type="dxa"/>
            <w:vAlign w:val="center"/>
          </w:tcPr>
          <w:p w14:paraId="6E2A3B3D">
            <w:pPr>
              <w:spacing w:line="240" w:lineRule="atLeast"/>
              <w:jc w:val="center"/>
              <w:rPr>
                <w:rFonts w:cs="方正仿宋_GBK" w:asciiTheme="minorEastAsia" w:hAnsiTheme="minorEastAsia" w:eastAsiaTheme="minorEastAsia"/>
                <w:color w:val="auto"/>
                <w:sz w:val="21"/>
                <w:szCs w:val="21"/>
                <w:highlight w:val="none"/>
              </w:rPr>
            </w:pPr>
          </w:p>
        </w:tc>
        <w:tc>
          <w:tcPr>
            <w:tcW w:w="1567" w:type="dxa"/>
            <w:vAlign w:val="center"/>
          </w:tcPr>
          <w:p w14:paraId="60E494B1">
            <w:pPr>
              <w:spacing w:line="240" w:lineRule="atLeast"/>
              <w:jc w:val="center"/>
              <w:rPr>
                <w:rFonts w:cs="方正仿宋_GBK" w:asciiTheme="minorEastAsia" w:hAnsiTheme="minorEastAsia" w:eastAsiaTheme="minorEastAsia"/>
                <w:color w:val="auto"/>
                <w:sz w:val="21"/>
                <w:szCs w:val="21"/>
                <w:highlight w:val="none"/>
              </w:rPr>
            </w:pPr>
          </w:p>
        </w:tc>
      </w:tr>
      <w:tr w14:paraId="261EF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085F347F">
            <w:pPr>
              <w:spacing w:line="240" w:lineRule="atLeast"/>
              <w:jc w:val="center"/>
              <w:rPr>
                <w:rFonts w:cs="方正仿宋_GBK" w:asciiTheme="minorEastAsia" w:hAnsiTheme="minorEastAsia" w:eastAsiaTheme="minorEastAsia"/>
                <w:color w:val="auto"/>
                <w:sz w:val="21"/>
                <w:szCs w:val="21"/>
                <w:highlight w:val="none"/>
              </w:rPr>
            </w:pPr>
          </w:p>
        </w:tc>
        <w:tc>
          <w:tcPr>
            <w:tcW w:w="1741" w:type="dxa"/>
            <w:vAlign w:val="center"/>
          </w:tcPr>
          <w:p w14:paraId="1F30FA9D">
            <w:pPr>
              <w:spacing w:line="240" w:lineRule="atLeast"/>
              <w:jc w:val="center"/>
              <w:rPr>
                <w:rFonts w:cs="方正仿宋_GBK" w:asciiTheme="minorEastAsia" w:hAnsiTheme="minorEastAsia" w:eastAsiaTheme="minorEastAsia"/>
                <w:color w:val="auto"/>
                <w:sz w:val="21"/>
                <w:szCs w:val="21"/>
                <w:highlight w:val="none"/>
              </w:rPr>
            </w:pPr>
          </w:p>
        </w:tc>
        <w:tc>
          <w:tcPr>
            <w:tcW w:w="984" w:type="dxa"/>
            <w:vAlign w:val="center"/>
          </w:tcPr>
          <w:p w14:paraId="73A1444B">
            <w:pPr>
              <w:spacing w:line="240" w:lineRule="atLeast"/>
              <w:jc w:val="center"/>
              <w:rPr>
                <w:rFonts w:cs="方正仿宋_GBK" w:asciiTheme="minorEastAsia" w:hAnsiTheme="minorEastAsia" w:eastAsiaTheme="minorEastAsia"/>
                <w:color w:val="auto"/>
                <w:sz w:val="21"/>
                <w:szCs w:val="21"/>
                <w:highlight w:val="none"/>
              </w:rPr>
            </w:pPr>
          </w:p>
        </w:tc>
        <w:tc>
          <w:tcPr>
            <w:tcW w:w="1298" w:type="dxa"/>
            <w:gridSpan w:val="2"/>
            <w:vAlign w:val="center"/>
          </w:tcPr>
          <w:p w14:paraId="53C9AC61">
            <w:pPr>
              <w:spacing w:line="240" w:lineRule="atLeast"/>
              <w:jc w:val="center"/>
              <w:rPr>
                <w:rFonts w:cs="方正仿宋_GBK" w:asciiTheme="minorEastAsia" w:hAnsiTheme="minorEastAsia" w:eastAsiaTheme="minorEastAsia"/>
                <w:color w:val="auto"/>
                <w:sz w:val="21"/>
                <w:szCs w:val="21"/>
                <w:highlight w:val="none"/>
              </w:rPr>
            </w:pPr>
          </w:p>
        </w:tc>
        <w:tc>
          <w:tcPr>
            <w:tcW w:w="1134" w:type="dxa"/>
            <w:vAlign w:val="center"/>
          </w:tcPr>
          <w:p w14:paraId="33E90BEE">
            <w:pPr>
              <w:spacing w:line="240" w:lineRule="atLeast"/>
              <w:jc w:val="center"/>
              <w:rPr>
                <w:rFonts w:cs="方正仿宋_GBK" w:asciiTheme="minorEastAsia" w:hAnsiTheme="minorEastAsia" w:eastAsiaTheme="minorEastAsia"/>
                <w:color w:val="auto"/>
                <w:sz w:val="21"/>
                <w:szCs w:val="21"/>
                <w:highlight w:val="none"/>
              </w:rPr>
            </w:pPr>
          </w:p>
        </w:tc>
        <w:tc>
          <w:tcPr>
            <w:tcW w:w="1559" w:type="dxa"/>
            <w:vAlign w:val="center"/>
          </w:tcPr>
          <w:p w14:paraId="10E8BE5C">
            <w:pPr>
              <w:spacing w:line="240" w:lineRule="atLeast"/>
              <w:jc w:val="center"/>
              <w:rPr>
                <w:rFonts w:cs="方正仿宋_GBK" w:asciiTheme="minorEastAsia" w:hAnsiTheme="minorEastAsia" w:eastAsiaTheme="minorEastAsia"/>
                <w:color w:val="auto"/>
                <w:sz w:val="21"/>
                <w:szCs w:val="21"/>
                <w:highlight w:val="none"/>
              </w:rPr>
            </w:pPr>
          </w:p>
        </w:tc>
        <w:tc>
          <w:tcPr>
            <w:tcW w:w="1567" w:type="dxa"/>
            <w:vAlign w:val="center"/>
          </w:tcPr>
          <w:p w14:paraId="16D58B8F">
            <w:pPr>
              <w:spacing w:line="240" w:lineRule="atLeast"/>
              <w:jc w:val="center"/>
              <w:rPr>
                <w:rFonts w:cs="方正仿宋_GBK" w:asciiTheme="minorEastAsia" w:hAnsiTheme="minorEastAsia" w:eastAsiaTheme="minorEastAsia"/>
                <w:color w:val="auto"/>
                <w:sz w:val="21"/>
                <w:szCs w:val="21"/>
                <w:highlight w:val="none"/>
              </w:rPr>
            </w:pPr>
          </w:p>
        </w:tc>
      </w:tr>
      <w:tr w14:paraId="73B1A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677790A1">
            <w:pPr>
              <w:spacing w:line="240" w:lineRule="atLeast"/>
              <w:jc w:val="center"/>
              <w:rPr>
                <w:rFonts w:cs="方正仿宋_GBK" w:asciiTheme="minorEastAsia" w:hAnsiTheme="minorEastAsia" w:eastAsiaTheme="minorEastAsia"/>
                <w:color w:val="auto"/>
                <w:sz w:val="21"/>
                <w:szCs w:val="21"/>
                <w:highlight w:val="none"/>
              </w:rPr>
            </w:pPr>
          </w:p>
        </w:tc>
        <w:tc>
          <w:tcPr>
            <w:tcW w:w="1741" w:type="dxa"/>
            <w:vAlign w:val="center"/>
          </w:tcPr>
          <w:p w14:paraId="37A96070">
            <w:pPr>
              <w:spacing w:line="240" w:lineRule="atLeast"/>
              <w:jc w:val="center"/>
              <w:rPr>
                <w:rFonts w:cs="方正仿宋_GBK" w:asciiTheme="minorEastAsia" w:hAnsiTheme="minorEastAsia" w:eastAsiaTheme="minorEastAsia"/>
                <w:color w:val="auto"/>
                <w:sz w:val="21"/>
                <w:szCs w:val="21"/>
                <w:highlight w:val="none"/>
              </w:rPr>
            </w:pPr>
          </w:p>
        </w:tc>
        <w:tc>
          <w:tcPr>
            <w:tcW w:w="984" w:type="dxa"/>
            <w:vAlign w:val="center"/>
          </w:tcPr>
          <w:p w14:paraId="30F0F5AE">
            <w:pPr>
              <w:spacing w:line="240" w:lineRule="atLeast"/>
              <w:jc w:val="center"/>
              <w:rPr>
                <w:rFonts w:cs="方正仿宋_GBK" w:asciiTheme="minorEastAsia" w:hAnsiTheme="minorEastAsia" w:eastAsiaTheme="minorEastAsia"/>
                <w:color w:val="auto"/>
                <w:sz w:val="21"/>
                <w:szCs w:val="21"/>
                <w:highlight w:val="none"/>
              </w:rPr>
            </w:pPr>
          </w:p>
        </w:tc>
        <w:tc>
          <w:tcPr>
            <w:tcW w:w="1298" w:type="dxa"/>
            <w:gridSpan w:val="2"/>
            <w:vAlign w:val="center"/>
          </w:tcPr>
          <w:p w14:paraId="787F7AC5">
            <w:pPr>
              <w:spacing w:line="240" w:lineRule="atLeast"/>
              <w:jc w:val="center"/>
              <w:rPr>
                <w:rFonts w:cs="方正仿宋_GBK" w:asciiTheme="minorEastAsia" w:hAnsiTheme="minorEastAsia" w:eastAsiaTheme="minorEastAsia"/>
                <w:color w:val="auto"/>
                <w:sz w:val="21"/>
                <w:szCs w:val="21"/>
                <w:highlight w:val="none"/>
              </w:rPr>
            </w:pPr>
          </w:p>
        </w:tc>
        <w:tc>
          <w:tcPr>
            <w:tcW w:w="1134" w:type="dxa"/>
            <w:vAlign w:val="center"/>
          </w:tcPr>
          <w:p w14:paraId="17C897A5">
            <w:pPr>
              <w:spacing w:line="240" w:lineRule="atLeast"/>
              <w:jc w:val="center"/>
              <w:rPr>
                <w:rFonts w:cs="方正仿宋_GBK" w:asciiTheme="minorEastAsia" w:hAnsiTheme="minorEastAsia" w:eastAsiaTheme="minorEastAsia"/>
                <w:color w:val="auto"/>
                <w:sz w:val="21"/>
                <w:szCs w:val="21"/>
                <w:highlight w:val="none"/>
              </w:rPr>
            </w:pPr>
          </w:p>
        </w:tc>
        <w:tc>
          <w:tcPr>
            <w:tcW w:w="1559" w:type="dxa"/>
            <w:vAlign w:val="center"/>
          </w:tcPr>
          <w:p w14:paraId="46061225">
            <w:pPr>
              <w:spacing w:line="240" w:lineRule="atLeast"/>
              <w:jc w:val="center"/>
              <w:rPr>
                <w:rFonts w:cs="方正仿宋_GBK" w:asciiTheme="minorEastAsia" w:hAnsiTheme="minorEastAsia" w:eastAsiaTheme="minorEastAsia"/>
                <w:color w:val="auto"/>
                <w:sz w:val="21"/>
                <w:szCs w:val="21"/>
                <w:highlight w:val="none"/>
              </w:rPr>
            </w:pPr>
          </w:p>
        </w:tc>
        <w:tc>
          <w:tcPr>
            <w:tcW w:w="1567" w:type="dxa"/>
            <w:vAlign w:val="center"/>
          </w:tcPr>
          <w:p w14:paraId="5A59C0B2">
            <w:pPr>
              <w:spacing w:line="240" w:lineRule="atLeast"/>
              <w:jc w:val="center"/>
              <w:rPr>
                <w:rFonts w:cs="方正仿宋_GBK" w:asciiTheme="minorEastAsia" w:hAnsiTheme="minorEastAsia" w:eastAsiaTheme="minorEastAsia"/>
                <w:color w:val="auto"/>
                <w:sz w:val="21"/>
                <w:szCs w:val="21"/>
                <w:highlight w:val="none"/>
              </w:rPr>
            </w:pPr>
          </w:p>
        </w:tc>
      </w:tr>
      <w:tr w14:paraId="17C50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05FDD48F">
            <w:pPr>
              <w:spacing w:line="240" w:lineRule="atLeast"/>
              <w:jc w:val="center"/>
              <w:rPr>
                <w:rFonts w:cs="方正仿宋_GBK" w:asciiTheme="minorEastAsia" w:hAnsiTheme="minorEastAsia" w:eastAsiaTheme="minorEastAsia"/>
                <w:color w:val="auto"/>
                <w:sz w:val="21"/>
                <w:szCs w:val="21"/>
                <w:highlight w:val="none"/>
              </w:rPr>
            </w:pPr>
          </w:p>
        </w:tc>
        <w:tc>
          <w:tcPr>
            <w:tcW w:w="1741" w:type="dxa"/>
            <w:vAlign w:val="center"/>
          </w:tcPr>
          <w:p w14:paraId="57866FE9">
            <w:pPr>
              <w:spacing w:line="240" w:lineRule="atLeast"/>
              <w:jc w:val="center"/>
              <w:rPr>
                <w:rFonts w:cs="方正仿宋_GBK" w:asciiTheme="minorEastAsia" w:hAnsiTheme="minorEastAsia" w:eastAsiaTheme="minorEastAsia"/>
                <w:color w:val="auto"/>
                <w:sz w:val="21"/>
                <w:szCs w:val="21"/>
                <w:highlight w:val="none"/>
              </w:rPr>
            </w:pPr>
          </w:p>
        </w:tc>
        <w:tc>
          <w:tcPr>
            <w:tcW w:w="984" w:type="dxa"/>
            <w:vAlign w:val="center"/>
          </w:tcPr>
          <w:p w14:paraId="2AA8C063">
            <w:pPr>
              <w:spacing w:line="240" w:lineRule="atLeast"/>
              <w:jc w:val="center"/>
              <w:rPr>
                <w:rFonts w:cs="方正仿宋_GBK" w:asciiTheme="minorEastAsia" w:hAnsiTheme="minorEastAsia" w:eastAsiaTheme="minorEastAsia"/>
                <w:color w:val="auto"/>
                <w:sz w:val="21"/>
                <w:szCs w:val="21"/>
                <w:highlight w:val="none"/>
              </w:rPr>
            </w:pPr>
          </w:p>
        </w:tc>
        <w:tc>
          <w:tcPr>
            <w:tcW w:w="1298" w:type="dxa"/>
            <w:gridSpan w:val="2"/>
            <w:vAlign w:val="center"/>
          </w:tcPr>
          <w:p w14:paraId="333F12FE">
            <w:pPr>
              <w:spacing w:line="240" w:lineRule="atLeast"/>
              <w:jc w:val="center"/>
              <w:rPr>
                <w:rFonts w:cs="方正仿宋_GBK" w:asciiTheme="minorEastAsia" w:hAnsiTheme="minorEastAsia" w:eastAsiaTheme="minorEastAsia"/>
                <w:color w:val="auto"/>
                <w:sz w:val="21"/>
                <w:szCs w:val="21"/>
                <w:highlight w:val="none"/>
              </w:rPr>
            </w:pPr>
          </w:p>
        </w:tc>
        <w:tc>
          <w:tcPr>
            <w:tcW w:w="1134" w:type="dxa"/>
            <w:vAlign w:val="center"/>
          </w:tcPr>
          <w:p w14:paraId="2D1BA499">
            <w:pPr>
              <w:spacing w:line="240" w:lineRule="atLeast"/>
              <w:jc w:val="center"/>
              <w:rPr>
                <w:rFonts w:cs="方正仿宋_GBK" w:asciiTheme="minorEastAsia" w:hAnsiTheme="minorEastAsia" w:eastAsiaTheme="minorEastAsia"/>
                <w:color w:val="auto"/>
                <w:sz w:val="21"/>
                <w:szCs w:val="21"/>
                <w:highlight w:val="none"/>
              </w:rPr>
            </w:pPr>
          </w:p>
        </w:tc>
        <w:tc>
          <w:tcPr>
            <w:tcW w:w="1559" w:type="dxa"/>
            <w:vAlign w:val="center"/>
          </w:tcPr>
          <w:p w14:paraId="08DC522E">
            <w:pPr>
              <w:spacing w:line="240" w:lineRule="atLeast"/>
              <w:jc w:val="center"/>
              <w:rPr>
                <w:rFonts w:cs="方正仿宋_GBK" w:asciiTheme="minorEastAsia" w:hAnsiTheme="minorEastAsia" w:eastAsiaTheme="minorEastAsia"/>
                <w:color w:val="auto"/>
                <w:sz w:val="21"/>
                <w:szCs w:val="21"/>
                <w:highlight w:val="none"/>
              </w:rPr>
            </w:pPr>
          </w:p>
        </w:tc>
        <w:tc>
          <w:tcPr>
            <w:tcW w:w="1567" w:type="dxa"/>
            <w:vAlign w:val="center"/>
          </w:tcPr>
          <w:p w14:paraId="6678ECB3">
            <w:pPr>
              <w:spacing w:line="240" w:lineRule="atLeast"/>
              <w:jc w:val="center"/>
              <w:rPr>
                <w:rFonts w:cs="方正仿宋_GBK" w:asciiTheme="minorEastAsia" w:hAnsiTheme="minorEastAsia" w:eastAsiaTheme="minorEastAsia"/>
                <w:color w:val="auto"/>
                <w:sz w:val="21"/>
                <w:szCs w:val="21"/>
                <w:highlight w:val="none"/>
              </w:rPr>
            </w:pPr>
          </w:p>
        </w:tc>
      </w:tr>
      <w:tr w14:paraId="2EC1C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587B490A">
            <w:pPr>
              <w:spacing w:line="240" w:lineRule="atLeast"/>
              <w:jc w:val="center"/>
              <w:rPr>
                <w:rFonts w:cs="方正仿宋_GBK" w:asciiTheme="minorEastAsia" w:hAnsiTheme="minorEastAsia" w:eastAsiaTheme="minorEastAsia"/>
                <w:color w:val="auto"/>
                <w:sz w:val="21"/>
                <w:szCs w:val="21"/>
                <w:highlight w:val="none"/>
              </w:rPr>
            </w:pPr>
          </w:p>
        </w:tc>
        <w:tc>
          <w:tcPr>
            <w:tcW w:w="1741" w:type="dxa"/>
            <w:vAlign w:val="center"/>
          </w:tcPr>
          <w:p w14:paraId="3675E6C8">
            <w:pPr>
              <w:spacing w:line="240" w:lineRule="atLeast"/>
              <w:jc w:val="center"/>
              <w:rPr>
                <w:rFonts w:cs="方正仿宋_GBK" w:asciiTheme="minorEastAsia" w:hAnsiTheme="minorEastAsia" w:eastAsiaTheme="minorEastAsia"/>
                <w:color w:val="auto"/>
                <w:sz w:val="21"/>
                <w:szCs w:val="21"/>
                <w:highlight w:val="none"/>
              </w:rPr>
            </w:pPr>
          </w:p>
        </w:tc>
        <w:tc>
          <w:tcPr>
            <w:tcW w:w="984" w:type="dxa"/>
            <w:vAlign w:val="center"/>
          </w:tcPr>
          <w:p w14:paraId="7E492DF4">
            <w:pPr>
              <w:spacing w:line="240" w:lineRule="atLeast"/>
              <w:jc w:val="center"/>
              <w:rPr>
                <w:rFonts w:cs="方正仿宋_GBK" w:asciiTheme="minorEastAsia" w:hAnsiTheme="minorEastAsia" w:eastAsiaTheme="minorEastAsia"/>
                <w:color w:val="auto"/>
                <w:sz w:val="21"/>
                <w:szCs w:val="21"/>
                <w:highlight w:val="none"/>
              </w:rPr>
            </w:pPr>
          </w:p>
        </w:tc>
        <w:tc>
          <w:tcPr>
            <w:tcW w:w="1298" w:type="dxa"/>
            <w:gridSpan w:val="2"/>
            <w:vAlign w:val="center"/>
          </w:tcPr>
          <w:p w14:paraId="5AF6DCED">
            <w:pPr>
              <w:spacing w:line="240" w:lineRule="atLeast"/>
              <w:jc w:val="center"/>
              <w:rPr>
                <w:rFonts w:cs="方正仿宋_GBK" w:asciiTheme="minorEastAsia" w:hAnsiTheme="minorEastAsia" w:eastAsiaTheme="minorEastAsia"/>
                <w:color w:val="auto"/>
                <w:sz w:val="21"/>
                <w:szCs w:val="21"/>
                <w:highlight w:val="none"/>
              </w:rPr>
            </w:pPr>
          </w:p>
        </w:tc>
        <w:tc>
          <w:tcPr>
            <w:tcW w:w="1134" w:type="dxa"/>
            <w:vAlign w:val="center"/>
          </w:tcPr>
          <w:p w14:paraId="77E3EEF8">
            <w:pPr>
              <w:spacing w:line="240" w:lineRule="atLeast"/>
              <w:jc w:val="center"/>
              <w:rPr>
                <w:rFonts w:cs="方正仿宋_GBK" w:asciiTheme="minorEastAsia" w:hAnsiTheme="minorEastAsia" w:eastAsiaTheme="minorEastAsia"/>
                <w:color w:val="auto"/>
                <w:sz w:val="21"/>
                <w:szCs w:val="21"/>
                <w:highlight w:val="none"/>
              </w:rPr>
            </w:pPr>
          </w:p>
        </w:tc>
        <w:tc>
          <w:tcPr>
            <w:tcW w:w="1559" w:type="dxa"/>
            <w:vAlign w:val="center"/>
          </w:tcPr>
          <w:p w14:paraId="0CB4B57B">
            <w:pPr>
              <w:spacing w:line="240" w:lineRule="atLeast"/>
              <w:jc w:val="center"/>
              <w:rPr>
                <w:rFonts w:cs="方正仿宋_GBK" w:asciiTheme="minorEastAsia" w:hAnsiTheme="minorEastAsia" w:eastAsiaTheme="minorEastAsia"/>
                <w:color w:val="auto"/>
                <w:sz w:val="21"/>
                <w:szCs w:val="21"/>
                <w:highlight w:val="none"/>
              </w:rPr>
            </w:pPr>
          </w:p>
        </w:tc>
        <w:tc>
          <w:tcPr>
            <w:tcW w:w="1567" w:type="dxa"/>
            <w:vAlign w:val="center"/>
          </w:tcPr>
          <w:p w14:paraId="7317209D">
            <w:pPr>
              <w:spacing w:line="240" w:lineRule="atLeast"/>
              <w:jc w:val="center"/>
              <w:rPr>
                <w:rFonts w:cs="方正仿宋_GBK" w:asciiTheme="minorEastAsia" w:hAnsiTheme="minorEastAsia" w:eastAsiaTheme="minorEastAsia"/>
                <w:color w:val="auto"/>
                <w:sz w:val="21"/>
                <w:szCs w:val="21"/>
                <w:highlight w:val="none"/>
              </w:rPr>
            </w:pPr>
          </w:p>
        </w:tc>
      </w:tr>
      <w:tr w14:paraId="20533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41ACA186">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合计人民币（小写）：</w:t>
            </w:r>
          </w:p>
        </w:tc>
      </w:tr>
      <w:tr w14:paraId="09C20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7830744B">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合计人民币（大写）：</w:t>
            </w:r>
          </w:p>
        </w:tc>
      </w:tr>
      <w:tr w14:paraId="65D2D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52" w:hRule="atLeast"/>
        </w:trPr>
        <w:tc>
          <w:tcPr>
            <w:tcW w:w="9613" w:type="dxa"/>
            <w:gridSpan w:val="8"/>
          </w:tcPr>
          <w:p w14:paraId="11DB123C">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一、质量要求和技术标准</w:t>
            </w:r>
          </w:p>
          <w:p w14:paraId="73720EF1">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供方提供的商品必须是全新的，完全符合国家有关技术标准，供方的质量保证及售后服务承诺如下：</w:t>
            </w:r>
          </w:p>
          <w:p w14:paraId="0803ECF9">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1、质保期限：</w:t>
            </w:r>
          </w:p>
          <w:p w14:paraId="3C2595F8">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2、保修范围：</w:t>
            </w:r>
          </w:p>
          <w:p w14:paraId="29201129">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3、服务措施：</w:t>
            </w:r>
          </w:p>
          <w:p w14:paraId="75B93643">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4、质保期后服务：</w:t>
            </w:r>
          </w:p>
        </w:tc>
      </w:tr>
      <w:tr w14:paraId="08439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913" w:hRule="atLeast"/>
        </w:trPr>
        <w:tc>
          <w:tcPr>
            <w:tcW w:w="9613" w:type="dxa"/>
            <w:gridSpan w:val="8"/>
          </w:tcPr>
          <w:p w14:paraId="01CEDFA1">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二、随机备品、附件、工具数量及供应方法</w:t>
            </w:r>
          </w:p>
        </w:tc>
      </w:tr>
      <w:tr w14:paraId="3EA4C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751" w:hRule="atLeast"/>
        </w:trPr>
        <w:tc>
          <w:tcPr>
            <w:tcW w:w="9613" w:type="dxa"/>
            <w:gridSpan w:val="8"/>
          </w:tcPr>
          <w:p w14:paraId="2B645C6A">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三、交提货方式</w:t>
            </w:r>
          </w:p>
        </w:tc>
      </w:tr>
      <w:tr w14:paraId="7E92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28" w:type="dxa"/>
            <w:gridSpan w:val="9"/>
          </w:tcPr>
          <w:p w14:paraId="072CE804">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四、验收标准、方法</w:t>
            </w:r>
          </w:p>
          <w:p w14:paraId="5BCD93B2">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如有异议，请于      日内提出。</w:t>
            </w:r>
          </w:p>
        </w:tc>
      </w:tr>
      <w:tr w14:paraId="7652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4A4C238C">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五、付款方式</w:t>
            </w:r>
          </w:p>
          <w:p w14:paraId="23308388">
            <w:pPr>
              <w:pStyle w:val="9"/>
              <w:spacing w:line="240" w:lineRule="atLeast"/>
              <w:rPr>
                <w:rFonts w:cs="方正仿宋_GBK" w:asciiTheme="minorEastAsia" w:hAnsiTheme="minorEastAsia" w:eastAsiaTheme="minorEastAsia"/>
                <w:color w:val="auto"/>
                <w:sz w:val="21"/>
                <w:szCs w:val="21"/>
                <w:highlight w:val="none"/>
              </w:rPr>
            </w:pPr>
          </w:p>
        </w:tc>
      </w:tr>
      <w:tr w14:paraId="4546F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149A960C">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六、违约责任</w:t>
            </w:r>
          </w:p>
          <w:p w14:paraId="32B39FC4">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按《中华人民共和国民法典》《中华人民共和国政府采购法》执行，或按双方约定。（采购人应按项目实际情况完整填写）</w:t>
            </w:r>
          </w:p>
        </w:tc>
      </w:tr>
      <w:tr w14:paraId="4238A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9628" w:type="dxa"/>
            <w:gridSpan w:val="9"/>
          </w:tcPr>
          <w:p w14:paraId="7260988B">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七、其他约定事项</w:t>
            </w:r>
          </w:p>
          <w:p w14:paraId="2A8BD954">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1.招标文件及其澄清文件、投标文件和承诺是本合同不可分割的部分，共同构成合同文件。合同文件按以下顺序进行解释：合同、响应文件和承诺、招标文件及其补遗文件。。</w:t>
            </w:r>
          </w:p>
          <w:p w14:paraId="58B2EAB1">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2.本合同如发生争议由双方协商解决，协商不成向需方所在地仲裁机构提请仲裁。</w:t>
            </w:r>
          </w:p>
          <w:p w14:paraId="4307E2A7">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3.本合同一式__份， 需方__份，供方__份，均具有同等法律效力。</w:t>
            </w:r>
          </w:p>
          <w:p w14:paraId="4376E272">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4.其他：</w:t>
            </w:r>
          </w:p>
        </w:tc>
      </w:tr>
      <w:tr w14:paraId="2020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0" w:hRule="atLeast"/>
        </w:trPr>
        <w:tc>
          <w:tcPr>
            <w:tcW w:w="4503" w:type="dxa"/>
            <w:gridSpan w:val="4"/>
          </w:tcPr>
          <w:p w14:paraId="512B53CE">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需方：重庆工商大学</w:t>
            </w:r>
          </w:p>
          <w:p w14:paraId="3E64A32B">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地址：重庆市南岸区学府大道19号</w:t>
            </w:r>
          </w:p>
          <w:p w14:paraId="3B889271">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联系电话：023-62769774</w:t>
            </w:r>
          </w:p>
          <w:p w14:paraId="2B199B28">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开户银行：工行重庆南岸学府支行</w:t>
            </w:r>
          </w:p>
          <w:p w14:paraId="3C39F84E">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账号：3100027609024907533</w:t>
            </w:r>
          </w:p>
          <w:p w14:paraId="2D303AE1">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纳税人识别号:125000007428748822</w:t>
            </w:r>
          </w:p>
          <w:p w14:paraId="3573EE91">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法定代表人：</w:t>
            </w:r>
          </w:p>
          <w:p w14:paraId="0E64906A">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授权代表：</w:t>
            </w:r>
          </w:p>
        </w:tc>
        <w:tc>
          <w:tcPr>
            <w:tcW w:w="5125" w:type="dxa"/>
            <w:gridSpan w:val="5"/>
          </w:tcPr>
          <w:p w14:paraId="63532278">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供方：</w:t>
            </w:r>
          </w:p>
          <w:p w14:paraId="5AA98058">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地址：</w:t>
            </w:r>
          </w:p>
          <w:p w14:paraId="13BA3963">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电话：</w:t>
            </w:r>
          </w:p>
          <w:p w14:paraId="0ED2AB30">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开户银行：</w:t>
            </w:r>
          </w:p>
          <w:p w14:paraId="70A07981">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账号：</w:t>
            </w:r>
          </w:p>
          <w:p w14:paraId="078009E3">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纳税人识别号:</w:t>
            </w:r>
          </w:p>
          <w:p w14:paraId="4D88C0EA">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法定代表人：</w:t>
            </w:r>
          </w:p>
          <w:p w14:paraId="3EEB43F7">
            <w:pPr>
              <w:spacing w:line="276"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授权代表：</w:t>
            </w:r>
          </w:p>
          <w:p w14:paraId="10DF1E88">
            <w:pPr>
              <w:widowControl/>
              <w:spacing w:line="240" w:lineRule="atLeast"/>
              <w:jc w:val="left"/>
              <w:rPr>
                <w:rFonts w:cs="方正仿宋_GBK" w:asciiTheme="minorEastAsia" w:hAnsiTheme="minorEastAsia" w:eastAsiaTheme="minorEastAsia"/>
                <w:color w:val="auto"/>
                <w:sz w:val="21"/>
                <w:szCs w:val="21"/>
                <w:highlight w:val="none"/>
              </w:rPr>
            </w:pPr>
          </w:p>
        </w:tc>
      </w:tr>
      <w:tr w14:paraId="503DB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9628" w:type="dxa"/>
            <w:gridSpan w:val="9"/>
          </w:tcPr>
          <w:p w14:paraId="21D32FCD">
            <w:pPr>
              <w:spacing w:line="240" w:lineRule="atLeas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备注：</w:t>
            </w:r>
          </w:p>
        </w:tc>
      </w:tr>
    </w:tbl>
    <w:p w14:paraId="36352CC5">
      <w:pPr>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签约时间：           年   月   日      签约地点：</w:t>
      </w:r>
    </w:p>
    <w:p w14:paraId="72650B75">
      <w:pPr>
        <w:spacing w:line="500" w:lineRule="exact"/>
        <w:ind w:firstLine="480" w:firstLineChars="200"/>
        <w:rPr>
          <w:rFonts w:cs="方正仿宋_GBK" w:asciiTheme="minorEastAsia" w:hAnsiTheme="minorEastAsia" w:eastAsiaTheme="minorEastAsia"/>
          <w:color w:val="auto"/>
          <w:sz w:val="24"/>
          <w:highlight w:val="none"/>
        </w:rPr>
      </w:pPr>
    </w:p>
    <w:p w14:paraId="3B1FB601">
      <w:pPr>
        <w:spacing w:line="500" w:lineRule="exact"/>
        <w:ind w:firstLine="480" w:firstLineChars="200"/>
        <w:rPr>
          <w:rFonts w:cs="方正仿宋_GBK" w:asciiTheme="minorEastAsia" w:hAnsiTheme="minorEastAsia" w:eastAsiaTheme="minorEastAsia"/>
          <w:color w:val="auto"/>
          <w:sz w:val="24"/>
          <w:highlight w:val="none"/>
        </w:rPr>
      </w:pPr>
    </w:p>
    <w:p w14:paraId="53D58DA5">
      <w:pPr>
        <w:pStyle w:val="3"/>
        <w:spacing w:line="500" w:lineRule="exact"/>
        <w:ind w:firstLine="480" w:firstLineChars="200"/>
        <w:rPr>
          <w:rFonts w:cs="方正仿宋_GBK" w:asciiTheme="minorEastAsia" w:hAnsiTheme="minorEastAsia" w:eastAsiaTheme="minorEastAsia"/>
          <w:b/>
          <w:color w:val="auto"/>
          <w:sz w:val="24"/>
          <w:highlight w:val="none"/>
        </w:rPr>
      </w:pPr>
      <w:r>
        <w:rPr>
          <w:rFonts w:hint="eastAsia" w:cs="方正仿宋_GBK" w:asciiTheme="minorEastAsia" w:hAnsiTheme="minorEastAsia" w:eastAsiaTheme="minorEastAsia"/>
          <w:color w:val="auto"/>
          <w:sz w:val="24"/>
          <w:highlight w:val="none"/>
        </w:rPr>
        <w:br w:type="page"/>
      </w:r>
      <w:bookmarkEnd w:id="607"/>
      <w:bookmarkEnd w:id="608"/>
      <w:bookmarkStart w:id="609" w:name="_Toc14024"/>
      <w:bookmarkStart w:id="610" w:name="_Toc28656"/>
      <w:bookmarkStart w:id="611" w:name="_Toc31546"/>
      <w:bookmarkStart w:id="612" w:name="_Toc14267"/>
      <w:bookmarkStart w:id="613" w:name="_Toc204345241"/>
      <w:r>
        <w:rPr>
          <w:rFonts w:hint="eastAsia" w:cs="方正仿宋_GBK" w:asciiTheme="minorEastAsia" w:hAnsiTheme="minorEastAsia" w:eastAsiaTheme="minorEastAsia"/>
          <w:b/>
          <w:color w:val="auto"/>
          <w:sz w:val="24"/>
          <w:highlight w:val="none"/>
        </w:rPr>
        <w:t>二、采购廉洁协议格式</w:t>
      </w:r>
      <w:bookmarkEnd w:id="609"/>
      <w:bookmarkEnd w:id="610"/>
      <w:bookmarkEnd w:id="611"/>
      <w:bookmarkEnd w:id="612"/>
      <w:bookmarkEnd w:id="613"/>
    </w:p>
    <w:p w14:paraId="5599CA17">
      <w:pPr>
        <w:snapToGrid w:val="0"/>
        <w:spacing w:line="276" w:lineRule="auto"/>
        <w:ind w:firstLine="643" w:firstLineChars="200"/>
        <w:jc w:val="center"/>
        <w:rPr>
          <w:rFonts w:cs="方正仿宋_GBK" w:asciiTheme="minorEastAsia" w:hAnsiTheme="minorEastAsia" w:eastAsiaTheme="minorEastAsia"/>
          <w:b/>
          <w:bCs/>
          <w:color w:val="auto"/>
          <w:kern w:val="0"/>
          <w:sz w:val="32"/>
          <w:szCs w:val="32"/>
          <w:highlight w:val="none"/>
        </w:rPr>
      </w:pPr>
      <w:r>
        <w:rPr>
          <w:rFonts w:hint="eastAsia" w:cs="方正仿宋_GBK" w:asciiTheme="minorEastAsia" w:hAnsiTheme="minorEastAsia" w:eastAsiaTheme="minorEastAsia"/>
          <w:b/>
          <w:bCs/>
          <w:color w:val="auto"/>
          <w:kern w:val="0"/>
          <w:sz w:val="32"/>
          <w:szCs w:val="32"/>
          <w:highlight w:val="none"/>
        </w:rPr>
        <w:t>重庆工商大学货物服务类采购廉洁协议</w:t>
      </w:r>
    </w:p>
    <w:p w14:paraId="1DDBE9F0">
      <w:pPr>
        <w:spacing w:line="276" w:lineRule="auto"/>
        <w:ind w:firstLine="480" w:firstLineChars="200"/>
        <w:jc w:val="center"/>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（项目名称：）</w:t>
      </w:r>
    </w:p>
    <w:p w14:paraId="52576ADD">
      <w:pPr>
        <w:spacing w:line="276" w:lineRule="auto"/>
        <w:ind w:firstLine="480" w:firstLineChars="200"/>
        <w:jc w:val="center"/>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（采购项目编号：）</w:t>
      </w:r>
    </w:p>
    <w:p w14:paraId="07A830B0">
      <w:pPr>
        <w:spacing w:line="276" w:lineRule="auto"/>
        <w:rPr>
          <w:rFonts w:cs="方正仿宋_GBK" w:asciiTheme="minorEastAsia" w:hAnsiTheme="minorEastAsia" w:eastAsiaTheme="minorEastAsia"/>
          <w:color w:val="auto"/>
          <w:sz w:val="24"/>
          <w:szCs w:val="24"/>
          <w:highlight w:val="none"/>
        </w:rPr>
      </w:pPr>
    </w:p>
    <w:p w14:paraId="58FCD2C6">
      <w:pPr>
        <w:spacing w:line="276" w:lineRule="auto"/>
        <w:rPr>
          <w:rFonts w:cs="方正仿宋_GBK" w:asciiTheme="minorEastAsia" w:hAnsiTheme="minorEastAsia" w:eastAsiaTheme="minorEastAsia"/>
          <w:bCs/>
          <w:color w:val="auto"/>
          <w:sz w:val="21"/>
          <w:szCs w:val="21"/>
          <w:highlight w:val="none"/>
          <w:u w:val="single"/>
        </w:rPr>
      </w:pPr>
      <w:r>
        <w:rPr>
          <w:rFonts w:hint="eastAsia" w:cs="方正仿宋_GBK" w:asciiTheme="minorEastAsia" w:hAnsiTheme="minorEastAsia" w:eastAsiaTheme="minorEastAsia"/>
          <w:color w:val="auto"/>
          <w:sz w:val="24"/>
          <w:szCs w:val="24"/>
          <w:highlight w:val="none"/>
        </w:rPr>
        <w:t>需方：</w:t>
      </w:r>
      <w:r>
        <w:rPr>
          <w:rFonts w:hint="eastAsia" w:cs="方正仿宋_GBK" w:asciiTheme="minorEastAsia" w:hAnsiTheme="minorEastAsia" w:eastAsiaTheme="minorEastAsia"/>
          <w:color w:val="auto"/>
          <w:sz w:val="24"/>
          <w:szCs w:val="24"/>
          <w:highlight w:val="none"/>
          <w:u w:val="single"/>
        </w:rPr>
        <w:t>重庆工商大学</w:t>
      </w:r>
      <w:r>
        <w:rPr>
          <w:rFonts w:hint="eastAsia" w:cs="方正仿宋_GBK" w:asciiTheme="minorEastAsia" w:hAnsiTheme="minorEastAsia" w:eastAsiaTheme="minorEastAsia"/>
          <w:color w:val="auto"/>
          <w:sz w:val="24"/>
          <w:szCs w:val="24"/>
          <w:highlight w:val="none"/>
        </w:rPr>
        <w:t xml:space="preserve">                            供方：</w:t>
      </w:r>
      <w:r>
        <w:rPr>
          <w:rFonts w:hint="eastAsia" w:cs="方正仿宋_GBK" w:asciiTheme="minorEastAsia" w:hAnsiTheme="minorEastAsia" w:eastAsiaTheme="minorEastAsia"/>
          <w:color w:val="auto"/>
          <w:sz w:val="24"/>
          <w:szCs w:val="24"/>
          <w:highlight w:val="none"/>
          <w:u w:val="single"/>
        </w:rPr>
        <w:t xml:space="preserve">               </w:t>
      </w:r>
    </w:p>
    <w:p w14:paraId="54FCC240">
      <w:pPr>
        <w:spacing w:line="276" w:lineRule="auto"/>
        <w:ind w:firstLine="480" w:firstLineChars="200"/>
        <w:rPr>
          <w:rFonts w:cs="方正仿宋_GBK" w:asciiTheme="minorEastAsia" w:hAnsiTheme="minorEastAsia" w:eastAsiaTheme="minorEastAsia"/>
          <w:color w:val="auto"/>
          <w:sz w:val="24"/>
          <w:szCs w:val="24"/>
          <w:highlight w:val="none"/>
        </w:rPr>
      </w:pPr>
    </w:p>
    <w:p w14:paraId="787435E8">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14:paraId="05DE672D">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（一）供、需双方应当自觉遵守国家有关廉政建设的法律法规，杜绝商业贿赂和不正当竞争。</w:t>
      </w:r>
    </w:p>
    <w:p w14:paraId="37814494">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49A6FFDA">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三）需方采购部门应严格按照政府采购相关法律法规组织开评标，加强评审过程的规范性管理，客观公正对待评审结果，按照依法推荐的中标（成交）候选供应商顺序确定中标（成交）供应商。供需双方应依法合规签订合同，并严控合同变更，不得对招标（采购）文件和供方的投标（响应）文件作实质性修改，不得私下订立背离合同实质性内容的协议。</w:t>
      </w:r>
    </w:p>
    <w:p w14:paraId="036BDDA1">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（四）需方需求部门应加强采购项目的后续履约管理，做好到货验收，积极为供方进场履约提供相应保障，积极配合供方进行安装调试。</w:t>
      </w:r>
      <w:r>
        <w:rPr>
          <w:rFonts w:hint="eastAsia" w:cs="方正仿宋_GBK" w:asciiTheme="minorEastAsia" w:hAnsiTheme="minorEastAsia" w:eastAsiaTheme="minorEastAsia"/>
          <w:color w:val="auto"/>
          <w:sz w:val="24"/>
          <w:szCs w:val="24"/>
          <w:highlight w:val="none"/>
          <w:lang w:val="zh-TW"/>
        </w:rPr>
        <w:t>若到货产品品牌、型号、质量、样式及规格参数等与合同、采购文件的规定不符的，供方不得进行设备安装。</w:t>
      </w:r>
      <w:r>
        <w:rPr>
          <w:rFonts w:hint="eastAsia" w:cs="方正仿宋_GBK" w:asciiTheme="minorEastAsia" w:hAnsiTheme="minorEastAsia" w:eastAsiaTheme="minorEastAsia"/>
          <w:color w:val="auto"/>
          <w:sz w:val="24"/>
          <w:szCs w:val="24"/>
          <w:highlight w:val="none"/>
        </w:rPr>
        <w:t>需方资产管理部门或考核牵头部门应严格按照合同与招标（采购）文件内容进行验收或考核，双方不得出现未达到验收或考核条件弄虚作假以致验收考核虚假通过等情形。</w:t>
      </w:r>
    </w:p>
    <w:p w14:paraId="07141911">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55C17827">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（六）供方不得邀请需方相关人员及其近亲属参加宴请、健身和娱乐活动，不得赠送回扣、礼金、有价证券、贵重物品和好处费、感谢费等，不得代为报销应由需方或个人支付的费用。</w:t>
      </w:r>
    </w:p>
    <w:p w14:paraId="395D7EB5">
      <w:pPr>
        <w:spacing w:line="276" w:lineRule="auto"/>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14:paraId="1A3388FE">
      <w:pPr>
        <w:spacing w:line="276" w:lineRule="auto"/>
        <w:ind w:firstLine="555"/>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（八）供、需双方均应分别加强对相关人员廉洁教育，强化人员法纪意识，杜绝行贿、受贿、索贿（变相索贿）等违法乱纪行为发生，坚守纪律红线、法律准线、道德底线、责任钢线。</w:t>
      </w:r>
    </w:p>
    <w:p w14:paraId="1B3678AA">
      <w:pPr>
        <w:spacing w:line="276" w:lineRule="auto"/>
        <w:ind w:firstLine="555"/>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（九）需方相关人员包含但不限于需方需求部门、归口部门、考核牵头部门、采购部门、资产管理部门等相关人员。</w:t>
      </w:r>
    </w:p>
    <w:p w14:paraId="1FAF8B6D">
      <w:pPr>
        <w:spacing w:line="276" w:lineRule="auto"/>
        <w:ind w:firstLine="555"/>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（十）本协议作为采购合同的组成部分，具有同等法律效力。此协议一式叁份，需方贰份，供方壹份，自双方签字、盖章后生效。</w:t>
      </w:r>
    </w:p>
    <w:p w14:paraId="1D9A7E56">
      <w:pPr>
        <w:tabs>
          <w:tab w:val="left" w:pos="5387"/>
        </w:tabs>
        <w:spacing w:line="276" w:lineRule="auto"/>
        <w:rPr>
          <w:rFonts w:cs="方正仿宋_GBK" w:asciiTheme="minorEastAsia" w:hAnsiTheme="minorEastAsia" w:eastAsiaTheme="minorEastAsia"/>
          <w:color w:val="auto"/>
          <w:sz w:val="24"/>
          <w:szCs w:val="24"/>
          <w:highlight w:val="none"/>
        </w:rPr>
      </w:pPr>
    </w:p>
    <w:tbl>
      <w:tblPr>
        <w:tblStyle w:val="16"/>
        <w:tblW w:w="9843" w:type="dxa"/>
        <w:tblInd w:w="0" w:type="dxa"/>
        <w:tblLayout w:type="autofit"/>
        <w:tblCellMar>
          <w:top w:w="0" w:type="dxa"/>
          <w:left w:w="108" w:type="dxa"/>
          <w:bottom w:w="0" w:type="dxa"/>
          <w:right w:w="108" w:type="dxa"/>
        </w:tblCellMar>
      </w:tblPr>
      <w:tblGrid>
        <w:gridCol w:w="5353"/>
        <w:gridCol w:w="4490"/>
      </w:tblGrid>
      <w:tr w14:paraId="379A5DA4">
        <w:tblPrEx>
          <w:tblCellMar>
            <w:top w:w="0" w:type="dxa"/>
            <w:left w:w="108" w:type="dxa"/>
            <w:bottom w:w="0" w:type="dxa"/>
            <w:right w:w="108" w:type="dxa"/>
          </w:tblCellMar>
        </w:tblPrEx>
        <w:trPr>
          <w:trHeight w:val="975" w:hRule="atLeast"/>
        </w:trPr>
        <w:tc>
          <w:tcPr>
            <w:tcW w:w="5353" w:type="dxa"/>
          </w:tcPr>
          <w:p w14:paraId="74F2E95E">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需方：重庆工商大学（盖章）</w:t>
            </w:r>
          </w:p>
          <w:p w14:paraId="40EEA2F5">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p>
        </w:tc>
        <w:tc>
          <w:tcPr>
            <w:tcW w:w="4490" w:type="dxa"/>
          </w:tcPr>
          <w:p w14:paraId="10B4B76F">
            <w:pPr>
              <w:tabs>
                <w:tab w:val="left" w:pos="5387"/>
              </w:tabs>
              <w:spacing w:line="276" w:lineRule="auto"/>
              <w:ind w:left="413" w:hanging="412" w:hangingChars="172"/>
              <w:rPr>
                <w:rFonts w:cs="方正仿宋_GBK" w:asciiTheme="minorEastAsia" w:hAnsiTheme="minorEastAsia" w:eastAsiaTheme="minorEastAsia"/>
                <w:b/>
                <w:color w:val="auto"/>
                <w:sz w:val="24"/>
                <w:szCs w:val="24"/>
                <w:highlight w:val="none"/>
              </w:rPr>
            </w:pPr>
            <w:r>
              <w:rPr>
                <w:rFonts w:hint="eastAsia" w:cs="方正仿宋_GBK" w:asciiTheme="minorEastAsia" w:hAnsiTheme="minorEastAsia" w:eastAsiaTheme="minorEastAsia"/>
                <w:color w:val="auto"/>
                <w:sz w:val="24"/>
                <w:szCs w:val="24"/>
                <w:highlight w:val="none"/>
              </w:rPr>
              <w:t>供方：（盖章）</w:t>
            </w:r>
          </w:p>
        </w:tc>
      </w:tr>
      <w:tr w14:paraId="56277480">
        <w:tblPrEx>
          <w:tblCellMar>
            <w:top w:w="0" w:type="dxa"/>
            <w:left w:w="108" w:type="dxa"/>
            <w:bottom w:w="0" w:type="dxa"/>
            <w:right w:w="108" w:type="dxa"/>
          </w:tblCellMar>
        </w:tblPrEx>
        <w:trPr>
          <w:trHeight w:val="960" w:hRule="atLeast"/>
        </w:trPr>
        <w:tc>
          <w:tcPr>
            <w:tcW w:w="5353" w:type="dxa"/>
          </w:tcPr>
          <w:p w14:paraId="6A68415F">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采购与招投标管理中心（签字）：</w:t>
            </w:r>
          </w:p>
          <w:p w14:paraId="41D90CB2">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p>
        </w:tc>
        <w:tc>
          <w:tcPr>
            <w:tcW w:w="4490" w:type="dxa"/>
          </w:tcPr>
          <w:p w14:paraId="49B4A2A3">
            <w:pPr>
              <w:tabs>
                <w:tab w:val="left" w:pos="5387"/>
              </w:tabs>
              <w:spacing w:line="276" w:lineRule="auto"/>
              <w:ind w:left="413" w:hanging="412" w:hangingChars="172"/>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法定代表人（签字）：</w:t>
            </w:r>
          </w:p>
        </w:tc>
      </w:tr>
    </w:tbl>
    <w:p w14:paraId="569D2D27">
      <w:pPr>
        <w:spacing w:line="500" w:lineRule="exact"/>
        <w:ind w:firstLine="480" w:firstLineChars="200"/>
        <w:rPr>
          <w:rFonts w:cs="方正仿宋_GBK" w:asciiTheme="minorEastAsia" w:hAnsiTheme="minorEastAsia" w:eastAsiaTheme="minorEastAsia"/>
          <w:color w:val="auto"/>
          <w:sz w:val="24"/>
          <w:highlight w:val="none"/>
        </w:rPr>
      </w:pPr>
    </w:p>
    <w:p w14:paraId="7FA739A4">
      <w:pPr>
        <w:pStyle w:val="3"/>
        <w:spacing w:line="500" w:lineRule="exact"/>
        <w:ind w:firstLine="480" w:firstLineChars="200"/>
        <w:rPr>
          <w:rFonts w:cs="方正仿宋_GBK" w:asciiTheme="minorEastAsia" w:hAnsiTheme="minorEastAsia" w:eastAsiaTheme="minorEastAsia"/>
          <w:b/>
          <w:color w:val="auto"/>
          <w:sz w:val="24"/>
          <w:highlight w:val="none"/>
        </w:rPr>
      </w:pPr>
      <w:r>
        <w:rPr>
          <w:rFonts w:hint="eastAsia" w:cs="方正仿宋_GBK" w:asciiTheme="minorEastAsia" w:hAnsiTheme="minorEastAsia" w:eastAsiaTheme="minorEastAsia"/>
          <w:color w:val="auto"/>
          <w:sz w:val="24"/>
          <w:highlight w:val="none"/>
        </w:rPr>
        <w:br w:type="page"/>
      </w:r>
      <w:bookmarkStart w:id="614" w:name="_Toc204345242"/>
      <w:bookmarkStart w:id="615" w:name="_Toc25546"/>
      <w:r>
        <w:rPr>
          <w:rFonts w:hint="eastAsia" w:cs="方正仿宋_GBK" w:asciiTheme="minorEastAsia" w:hAnsiTheme="minorEastAsia" w:eastAsiaTheme="minorEastAsia"/>
          <w:b/>
          <w:color w:val="auto"/>
          <w:sz w:val="24"/>
          <w:highlight w:val="none"/>
        </w:rPr>
        <w:t>三、履约保函格式</w:t>
      </w:r>
      <w:bookmarkEnd w:id="614"/>
      <w:bookmarkEnd w:id="615"/>
    </w:p>
    <w:p w14:paraId="587A0A87">
      <w:pPr>
        <w:spacing w:line="276" w:lineRule="auto"/>
        <w:jc w:val="center"/>
        <w:rPr>
          <w:rFonts w:cs="方正仿宋_GBK" w:asciiTheme="minorEastAsia" w:hAnsiTheme="minorEastAsia" w:eastAsiaTheme="minorEastAsia"/>
          <w:b/>
          <w:bCs/>
          <w:color w:val="auto"/>
          <w:sz w:val="32"/>
          <w:szCs w:val="32"/>
          <w:highlight w:val="none"/>
        </w:rPr>
      </w:pPr>
      <w:r>
        <w:rPr>
          <w:rFonts w:hint="eastAsia" w:cs="方正仿宋_GBK" w:asciiTheme="minorEastAsia" w:hAnsiTheme="minorEastAsia" w:eastAsiaTheme="minorEastAsia"/>
          <w:b/>
          <w:bCs/>
          <w:color w:val="auto"/>
          <w:sz w:val="32"/>
          <w:szCs w:val="32"/>
          <w:highlight w:val="none"/>
        </w:rPr>
        <w:t>履约保函</w:t>
      </w:r>
    </w:p>
    <w:p w14:paraId="28A4F834">
      <w:pPr>
        <w:pStyle w:val="6"/>
        <w:spacing w:line="276" w:lineRule="auto"/>
        <w:ind w:left="3360" w:right="960"/>
        <w:jc w:val="righ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保函编号：</w:t>
      </w:r>
    </w:p>
    <w:p w14:paraId="6BCEDA7B">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致：重庆工商大学（地址：重庆市南岸区学府大道19号）</w:t>
      </w:r>
    </w:p>
    <w:p w14:paraId="186AF1A0">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贵方就                 项目（以下简称“招标项目”）进行了招标，经评选              （以下简称“中标人”）中标，并与贵方拟签订编号为            的《重庆市政府采购合同》。贵方拟在上述合同中要求中标人向贵方提交下述金额的履约保函，作为中标人履行合同的保证金。（以下简称“我行”）同意为中标人出具此履约保函。</w:t>
      </w:r>
    </w:p>
    <w:p w14:paraId="76F38D80">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我行担保在收到贵方签署并加盖公章的声明中标人未履行合同项下义务的书面索赔通知纸质原件，向贵方支付累计总额不超过¥       元，大写人民币              元的款项，不要求贵方出具证明或说明背景、理由。</w:t>
      </w:r>
    </w:p>
    <w:p w14:paraId="08C5990F">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本保函有效期：自编号为                的《重庆工商大学采购合同》签订之日起xx个月。</w:t>
      </w:r>
    </w:p>
    <w:p w14:paraId="259BAEA1">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拟签订的《重庆市政府采购合同》不得对招标文件和中标人投标文件作实质性修改，否则我行不承担保函责任。贵方和中标人按合同条款变更合同时，我行所承担的担保规定的义务不变。</w:t>
      </w:r>
    </w:p>
    <w:p w14:paraId="217A3130">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本保函到期后，请将保函正本退回我行注销，但无论正本是否退回，本保函均告失效。</w:t>
      </w:r>
    </w:p>
    <w:p w14:paraId="78ED36D3">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任何书面索赔通知纸质原件必须在保函有效期内按照下述地址送达我行，上述书面索赔通知需经贵方开户行核实印鉴。</w:t>
      </w:r>
    </w:p>
    <w:p w14:paraId="2614F59A">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未经我行书面同意，本保函不可转让，我行对除贵方之外的任何第三方不承担任何责任。</w:t>
      </w:r>
    </w:p>
    <w:p w14:paraId="2325EE6C">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本保函适用中华人民共和国大陆地区法律。有关保函的一切争议应由贵方住所地人民法院管辖。</w:t>
      </w:r>
    </w:p>
    <w:p w14:paraId="55461468">
      <w:pPr>
        <w:spacing w:line="276" w:lineRule="auto"/>
        <w:ind w:firstLine="480" w:firstLineChars="200"/>
        <w:rPr>
          <w:rFonts w:cs="方正仿宋_GBK" w:asciiTheme="minorEastAsia" w:hAnsiTheme="minorEastAsia" w:eastAsiaTheme="minorEastAsia"/>
          <w:color w:val="auto"/>
          <w:sz w:val="24"/>
          <w:szCs w:val="24"/>
          <w:highlight w:val="none"/>
        </w:rPr>
      </w:pPr>
    </w:p>
    <w:p w14:paraId="6AD84305">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保函开立单位（公章）：</w:t>
      </w:r>
    </w:p>
    <w:p w14:paraId="53D48234">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法定代表人（签章）：</w:t>
      </w:r>
    </w:p>
    <w:p w14:paraId="6CAA879C">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单位地址：</w:t>
      </w:r>
    </w:p>
    <w:p w14:paraId="6DB0E821">
      <w:pPr>
        <w:spacing w:line="276" w:lineRule="auto"/>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 xml:space="preserve">电话：           传真：        </w:t>
      </w:r>
    </w:p>
    <w:p w14:paraId="1129957E">
      <w:pPr>
        <w:spacing w:line="276" w:lineRule="auto"/>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szCs w:val="24"/>
          <w:highlight w:val="none"/>
        </w:rPr>
        <w:t>日期：</w:t>
      </w:r>
    </w:p>
    <w:p w14:paraId="1F1BD760">
      <w:pPr>
        <w:pStyle w:val="2"/>
        <w:spacing w:before="0" w:beforeLines="0" w:after="0" w:afterLines="0" w:line="360" w:lineRule="auto"/>
        <w:rPr>
          <w:rFonts w:cs="方正仿宋_GBK" w:asciiTheme="minorEastAsia" w:hAnsiTheme="minorEastAsia" w:eastAsiaTheme="minorEastAsia"/>
          <w:b/>
          <w:color w:val="auto"/>
          <w:highlight w:val="none"/>
        </w:rPr>
      </w:pPr>
      <w:r>
        <w:rPr>
          <w:rFonts w:hint="eastAsia" w:cs="方正仿宋_GBK" w:asciiTheme="minorEastAsia" w:hAnsiTheme="minorEastAsia" w:eastAsiaTheme="minorEastAsia"/>
          <w:color w:val="auto"/>
          <w:sz w:val="24"/>
          <w:highlight w:val="none"/>
        </w:rPr>
        <w:br w:type="page"/>
      </w:r>
      <w:bookmarkStart w:id="616" w:name="_Toc204345243"/>
      <w:bookmarkStart w:id="617" w:name="_Toc25727"/>
      <w:bookmarkStart w:id="618" w:name="_Toc6992"/>
      <w:bookmarkStart w:id="619" w:name="_Toc16203"/>
      <w:bookmarkStart w:id="620" w:name="_Toc8114"/>
      <w:bookmarkStart w:id="621" w:name="_Toc31517"/>
      <w:bookmarkStart w:id="622" w:name="_Toc8132"/>
      <w:bookmarkStart w:id="623" w:name="_Toc9843"/>
      <w:bookmarkStart w:id="624" w:name="_Toc16295"/>
      <w:bookmarkStart w:id="625" w:name="_Toc75793539"/>
      <w:bookmarkStart w:id="626" w:name="_Toc12202"/>
      <w:bookmarkStart w:id="627" w:name="_Toc8818"/>
      <w:bookmarkStart w:id="628" w:name="_Toc14325"/>
      <w:bookmarkStart w:id="629" w:name="_Toc19519"/>
      <w:bookmarkStart w:id="630" w:name="_Toc12863"/>
      <w:bookmarkStart w:id="631" w:name="_Toc22748"/>
      <w:bookmarkStart w:id="632" w:name="_Toc14019"/>
      <w:r>
        <w:rPr>
          <w:rFonts w:hint="eastAsia" w:cs="方正仿宋_GBK" w:asciiTheme="minorEastAsia" w:hAnsiTheme="minorEastAsia" w:eastAsiaTheme="minorEastAsia"/>
          <w:b/>
          <w:color w:val="auto"/>
          <w:highlight w:val="none"/>
        </w:rPr>
        <w:t>第七篇  投标文件格式</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33C58272">
      <w:pPr>
        <w:snapToGrid w:val="0"/>
        <w:spacing w:line="400" w:lineRule="exact"/>
        <w:ind w:firstLine="482" w:firstLineChars="200"/>
        <w:rPr>
          <w:rFonts w:cs="方正仿宋_GBK" w:asciiTheme="minorEastAsia" w:hAnsiTheme="minorEastAsia" w:eastAsiaTheme="minorEastAsia"/>
          <w:b/>
          <w:color w:val="auto"/>
          <w:sz w:val="24"/>
          <w:szCs w:val="24"/>
          <w:highlight w:val="none"/>
        </w:rPr>
      </w:pPr>
      <w:r>
        <w:rPr>
          <w:rFonts w:hint="eastAsia" w:cs="方正仿宋_GBK" w:asciiTheme="minorEastAsia" w:hAnsiTheme="minorEastAsia" w:eastAsiaTheme="minorEastAsia"/>
          <w:b/>
          <w:color w:val="auto"/>
          <w:sz w:val="24"/>
          <w:szCs w:val="24"/>
          <w:highlight w:val="none"/>
        </w:rPr>
        <w:t>一、经济文件</w:t>
      </w:r>
    </w:p>
    <w:p w14:paraId="1CF04B53">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（一）开标一览表</w:t>
      </w:r>
    </w:p>
    <w:p w14:paraId="40CF900D">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（二）分项报价明细表</w:t>
      </w:r>
    </w:p>
    <w:p w14:paraId="316C1167">
      <w:pPr>
        <w:snapToGrid w:val="0"/>
        <w:spacing w:line="400" w:lineRule="exact"/>
        <w:ind w:firstLine="482" w:firstLineChars="200"/>
        <w:rPr>
          <w:rFonts w:cs="方正仿宋_GBK" w:asciiTheme="minorEastAsia" w:hAnsiTheme="minorEastAsia" w:eastAsiaTheme="minorEastAsia"/>
          <w:b/>
          <w:color w:val="auto"/>
          <w:sz w:val="24"/>
          <w:szCs w:val="24"/>
          <w:highlight w:val="none"/>
        </w:rPr>
      </w:pPr>
      <w:r>
        <w:rPr>
          <w:rFonts w:hint="eastAsia" w:cs="方正仿宋_GBK" w:asciiTheme="minorEastAsia" w:hAnsiTheme="minorEastAsia" w:eastAsiaTheme="minorEastAsia"/>
          <w:b/>
          <w:color w:val="auto"/>
          <w:sz w:val="24"/>
          <w:szCs w:val="24"/>
          <w:highlight w:val="none"/>
        </w:rPr>
        <w:t>二、技术（质量）文件</w:t>
      </w:r>
    </w:p>
    <w:p w14:paraId="0E851F9C">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w:t>
      </w:r>
      <w:r>
        <w:rPr>
          <w:rFonts w:hint="eastAsia" w:cs="方正仿宋_GBK" w:asciiTheme="minorEastAsia" w:hAnsiTheme="minorEastAsia" w:eastAsiaTheme="minorEastAsia"/>
          <w:color w:val="auto"/>
          <w:sz w:val="24"/>
          <w:szCs w:val="28"/>
          <w:highlight w:val="none"/>
        </w:rPr>
        <w:t>技术（质量）条款差异表</w:t>
      </w:r>
    </w:p>
    <w:p w14:paraId="198DAF7E">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w:t>
      </w:r>
      <w:r>
        <w:rPr>
          <w:rFonts w:hint="eastAsia" w:cs="方正仿宋_GBK" w:asciiTheme="minorEastAsia" w:hAnsiTheme="minorEastAsia" w:eastAsiaTheme="minorEastAsia"/>
          <w:color w:val="auto"/>
          <w:sz w:val="24"/>
          <w:szCs w:val="28"/>
          <w:highlight w:val="none"/>
        </w:rPr>
        <w:t>其他技术（质量）资料</w:t>
      </w:r>
    </w:p>
    <w:p w14:paraId="18C203B2">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14:paraId="59E6996F">
      <w:pPr>
        <w:snapToGrid w:val="0"/>
        <w:spacing w:line="400" w:lineRule="exact"/>
        <w:ind w:firstLine="482" w:firstLineChars="200"/>
        <w:rPr>
          <w:rFonts w:cs="方正仿宋_GBK" w:asciiTheme="minorEastAsia" w:hAnsiTheme="minorEastAsia" w:eastAsiaTheme="minorEastAsia"/>
          <w:b/>
          <w:color w:val="auto"/>
          <w:sz w:val="24"/>
          <w:szCs w:val="24"/>
          <w:highlight w:val="none"/>
        </w:rPr>
      </w:pPr>
      <w:r>
        <w:rPr>
          <w:rFonts w:hint="eastAsia" w:cs="方正仿宋_GBK" w:asciiTheme="minorEastAsia" w:hAnsiTheme="minorEastAsia" w:eastAsiaTheme="minorEastAsia"/>
          <w:b/>
          <w:color w:val="auto"/>
          <w:sz w:val="24"/>
          <w:szCs w:val="24"/>
          <w:highlight w:val="none"/>
        </w:rPr>
        <w:t>三、商务文件</w:t>
      </w:r>
    </w:p>
    <w:p w14:paraId="4D95345A">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（一）投标函（格式）</w:t>
      </w:r>
    </w:p>
    <w:p w14:paraId="7FE994EE">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（二）商务条款差异表</w:t>
      </w:r>
    </w:p>
    <w:p w14:paraId="4D5EC813">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（三）其他商务资料</w:t>
      </w:r>
    </w:p>
    <w:p w14:paraId="1316E2C7">
      <w:pPr>
        <w:tabs>
          <w:tab w:val="left" w:pos="1764"/>
        </w:tabs>
        <w:snapToGrid w:val="0"/>
        <w:spacing w:line="400" w:lineRule="exact"/>
        <w:ind w:firstLine="482" w:firstLineChars="200"/>
        <w:rPr>
          <w:rFonts w:cs="方正仿宋_GBK" w:asciiTheme="minorEastAsia" w:hAnsiTheme="minorEastAsia" w:eastAsiaTheme="minorEastAsia"/>
          <w:b/>
          <w:color w:val="auto"/>
          <w:sz w:val="24"/>
          <w:szCs w:val="24"/>
          <w:highlight w:val="none"/>
        </w:rPr>
      </w:pPr>
      <w:r>
        <w:rPr>
          <w:rFonts w:hint="eastAsia" w:cs="方正仿宋_GBK" w:asciiTheme="minorEastAsia" w:hAnsiTheme="minorEastAsia" w:eastAsiaTheme="minorEastAsia"/>
          <w:b/>
          <w:color w:val="auto"/>
          <w:sz w:val="24"/>
          <w:szCs w:val="24"/>
          <w:highlight w:val="none"/>
        </w:rPr>
        <w:t>四、其他</w:t>
      </w:r>
    </w:p>
    <w:p w14:paraId="71C3B8D6">
      <w:pPr>
        <w:tabs>
          <w:tab w:val="left" w:pos="6300"/>
        </w:tabs>
        <w:snapToGrid w:val="0"/>
        <w:spacing w:line="400" w:lineRule="exact"/>
        <w:ind w:firstLine="480" w:firstLineChars="200"/>
        <w:jc w:val="left"/>
        <w:rPr>
          <w:rFonts w:ascii="宋体" w:hAnsi="宋体" w:cs="方正仿宋_GBK"/>
          <w:color w:val="auto"/>
          <w:sz w:val="24"/>
          <w:szCs w:val="24"/>
          <w:highlight w:val="none"/>
        </w:rPr>
      </w:pPr>
      <w:r>
        <w:rPr>
          <w:rFonts w:hint="eastAsia" w:ascii="宋体" w:hAnsi="宋体" w:cs="方正仿宋_GBK"/>
          <w:color w:val="auto"/>
          <w:sz w:val="24"/>
          <w:szCs w:val="24"/>
          <w:highlight w:val="none"/>
        </w:rPr>
        <w:t>（一）中小企业声明函、监狱企业证明文件、残疾人福利性单位声明函</w:t>
      </w:r>
    </w:p>
    <w:p w14:paraId="3CF98529">
      <w:pPr>
        <w:tabs>
          <w:tab w:val="left" w:pos="6300"/>
        </w:tabs>
        <w:snapToGrid w:val="0"/>
        <w:spacing w:line="400" w:lineRule="exact"/>
        <w:ind w:firstLine="480" w:firstLineChars="200"/>
        <w:jc w:val="left"/>
        <w:rPr>
          <w:rFonts w:ascii="宋体" w:hAnsi="宋体" w:cs="方正仿宋_GBK"/>
          <w:color w:val="auto"/>
          <w:sz w:val="24"/>
          <w:szCs w:val="24"/>
          <w:highlight w:val="none"/>
        </w:rPr>
      </w:pPr>
      <w:r>
        <w:rPr>
          <w:rFonts w:hint="eastAsia" w:ascii="宋体" w:hAnsi="宋体" w:cs="方正仿宋_GBK"/>
          <w:color w:val="auto"/>
          <w:sz w:val="24"/>
          <w:szCs w:val="24"/>
          <w:highlight w:val="none"/>
        </w:rPr>
        <w:t>（二）《关于符合本国产品标准的声明函》或财政部会同有关部门规定的有关证明文件</w:t>
      </w:r>
    </w:p>
    <w:p w14:paraId="2B98668D">
      <w:pPr>
        <w:tabs>
          <w:tab w:val="left" w:pos="6300"/>
        </w:tabs>
        <w:snapToGrid w:val="0"/>
        <w:spacing w:line="400" w:lineRule="exact"/>
        <w:ind w:firstLine="480" w:firstLineChars="200"/>
        <w:jc w:val="left"/>
        <w:rPr>
          <w:rFonts w:ascii="宋体" w:hAnsi="宋体" w:cs="方正仿宋_GBK"/>
          <w:color w:val="auto"/>
          <w:sz w:val="24"/>
          <w:szCs w:val="24"/>
          <w:highlight w:val="none"/>
        </w:rPr>
      </w:pPr>
      <w:r>
        <w:rPr>
          <w:rFonts w:hint="eastAsia" w:ascii="宋体" w:hAnsi="宋体" w:cs="方正仿宋_GBK"/>
          <w:color w:val="auto"/>
          <w:sz w:val="24"/>
          <w:szCs w:val="24"/>
          <w:highlight w:val="none"/>
        </w:rPr>
        <w:t>（三）关于产品成本之和的承诺函（如有）</w:t>
      </w:r>
    </w:p>
    <w:p w14:paraId="4C8655D3">
      <w:pPr>
        <w:snapToGrid w:val="0"/>
        <w:spacing w:line="400" w:lineRule="exact"/>
        <w:ind w:firstLine="480" w:firstLineChars="200"/>
        <w:rPr>
          <w:rFonts w:ascii="宋体" w:hAnsi="宋体" w:cs="方正仿宋_GBK"/>
          <w:b/>
          <w:color w:val="auto"/>
          <w:sz w:val="24"/>
          <w:szCs w:val="24"/>
          <w:highlight w:val="none"/>
        </w:rPr>
      </w:pPr>
      <w:r>
        <w:rPr>
          <w:rFonts w:hint="eastAsia" w:ascii="宋体" w:hAnsi="宋体" w:cs="方正仿宋_GBK"/>
          <w:color w:val="auto"/>
          <w:sz w:val="24"/>
          <w:szCs w:val="24"/>
          <w:highlight w:val="none"/>
        </w:rPr>
        <w:t>（四）其他与项目有关的资料（自附）</w:t>
      </w:r>
    </w:p>
    <w:p w14:paraId="0736D844">
      <w:pPr>
        <w:snapToGrid w:val="0"/>
        <w:spacing w:line="400" w:lineRule="exact"/>
        <w:ind w:firstLine="482" w:firstLineChars="200"/>
        <w:rPr>
          <w:rFonts w:cs="方正仿宋_GBK" w:asciiTheme="minorEastAsia" w:hAnsiTheme="minorEastAsia" w:eastAsiaTheme="minorEastAsia"/>
          <w:b/>
          <w:color w:val="auto"/>
          <w:sz w:val="24"/>
          <w:szCs w:val="24"/>
          <w:highlight w:val="none"/>
        </w:rPr>
      </w:pPr>
      <w:r>
        <w:rPr>
          <w:rFonts w:hint="eastAsia" w:cs="方正仿宋_GBK" w:asciiTheme="minorEastAsia" w:hAnsiTheme="minorEastAsia" w:eastAsiaTheme="minorEastAsia"/>
          <w:b/>
          <w:color w:val="auto"/>
          <w:sz w:val="24"/>
          <w:szCs w:val="24"/>
          <w:highlight w:val="none"/>
        </w:rPr>
        <w:t>五、资格文件</w:t>
      </w:r>
    </w:p>
    <w:p w14:paraId="5CC20E95">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（一）法人营业执照（副本）或事业单位法人证书（副本）或个体工商户营业执照或有效的自然人身份证明或社会团体法人登记证书复印件</w:t>
      </w:r>
    </w:p>
    <w:p w14:paraId="4E156CDB">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（二）法定代表人身份证明书（格式）</w:t>
      </w:r>
    </w:p>
    <w:p w14:paraId="7720255A">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（三）法定代表人授权委托书（格式）</w:t>
      </w:r>
    </w:p>
    <w:p w14:paraId="650BE522">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（四）基本资格条件承诺函（格式）</w:t>
      </w:r>
    </w:p>
    <w:p w14:paraId="3B88D0A2">
      <w:pPr>
        <w:snapToGrid w:val="0"/>
        <w:spacing w:line="400" w:lineRule="exact"/>
        <w:ind w:firstLine="480" w:firstLineChars="20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（五）特定资格条件证书或证明文件</w:t>
      </w:r>
    </w:p>
    <w:p w14:paraId="2590E636">
      <w:pPr>
        <w:snapToGrid w:val="0"/>
        <w:spacing w:line="400" w:lineRule="exact"/>
        <w:ind w:firstLine="480" w:firstLineChars="200"/>
        <w:rPr>
          <w:rFonts w:cs="方正仿宋_GBK" w:asciiTheme="minorEastAsia" w:hAnsiTheme="minorEastAsia" w:eastAsiaTheme="minorEastAsia"/>
          <w:color w:val="auto"/>
          <w:sz w:val="24"/>
          <w:szCs w:val="24"/>
          <w:highlight w:val="none"/>
        </w:rPr>
      </w:pPr>
    </w:p>
    <w:p w14:paraId="7830A878">
      <w:pPr>
        <w:pStyle w:val="3"/>
        <w:pageBreakBefore/>
        <w:spacing w:line="500" w:lineRule="exact"/>
        <w:ind w:firstLine="562" w:firstLineChars="200"/>
        <w:rPr>
          <w:rFonts w:cs="方正仿宋_GBK" w:asciiTheme="minorEastAsia" w:hAnsiTheme="minorEastAsia" w:eastAsiaTheme="minorEastAsia"/>
          <w:b/>
          <w:color w:val="auto"/>
          <w:szCs w:val="28"/>
          <w:highlight w:val="none"/>
        </w:rPr>
      </w:pPr>
      <w:bookmarkStart w:id="633" w:name="_Toc23361"/>
      <w:bookmarkStart w:id="634" w:name="_Toc27943"/>
      <w:bookmarkStart w:id="635" w:name="_Toc609"/>
      <w:bookmarkStart w:id="636" w:name="_Toc21561"/>
      <w:bookmarkStart w:id="637" w:name="_Toc14552"/>
      <w:bookmarkStart w:id="638" w:name="_Toc429584884"/>
      <w:bookmarkStart w:id="639" w:name="_Toc18349"/>
      <w:bookmarkStart w:id="640" w:name="_Toc29821"/>
      <w:bookmarkStart w:id="641" w:name="_Toc10124"/>
      <w:bookmarkStart w:id="642" w:name="_Toc75793540"/>
      <w:bookmarkStart w:id="643" w:name="_Toc27612"/>
      <w:bookmarkStart w:id="644" w:name="_Toc25659"/>
      <w:bookmarkStart w:id="645" w:name="_Toc13547"/>
      <w:bookmarkStart w:id="646" w:name="_Toc15893"/>
      <w:bookmarkStart w:id="647" w:name="_Toc14568"/>
      <w:bookmarkStart w:id="648" w:name="_Toc31914"/>
      <w:bookmarkStart w:id="649" w:name="_Toc31828"/>
      <w:bookmarkStart w:id="650" w:name="_Toc204345244"/>
      <w:r>
        <w:rPr>
          <w:rFonts w:hint="eastAsia" w:cs="方正仿宋_GBK" w:asciiTheme="minorEastAsia" w:hAnsiTheme="minorEastAsia" w:eastAsiaTheme="minorEastAsia"/>
          <w:b/>
          <w:color w:val="auto"/>
          <w:szCs w:val="28"/>
          <w:highlight w:val="none"/>
        </w:rPr>
        <w:t>一、经济文件</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14096F16">
      <w:pPr>
        <w:snapToGrid w:val="0"/>
        <w:spacing w:line="500" w:lineRule="exact"/>
        <w:jc w:val="center"/>
        <w:rPr>
          <w:rFonts w:cs="方正仿宋_GBK" w:asciiTheme="minorEastAsia" w:hAnsiTheme="minorEastAsia" w:eastAsiaTheme="minorEastAsia"/>
          <w:color w:val="auto"/>
          <w:szCs w:val="36"/>
          <w:highlight w:val="none"/>
        </w:rPr>
      </w:pPr>
      <w:r>
        <w:rPr>
          <w:rFonts w:hint="eastAsia" w:cs="方正仿宋_GBK" w:asciiTheme="minorEastAsia" w:hAnsiTheme="minorEastAsia" w:eastAsiaTheme="minorEastAsia"/>
          <w:color w:val="auto"/>
          <w:szCs w:val="36"/>
          <w:highlight w:val="none"/>
        </w:rPr>
        <w:t>（一）开标一览表</w:t>
      </w:r>
    </w:p>
    <w:p w14:paraId="64A9052B">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项目号：</w:t>
      </w:r>
    </w:p>
    <w:p w14:paraId="702CD530">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招标项目名称：</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148"/>
        <w:gridCol w:w="932"/>
        <w:gridCol w:w="4760"/>
      </w:tblGrid>
      <w:tr w14:paraId="05659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14:paraId="4DAFB1CD">
            <w:pPr>
              <w:spacing w:line="500" w:lineRule="exact"/>
              <w:jc w:val="center"/>
              <w:rPr>
                <w:rFonts w:cs="方正仿宋_GBK" w:asciiTheme="minorEastAsia" w:hAnsiTheme="minorEastAsia" w:eastAsiaTheme="minorEastAsia"/>
                <w:color w:val="auto"/>
                <w:sz w:val="21"/>
                <w:szCs w:val="28"/>
                <w:highlight w:val="none"/>
              </w:rPr>
            </w:pPr>
            <w:r>
              <w:rPr>
                <w:rFonts w:hint="eastAsia" w:cs="方正仿宋_GBK" w:asciiTheme="minorEastAsia" w:hAnsiTheme="minorEastAsia" w:eastAsiaTheme="minorEastAsia"/>
                <w:color w:val="auto"/>
                <w:sz w:val="21"/>
                <w:szCs w:val="28"/>
                <w:highlight w:val="none"/>
              </w:rPr>
              <w:t>投标人名称</w:t>
            </w:r>
          </w:p>
        </w:tc>
        <w:tc>
          <w:tcPr>
            <w:tcW w:w="7840" w:type="dxa"/>
            <w:gridSpan w:val="3"/>
            <w:vAlign w:val="center"/>
          </w:tcPr>
          <w:p w14:paraId="44642113">
            <w:pPr>
              <w:spacing w:line="500" w:lineRule="exact"/>
              <w:jc w:val="center"/>
              <w:rPr>
                <w:rFonts w:cs="方正仿宋_GBK" w:asciiTheme="minorEastAsia" w:hAnsiTheme="minorEastAsia" w:eastAsiaTheme="minorEastAsia"/>
                <w:color w:val="auto"/>
                <w:sz w:val="21"/>
                <w:szCs w:val="28"/>
                <w:highlight w:val="none"/>
              </w:rPr>
            </w:pPr>
          </w:p>
        </w:tc>
      </w:tr>
      <w:tr w14:paraId="03C72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3936" w:type="dxa"/>
            <w:gridSpan w:val="2"/>
            <w:vAlign w:val="center"/>
          </w:tcPr>
          <w:p w14:paraId="4792DC25">
            <w:pPr>
              <w:spacing w:line="500" w:lineRule="exact"/>
              <w:jc w:val="center"/>
              <w:rPr>
                <w:rFonts w:cs="方正仿宋_GBK" w:asciiTheme="minorEastAsia" w:hAnsiTheme="minorEastAsia" w:eastAsiaTheme="minorEastAsia"/>
                <w:color w:val="auto"/>
                <w:sz w:val="21"/>
                <w:szCs w:val="28"/>
                <w:highlight w:val="none"/>
              </w:rPr>
            </w:pPr>
            <w:r>
              <w:rPr>
                <w:rFonts w:hint="eastAsia" w:cs="方正仿宋_GBK" w:asciiTheme="minorEastAsia" w:hAnsiTheme="minorEastAsia" w:eastAsiaTheme="minorEastAsia"/>
                <w:color w:val="auto"/>
                <w:sz w:val="21"/>
                <w:szCs w:val="28"/>
                <w:highlight w:val="none"/>
              </w:rPr>
              <w:t>包号及名称</w:t>
            </w:r>
          </w:p>
        </w:tc>
        <w:tc>
          <w:tcPr>
            <w:tcW w:w="932" w:type="dxa"/>
            <w:vAlign w:val="center"/>
          </w:tcPr>
          <w:p w14:paraId="260CD8E7">
            <w:pPr>
              <w:spacing w:line="500" w:lineRule="exact"/>
              <w:jc w:val="center"/>
              <w:rPr>
                <w:rFonts w:cs="方正仿宋_GBK" w:asciiTheme="minorEastAsia" w:hAnsiTheme="minorEastAsia" w:eastAsiaTheme="minorEastAsia"/>
                <w:color w:val="auto"/>
                <w:sz w:val="21"/>
                <w:szCs w:val="28"/>
                <w:highlight w:val="none"/>
              </w:rPr>
            </w:pPr>
            <w:r>
              <w:rPr>
                <w:rFonts w:hint="eastAsia" w:cs="方正仿宋_GBK" w:asciiTheme="minorEastAsia" w:hAnsiTheme="minorEastAsia" w:eastAsiaTheme="minorEastAsia"/>
                <w:color w:val="auto"/>
                <w:sz w:val="21"/>
                <w:szCs w:val="28"/>
                <w:highlight w:val="none"/>
              </w:rPr>
              <w:t>数量</w:t>
            </w:r>
          </w:p>
        </w:tc>
        <w:tc>
          <w:tcPr>
            <w:tcW w:w="4760" w:type="dxa"/>
            <w:vAlign w:val="center"/>
          </w:tcPr>
          <w:p w14:paraId="646BE8AC">
            <w:pPr>
              <w:spacing w:line="500" w:lineRule="exact"/>
              <w:jc w:val="center"/>
              <w:rPr>
                <w:rFonts w:cs="方正仿宋_GBK" w:asciiTheme="minorEastAsia" w:hAnsiTheme="minorEastAsia" w:eastAsiaTheme="minorEastAsia"/>
                <w:color w:val="auto"/>
                <w:sz w:val="21"/>
                <w:szCs w:val="28"/>
                <w:highlight w:val="none"/>
              </w:rPr>
            </w:pPr>
            <w:r>
              <w:rPr>
                <w:rFonts w:hint="eastAsia" w:cs="方正仿宋_GBK" w:asciiTheme="minorEastAsia" w:hAnsiTheme="minorEastAsia" w:eastAsiaTheme="minorEastAsia"/>
                <w:color w:val="auto"/>
                <w:sz w:val="21"/>
                <w:szCs w:val="28"/>
                <w:highlight w:val="none"/>
              </w:rPr>
              <w:t>投标报价（小写）</w:t>
            </w:r>
          </w:p>
        </w:tc>
      </w:tr>
      <w:tr w14:paraId="2BF84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936" w:type="dxa"/>
            <w:gridSpan w:val="2"/>
            <w:tcBorders>
              <w:bottom w:val="single" w:color="auto" w:sz="4" w:space="0"/>
            </w:tcBorders>
            <w:vAlign w:val="center"/>
          </w:tcPr>
          <w:p w14:paraId="60447B1E">
            <w:pPr>
              <w:spacing w:line="500" w:lineRule="exact"/>
              <w:rPr>
                <w:rFonts w:cs="方正仿宋_GBK" w:asciiTheme="minorEastAsia" w:hAnsiTheme="minorEastAsia" w:eastAsiaTheme="minorEastAsia"/>
                <w:color w:val="auto"/>
                <w:sz w:val="21"/>
                <w:szCs w:val="28"/>
                <w:highlight w:val="none"/>
              </w:rPr>
            </w:pPr>
          </w:p>
        </w:tc>
        <w:tc>
          <w:tcPr>
            <w:tcW w:w="932" w:type="dxa"/>
            <w:tcBorders>
              <w:bottom w:val="single" w:color="auto" w:sz="4" w:space="0"/>
            </w:tcBorders>
          </w:tcPr>
          <w:p w14:paraId="3E05CA52">
            <w:pPr>
              <w:spacing w:line="500" w:lineRule="exact"/>
              <w:rPr>
                <w:rFonts w:cs="方正仿宋_GBK" w:asciiTheme="minorEastAsia" w:hAnsiTheme="minorEastAsia" w:eastAsiaTheme="minorEastAsia"/>
                <w:color w:val="auto"/>
                <w:sz w:val="21"/>
                <w:szCs w:val="28"/>
                <w:highlight w:val="none"/>
              </w:rPr>
            </w:pPr>
          </w:p>
        </w:tc>
        <w:tc>
          <w:tcPr>
            <w:tcW w:w="4760" w:type="dxa"/>
            <w:tcBorders>
              <w:bottom w:val="single" w:color="auto" w:sz="4" w:space="0"/>
            </w:tcBorders>
          </w:tcPr>
          <w:p w14:paraId="60EFEDA8">
            <w:pPr>
              <w:spacing w:line="500" w:lineRule="exact"/>
              <w:rPr>
                <w:rFonts w:cs="方正仿宋_GBK" w:asciiTheme="minorEastAsia" w:hAnsiTheme="minorEastAsia" w:eastAsiaTheme="minorEastAsia"/>
                <w:color w:val="auto"/>
                <w:sz w:val="21"/>
                <w:szCs w:val="28"/>
                <w:highlight w:val="none"/>
              </w:rPr>
            </w:pPr>
          </w:p>
        </w:tc>
      </w:tr>
      <w:tr w14:paraId="0554A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4"/>
            <w:tcBorders>
              <w:bottom w:val="single" w:color="auto" w:sz="4" w:space="0"/>
            </w:tcBorders>
            <w:vAlign w:val="center"/>
          </w:tcPr>
          <w:p w14:paraId="7AE627E7">
            <w:pPr>
              <w:spacing w:line="560" w:lineRule="exact"/>
              <w:rPr>
                <w:rFonts w:cs="方正仿宋_GBK" w:asciiTheme="minorEastAsia" w:hAnsiTheme="minorEastAsia" w:eastAsiaTheme="minorEastAsia"/>
                <w:color w:val="auto"/>
                <w:sz w:val="21"/>
                <w:szCs w:val="28"/>
                <w:highlight w:val="none"/>
              </w:rPr>
            </w:pPr>
            <w:r>
              <w:rPr>
                <w:rFonts w:hint="eastAsia" w:cs="方正仿宋_GBK" w:asciiTheme="minorEastAsia" w:hAnsiTheme="minorEastAsia" w:eastAsiaTheme="minorEastAsia"/>
                <w:color w:val="auto"/>
                <w:sz w:val="21"/>
                <w:szCs w:val="28"/>
                <w:highlight w:val="none"/>
              </w:rPr>
              <w:t xml:space="preserve">投标报价（大写）：                           </w:t>
            </w:r>
          </w:p>
        </w:tc>
      </w:tr>
      <w:tr w14:paraId="179DA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4"/>
            <w:vAlign w:val="center"/>
          </w:tcPr>
          <w:p w14:paraId="5DC58FB6">
            <w:pPr>
              <w:pStyle w:val="9"/>
              <w:spacing w:line="500" w:lineRule="exact"/>
              <w:rPr>
                <w:rFonts w:cs="方正仿宋_GBK" w:asciiTheme="minorEastAsia" w:hAnsiTheme="minorEastAsia" w:eastAsiaTheme="minorEastAsia"/>
                <w:color w:val="auto"/>
                <w:sz w:val="21"/>
                <w:szCs w:val="28"/>
                <w:highlight w:val="none"/>
              </w:rPr>
            </w:pPr>
            <w:r>
              <w:rPr>
                <w:rFonts w:hint="eastAsia" w:cs="方正仿宋_GBK" w:asciiTheme="minorEastAsia" w:hAnsiTheme="minorEastAsia" w:eastAsiaTheme="minorEastAsia"/>
                <w:color w:val="auto"/>
                <w:sz w:val="21"/>
                <w:szCs w:val="28"/>
                <w:highlight w:val="none"/>
              </w:rPr>
              <w:t>备注：本项目原厂免费质保期</w:t>
            </w:r>
            <w:r>
              <w:rPr>
                <w:rFonts w:hint="eastAsia" w:cs="方正仿宋_GBK" w:asciiTheme="minorEastAsia" w:hAnsiTheme="minorEastAsia" w:eastAsiaTheme="minorEastAsia"/>
                <w:color w:val="auto"/>
                <w:sz w:val="21"/>
                <w:szCs w:val="28"/>
                <w:highlight w:val="none"/>
                <w:u w:val="single"/>
              </w:rPr>
              <w:t xml:space="preserve">      </w:t>
            </w:r>
            <w:r>
              <w:rPr>
                <w:rFonts w:hint="eastAsia" w:cs="方正仿宋_GBK" w:asciiTheme="minorEastAsia" w:hAnsiTheme="minorEastAsia" w:eastAsiaTheme="minorEastAsia"/>
                <w:color w:val="auto"/>
                <w:sz w:val="21"/>
                <w:szCs w:val="28"/>
                <w:highlight w:val="none"/>
              </w:rPr>
              <w:t>年</w:t>
            </w:r>
          </w:p>
        </w:tc>
      </w:tr>
    </w:tbl>
    <w:p w14:paraId="4743CB8F">
      <w:pPr>
        <w:pStyle w:val="9"/>
        <w:spacing w:line="500" w:lineRule="exact"/>
        <w:rPr>
          <w:rFonts w:cs="方正仿宋_GBK" w:asciiTheme="minorEastAsia" w:hAnsiTheme="minorEastAsia" w:eastAsiaTheme="minorEastAsia"/>
          <w:color w:val="auto"/>
          <w:sz w:val="24"/>
          <w:szCs w:val="28"/>
          <w:highlight w:val="none"/>
        </w:rPr>
      </w:pPr>
    </w:p>
    <w:p w14:paraId="27EB0B84">
      <w:pPr>
        <w:rPr>
          <w:rFonts w:cs="方正仿宋_GBK" w:asciiTheme="minorEastAsia" w:hAnsiTheme="minorEastAsia" w:eastAsiaTheme="minorEastAsia"/>
          <w:color w:val="auto"/>
          <w:highlight w:val="none"/>
        </w:rPr>
      </w:pPr>
    </w:p>
    <w:p w14:paraId="29395B34">
      <w:pPr>
        <w:spacing w:line="500" w:lineRule="exact"/>
        <w:rPr>
          <w:rFonts w:cs="方正仿宋_GBK" w:asciiTheme="minorEastAsia" w:hAnsiTheme="minorEastAsia" w:eastAsiaTheme="minorEastAsia"/>
          <w:color w:val="auto"/>
          <w:sz w:val="24"/>
          <w:szCs w:val="28"/>
          <w:highlight w:val="none"/>
        </w:rPr>
      </w:pPr>
    </w:p>
    <w:p w14:paraId="6ECDC81A">
      <w:pPr>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投标人：                      法定代表人（或法定代表人授权代表）或自然人：</w:t>
      </w:r>
    </w:p>
    <w:p w14:paraId="4214C7D7">
      <w:pPr>
        <w:spacing w:line="500" w:lineRule="exact"/>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 xml:space="preserve">  （投标人公章）                               （签署或盖章）</w:t>
      </w:r>
    </w:p>
    <w:p w14:paraId="445DCF88">
      <w:pPr>
        <w:spacing w:line="500" w:lineRule="exact"/>
        <w:rPr>
          <w:rFonts w:cs="方正仿宋_GBK" w:asciiTheme="minorEastAsia" w:hAnsiTheme="minorEastAsia" w:eastAsiaTheme="minorEastAsia"/>
          <w:color w:val="auto"/>
          <w:sz w:val="24"/>
          <w:szCs w:val="28"/>
          <w:highlight w:val="none"/>
        </w:rPr>
      </w:pPr>
    </w:p>
    <w:p w14:paraId="451C64F4">
      <w:pPr>
        <w:spacing w:line="500" w:lineRule="exact"/>
        <w:rPr>
          <w:rFonts w:cs="方正仿宋_GBK" w:asciiTheme="minorEastAsia" w:hAnsiTheme="minorEastAsia" w:eastAsiaTheme="minorEastAsia"/>
          <w:color w:val="auto"/>
          <w:sz w:val="24"/>
          <w:szCs w:val="28"/>
          <w:highlight w:val="none"/>
        </w:rPr>
      </w:pPr>
    </w:p>
    <w:p w14:paraId="09D1B7D1">
      <w:pPr>
        <w:spacing w:line="500" w:lineRule="exact"/>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 xml:space="preserve">                                            年     月     日</w:t>
      </w:r>
    </w:p>
    <w:p w14:paraId="6E6F4B6D">
      <w:pPr>
        <w:snapToGrid w:val="0"/>
        <w:spacing w:line="500" w:lineRule="exact"/>
        <w:ind w:firstLine="480" w:firstLineChars="200"/>
        <w:rPr>
          <w:rFonts w:cs="方正仿宋_GBK" w:asciiTheme="minorEastAsia" w:hAnsiTheme="minorEastAsia" w:eastAsiaTheme="minorEastAsia"/>
          <w:color w:val="auto"/>
          <w:sz w:val="24"/>
          <w:szCs w:val="28"/>
          <w:highlight w:val="none"/>
        </w:rPr>
      </w:pPr>
    </w:p>
    <w:p w14:paraId="121BD84B">
      <w:pPr>
        <w:snapToGrid w:val="0"/>
        <w:spacing w:line="500" w:lineRule="exact"/>
        <w:ind w:firstLine="480" w:firstLineChars="200"/>
        <w:rPr>
          <w:rFonts w:cs="方正仿宋_GBK" w:asciiTheme="minorEastAsia" w:hAnsiTheme="minorEastAsia" w:eastAsiaTheme="minorEastAsia"/>
          <w:color w:val="auto"/>
          <w:sz w:val="24"/>
          <w:szCs w:val="28"/>
          <w:highlight w:val="none"/>
        </w:rPr>
      </w:pPr>
    </w:p>
    <w:p w14:paraId="1B5D917D">
      <w:pPr>
        <w:snapToGrid w:val="0"/>
        <w:spacing w:line="500" w:lineRule="exact"/>
        <w:ind w:firstLine="480" w:firstLineChars="200"/>
        <w:rPr>
          <w:rFonts w:cs="方正仿宋_GBK" w:asciiTheme="minorEastAsia" w:hAnsiTheme="minorEastAsia" w:eastAsiaTheme="minorEastAsia"/>
          <w:color w:val="auto"/>
          <w:sz w:val="24"/>
          <w:szCs w:val="28"/>
          <w:highlight w:val="none"/>
        </w:rPr>
      </w:pPr>
    </w:p>
    <w:p w14:paraId="7A6F2A28">
      <w:pPr>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说明：</w:t>
      </w:r>
    </w:p>
    <w:p w14:paraId="5CC4CD18">
      <w:pPr>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1.开标一览表按格式填列；</w:t>
      </w:r>
    </w:p>
    <w:p w14:paraId="32F9812C">
      <w:pPr>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2.开标一览表在开标大会上当众宣读，务必填写清楚，准确无误；</w:t>
      </w:r>
    </w:p>
    <w:p w14:paraId="0F5E308C">
      <w:pPr>
        <w:snapToGrid w:val="0"/>
        <w:spacing w:line="400" w:lineRule="exact"/>
        <w:ind w:firstLine="56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Cs w:val="28"/>
          <w:highlight w:val="none"/>
        </w:rPr>
        <w:br w:type="page"/>
      </w:r>
      <w:r>
        <w:rPr>
          <w:rFonts w:hint="eastAsia" w:cs="方正仿宋_GBK" w:asciiTheme="minorEastAsia" w:hAnsiTheme="minorEastAsia" w:eastAsiaTheme="minorEastAsia"/>
          <w:color w:val="auto"/>
          <w:sz w:val="24"/>
          <w:szCs w:val="28"/>
          <w:highlight w:val="none"/>
        </w:rPr>
        <w:t>（二）分项报价明细表</w:t>
      </w:r>
    </w:p>
    <w:p w14:paraId="1B902D41">
      <w:pPr>
        <w:snapToGrid w:val="0"/>
        <w:spacing w:line="400" w:lineRule="exact"/>
        <w:ind w:firstLine="482" w:firstLineChars="200"/>
        <w:jc w:val="center"/>
        <w:rPr>
          <w:rFonts w:cs="方正仿宋_GBK" w:asciiTheme="minorEastAsia" w:hAnsiTheme="minorEastAsia" w:eastAsiaTheme="minorEastAsia"/>
          <w:b/>
          <w:bCs/>
          <w:color w:val="auto"/>
          <w:sz w:val="24"/>
          <w:szCs w:val="28"/>
          <w:highlight w:val="none"/>
        </w:rPr>
      </w:pPr>
    </w:p>
    <w:p w14:paraId="0A010B3A">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项目号：</w:t>
      </w:r>
    </w:p>
    <w:p w14:paraId="6CBCD734">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招标项目名称：                                           单位：元</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912"/>
        <w:gridCol w:w="2416"/>
        <w:gridCol w:w="1213"/>
        <w:gridCol w:w="1213"/>
        <w:gridCol w:w="912"/>
        <w:gridCol w:w="912"/>
        <w:gridCol w:w="912"/>
      </w:tblGrid>
      <w:tr w14:paraId="7AB31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485" w:type="pct"/>
            <w:vAlign w:val="center"/>
          </w:tcPr>
          <w:p w14:paraId="13F81CB7">
            <w:pPr>
              <w:jc w:val="center"/>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序号</w:t>
            </w:r>
          </w:p>
        </w:tc>
        <w:tc>
          <w:tcPr>
            <w:tcW w:w="485" w:type="pct"/>
            <w:vAlign w:val="center"/>
          </w:tcPr>
          <w:p w14:paraId="6946D01E">
            <w:pPr>
              <w:jc w:val="center"/>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名称</w:t>
            </w:r>
          </w:p>
        </w:tc>
        <w:tc>
          <w:tcPr>
            <w:tcW w:w="1285" w:type="pct"/>
            <w:vAlign w:val="center"/>
          </w:tcPr>
          <w:p w14:paraId="57BB7CAF">
            <w:pPr>
              <w:jc w:val="center"/>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品牌、规格型号</w:t>
            </w:r>
          </w:p>
        </w:tc>
        <w:tc>
          <w:tcPr>
            <w:tcW w:w="645" w:type="pct"/>
            <w:vAlign w:val="center"/>
          </w:tcPr>
          <w:p w14:paraId="58AB701D">
            <w:pPr>
              <w:jc w:val="center"/>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制造商</w:t>
            </w:r>
          </w:p>
        </w:tc>
        <w:tc>
          <w:tcPr>
            <w:tcW w:w="645" w:type="pct"/>
            <w:vAlign w:val="center"/>
          </w:tcPr>
          <w:p w14:paraId="4483D138">
            <w:pPr>
              <w:jc w:val="center"/>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生产地</w:t>
            </w:r>
          </w:p>
        </w:tc>
        <w:tc>
          <w:tcPr>
            <w:tcW w:w="485" w:type="pct"/>
            <w:vAlign w:val="center"/>
          </w:tcPr>
          <w:p w14:paraId="4A57046F">
            <w:pPr>
              <w:jc w:val="center"/>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数量</w:t>
            </w:r>
          </w:p>
        </w:tc>
        <w:tc>
          <w:tcPr>
            <w:tcW w:w="485" w:type="pct"/>
            <w:vAlign w:val="center"/>
          </w:tcPr>
          <w:p w14:paraId="2C3C6253">
            <w:pPr>
              <w:jc w:val="center"/>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单价</w:t>
            </w:r>
          </w:p>
        </w:tc>
        <w:tc>
          <w:tcPr>
            <w:tcW w:w="485" w:type="pct"/>
            <w:vAlign w:val="center"/>
          </w:tcPr>
          <w:p w14:paraId="242978B0">
            <w:pPr>
              <w:jc w:val="center"/>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合计</w:t>
            </w:r>
          </w:p>
        </w:tc>
      </w:tr>
      <w:tr w14:paraId="32FB4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56A7DB02">
            <w:pPr>
              <w:pStyle w:val="7"/>
              <w:spacing w:line="240" w:lineRule="auto"/>
              <w:ind w:left="0"/>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1</w:t>
            </w:r>
          </w:p>
        </w:tc>
        <w:tc>
          <w:tcPr>
            <w:tcW w:w="485" w:type="pct"/>
            <w:vAlign w:val="center"/>
          </w:tcPr>
          <w:p w14:paraId="49EF8B1C">
            <w:pPr>
              <w:jc w:val="center"/>
              <w:rPr>
                <w:rFonts w:cs="方正仿宋_GBK" w:asciiTheme="minorEastAsia" w:hAnsiTheme="minorEastAsia" w:eastAsiaTheme="minorEastAsia"/>
                <w:color w:val="auto"/>
                <w:sz w:val="21"/>
                <w:szCs w:val="21"/>
                <w:highlight w:val="none"/>
              </w:rPr>
            </w:pPr>
          </w:p>
        </w:tc>
        <w:tc>
          <w:tcPr>
            <w:tcW w:w="1285" w:type="pct"/>
          </w:tcPr>
          <w:p w14:paraId="7C633599">
            <w:pPr>
              <w:jc w:val="center"/>
              <w:rPr>
                <w:rFonts w:cs="方正仿宋_GBK" w:asciiTheme="minorEastAsia" w:hAnsiTheme="minorEastAsia" w:eastAsiaTheme="minorEastAsia"/>
                <w:color w:val="auto"/>
                <w:sz w:val="21"/>
                <w:szCs w:val="21"/>
                <w:highlight w:val="none"/>
              </w:rPr>
            </w:pPr>
          </w:p>
        </w:tc>
        <w:tc>
          <w:tcPr>
            <w:tcW w:w="645" w:type="pct"/>
          </w:tcPr>
          <w:p w14:paraId="66483DE5">
            <w:pPr>
              <w:jc w:val="center"/>
              <w:rPr>
                <w:rFonts w:cs="方正仿宋_GBK" w:asciiTheme="minorEastAsia" w:hAnsiTheme="minorEastAsia" w:eastAsiaTheme="minorEastAsia"/>
                <w:color w:val="auto"/>
                <w:sz w:val="21"/>
                <w:szCs w:val="21"/>
                <w:highlight w:val="none"/>
              </w:rPr>
            </w:pPr>
          </w:p>
        </w:tc>
        <w:tc>
          <w:tcPr>
            <w:tcW w:w="645" w:type="pct"/>
          </w:tcPr>
          <w:p w14:paraId="74E79511">
            <w:pPr>
              <w:jc w:val="center"/>
              <w:rPr>
                <w:rFonts w:cs="方正仿宋_GBK" w:asciiTheme="minorEastAsia" w:hAnsiTheme="minorEastAsia" w:eastAsiaTheme="minorEastAsia"/>
                <w:color w:val="auto"/>
                <w:sz w:val="21"/>
                <w:szCs w:val="21"/>
                <w:highlight w:val="none"/>
              </w:rPr>
            </w:pPr>
          </w:p>
        </w:tc>
        <w:tc>
          <w:tcPr>
            <w:tcW w:w="485" w:type="pct"/>
            <w:vAlign w:val="center"/>
          </w:tcPr>
          <w:p w14:paraId="2D5D2272">
            <w:pPr>
              <w:jc w:val="center"/>
              <w:rPr>
                <w:rFonts w:cs="方正仿宋_GBK" w:asciiTheme="minorEastAsia" w:hAnsiTheme="minorEastAsia" w:eastAsiaTheme="minorEastAsia"/>
                <w:color w:val="auto"/>
                <w:sz w:val="21"/>
                <w:szCs w:val="21"/>
                <w:highlight w:val="none"/>
              </w:rPr>
            </w:pPr>
          </w:p>
        </w:tc>
        <w:tc>
          <w:tcPr>
            <w:tcW w:w="485" w:type="pct"/>
          </w:tcPr>
          <w:p w14:paraId="6FEEDD45">
            <w:pPr>
              <w:jc w:val="center"/>
              <w:rPr>
                <w:rFonts w:cs="方正仿宋_GBK" w:asciiTheme="minorEastAsia" w:hAnsiTheme="minorEastAsia" w:eastAsiaTheme="minorEastAsia"/>
                <w:color w:val="auto"/>
                <w:sz w:val="21"/>
                <w:szCs w:val="21"/>
                <w:highlight w:val="none"/>
              </w:rPr>
            </w:pPr>
          </w:p>
        </w:tc>
        <w:tc>
          <w:tcPr>
            <w:tcW w:w="485" w:type="pct"/>
          </w:tcPr>
          <w:p w14:paraId="41B3EDBE">
            <w:pPr>
              <w:jc w:val="center"/>
              <w:rPr>
                <w:rFonts w:cs="方正仿宋_GBK" w:asciiTheme="minorEastAsia" w:hAnsiTheme="minorEastAsia" w:eastAsiaTheme="minorEastAsia"/>
                <w:color w:val="auto"/>
                <w:sz w:val="21"/>
                <w:szCs w:val="21"/>
                <w:highlight w:val="none"/>
              </w:rPr>
            </w:pPr>
          </w:p>
        </w:tc>
      </w:tr>
      <w:tr w14:paraId="6F6A2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56B04331">
            <w:pPr>
              <w:pStyle w:val="7"/>
              <w:spacing w:line="240" w:lineRule="auto"/>
              <w:ind w:left="0"/>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2</w:t>
            </w:r>
          </w:p>
        </w:tc>
        <w:tc>
          <w:tcPr>
            <w:tcW w:w="485" w:type="pct"/>
            <w:vAlign w:val="center"/>
          </w:tcPr>
          <w:p w14:paraId="25AE0647">
            <w:pPr>
              <w:jc w:val="center"/>
              <w:rPr>
                <w:rFonts w:cs="方正仿宋_GBK" w:asciiTheme="minorEastAsia" w:hAnsiTheme="minorEastAsia" w:eastAsiaTheme="minorEastAsia"/>
                <w:color w:val="auto"/>
                <w:sz w:val="21"/>
                <w:szCs w:val="21"/>
                <w:highlight w:val="none"/>
              </w:rPr>
            </w:pPr>
          </w:p>
        </w:tc>
        <w:tc>
          <w:tcPr>
            <w:tcW w:w="1285" w:type="pct"/>
          </w:tcPr>
          <w:p w14:paraId="1538F18C">
            <w:pPr>
              <w:jc w:val="center"/>
              <w:rPr>
                <w:rFonts w:cs="方正仿宋_GBK" w:asciiTheme="minorEastAsia" w:hAnsiTheme="minorEastAsia" w:eastAsiaTheme="minorEastAsia"/>
                <w:color w:val="auto"/>
                <w:sz w:val="21"/>
                <w:szCs w:val="21"/>
                <w:highlight w:val="none"/>
              </w:rPr>
            </w:pPr>
          </w:p>
        </w:tc>
        <w:tc>
          <w:tcPr>
            <w:tcW w:w="645" w:type="pct"/>
          </w:tcPr>
          <w:p w14:paraId="357F40A1">
            <w:pPr>
              <w:jc w:val="center"/>
              <w:rPr>
                <w:rFonts w:cs="方正仿宋_GBK" w:asciiTheme="minorEastAsia" w:hAnsiTheme="minorEastAsia" w:eastAsiaTheme="minorEastAsia"/>
                <w:color w:val="auto"/>
                <w:sz w:val="21"/>
                <w:szCs w:val="21"/>
                <w:highlight w:val="none"/>
              </w:rPr>
            </w:pPr>
          </w:p>
        </w:tc>
        <w:tc>
          <w:tcPr>
            <w:tcW w:w="645" w:type="pct"/>
          </w:tcPr>
          <w:p w14:paraId="143D163C">
            <w:pPr>
              <w:jc w:val="center"/>
              <w:rPr>
                <w:rFonts w:cs="方正仿宋_GBK" w:asciiTheme="minorEastAsia" w:hAnsiTheme="minorEastAsia" w:eastAsiaTheme="minorEastAsia"/>
                <w:color w:val="auto"/>
                <w:sz w:val="21"/>
                <w:szCs w:val="21"/>
                <w:highlight w:val="none"/>
              </w:rPr>
            </w:pPr>
          </w:p>
        </w:tc>
        <w:tc>
          <w:tcPr>
            <w:tcW w:w="485" w:type="pct"/>
            <w:vAlign w:val="center"/>
          </w:tcPr>
          <w:p w14:paraId="4A69258F">
            <w:pPr>
              <w:jc w:val="center"/>
              <w:rPr>
                <w:rFonts w:cs="方正仿宋_GBK" w:asciiTheme="minorEastAsia" w:hAnsiTheme="minorEastAsia" w:eastAsiaTheme="minorEastAsia"/>
                <w:color w:val="auto"/>
                <w:sz w:val="21"/>
                <w:szCs w:val="21"/>
                <w:highlight w:val="none"/>
              </w:rPr>
            </w:pPr>
          </w:p>
        </w:tc>
        <w:tc>
          <w:tcPr>
            <w:tcW w:w="485" w:type="pct"/>
          </w:tcPr>
          <w:p w14:paraId="17B68A60">
            <w:pPr>
              <w:jc w:val="center"/>
              <w:rPr>
                <w:rFonts w:cs="方正仿宋_GBK" w:asciiTheme="minorEastAsia" w:hAnsiTheme="minorEastAsia" w:eastAsiaTheme="minorEastAsia"/>
                <w:color w:val="auto"/>
                <w:sz w:val="21"/>
                <w:szCs w:val="21"/>
                <w:highlight w:val="none"/>
              </w:rPr>
            </w:pPr>
          </w:p>
        </w:tc>
        <w:tc>
          <w:tcPr>
            <w:tcW w:w="485" w:type="pct"/>
          </w:tcPr>
          <w:p w14:paraId="5DEE62A7">
            <w:pPr>
              <w:jc w:val="center"/>
              <w:rPr>
                <w:rFonts w:cs="方正仿宋_GBK" w:asciiTheme="minorEastAsia" w:hAnsiTheme="minorEastAsia" w:eastAsiaTheme="minorEastAsia"/>
                <w:color w:val="auto"/>
                <w:sz w:val="21"/>
                <w:szCs w:val="21"/>
                <w:highlight w:val="none"/>
              </w:rPr>
            </w:pPr>
          </w:p>
        </w:tc>
      </w:tr>
      <w:tr w14:paraId="4972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68613F44">
            <w:pPr>
              <w:pStyle w:val="7"/>
              <w:spacing w:line="240" w:lineRule="auto"/>
              <w:ind w:left="0"/>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3</w:t>
            </w:r>
          </w:p>
        </w:tc>
        <w:tc>
          <w:tcPr>
            <w:tcW w:w="485" w:type="pct"/>
            <w:vAlign w:val="center"/>
          </w:tcPr>
          <w:p w14:paraId="5677A1E5">
            <w:pPr>
              <w:jc w:val="center"/>
              <w:rPr>
                <w:rFonts w:cs="方正仿宋_GBK" w:asciiTheme="minorEastAsia" w:hAnsiTheme="minorEastAsia" w:eastAsiaTheme="minorEastAsia"/>
                <w:color w:val="auto"/>
                <w:sz w:val="21"/>
                <w:szCs w:val="21"/>
                <w:highlight w:val="none"/>
              </w:rPr>
            </w:pPr>
          </w:p>
        </w:tc>
        <w:tc>
          <w:tcPr>
            <w:tcW w:w="1285" w:type="pct"/>
          </w:tcPr>
          <w:p w14:paraId="0547E8B7">
            <w:pPr>
              <w:jc w:val="center"/>
              <w:rPr>
                <w:rFonts w:cs="方正仿宋_GBK" w:asciiTheme="minorEastAsia" w:hAnsiTheme="minorEastAsia" w:eastAsiaTheme="minorEastAsia"/>
                <w:color w:val="auto"/>
                <w:sz w:val="21"/>
                <w:szCs w:val="21"/>
                <w:highlight w:val="none"/>
              </w:rPr>
            </w:pPr>
          </w:p>
        </w:tc>
        <w:tc>
          <w:tcPr>
            <w:tcW w:w="645" w:type="pct"/>
          </w:tcPr>
          <w:p w14:paraId="5BD3CB39">
            <w:pPr>
              <w:jc w:val="center"/>
              <w:rPr>
                <w:rFonts w:cs="方正仿宋_GBK" w:asciiTheme="minorEastAsia" w:hAnsiTheme="minorEastAsia" w:eastAsiaTheme="minorEastAsia"/>
                <w:color w:val="auto"/>
                <w:sz w:val="21"/>
                <w:szCs w:val="21"/>
                <w:highlight w:val="none"/>
              </w:rPr>
            </w:pPr>
          </w:p>
        </w:tc>
        <w:tc>
          <w:tcPr>
            <w:tcW w:w="645" w:type="pct"/>
          </w:tcPr>
          <w:p w14:paraId="7441115D">
            <w:pPr>
              <w:jc w:val="center"/>
              <w:rPr>
                <w:rFonts w:cs="方正仿宋_GBK" w:asciiTheme="minorEastAsia" w:hAnsiTheme="minorEastAsia" w:eastAsiaTheme="minorEastAsia"/>
                <w:color w:val="auto"/>
                <w:sz w:val="21"/>
                <w:szCs w:val="21"/>
                <w:highlight w:val="none"/>
              </w:rPr>
            </w:pPr>
          </w:p>
        </w:tc>
        <w:tc>
          <w:tcPr>
            <w:tcW w:w="485" w:type="pct"/>
            <w:vAlign w:val="center"/>
          </w:tcPr>
          <w:p w14:paraId="3BAA3BAE">
            <w:pPr>
              <w:jc w:val="center"/>
              <w:rPr>
                <w:rFonts w:cs="方正仿宋_GBK" w:asciiTheme="minorEastAsia" w:hAnsiTheme="minorEastAsia" w:eastAsiaTheme="minorEastAsia"/>
                <w:color w:val="auto"/>
                <w:sz w:val="21"/>
                <w:szCs w:val="21"/>
                <w:highlight w:val="none"/>
              </w:rPr>
            </w:pPr>
          </w:p>
        </w:tc>
        <w:tc>
          <w:tcPr>
            <w:tcW w:w="485" w:type="pct"/>
          </w:tcPr>
          <w:p w14:paraId="3FB94135">
            <w:pPr>
              <w:jc w:val="center"/>
              <w:rPr>
                <w:rFonts w:cs="方正仿宋_GBK" w:asciiTheme="minorEastAsia" w:hAnsiTheme="minorEastAsia" w:eastAsiaTheme="minorEastAsia"/>
                <w:color w:val="auto"/>
                <w:sz w:val="21"/>
                <w:szCs w:val="21"/>
                <w:highlight w:val="none"/>
              </w:rPr>
            </w:pPr>
          </w:p>
        </w:tc>
        <w:tc>
          <w:tcPr>
            <w:tcW w:w="485" w:type="pct"/>
          </w:tcPr>
          <w:p w14:paraId="3E9D5EE5">
            <w:pPr>
              <w:jc w:val="center"/>
              <w:rPr>
                <w:rFonts w:cs="方正仿宋_GBK" w:asciiTheme="minorEastAsia" w:hAnsiTheme="minorEastAsia" w:eastAsiaTheme="minorEastAsia"/>
                <w:color w:val="auto"/>
                <w:sz w:val="21"/>
                <w:szCs w:val="21"/>
                <w:highlight w:val="none"/>
              </w:rPr>
            </w:pPr>
          </w:p>
        </w:tc>
      </w:tr>
      <w:tr w14:paraId="2A8A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72761E7E">
            <w:pPr>
              <w:pStyle w:val="7"/>
              <w:spacing w:line="240" w:lineRule="auto"/>
              <w:ind w:left="0"/>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4</w:t>
            </w:r>
          </w:p>
        </w:tc>
        <w:tc>
          <w:tcPr>
            <w:tcW w:w="485" w:type="pct"/>
            <w:vAlign w:val="center"/>
          </w:tcPr>
          <w:p w14:paraId="18BCAA4F">
            <w:pPr>
              <w:jc w:val="center"/>
              <w:rPr>
                <w:rFonts w:cs="方正仿宋_GBK" w:asciiTheme="minorEastAsia" w:hAnsiTheme="minorEastAsia" w:eastAsiaTheme="minorEastAsia"/>
                <w:color w:val="auto"/>
                <w:sz w:val="21"/>
                <w:szCs w:val="21"/>
                <w:highlight w:val="none"/>
              </w:rPr>
            </w:pPr>
          </w:p>
        </w:tc>
        <w:tc>
          <w:tcPr>
            <w:tcW w:w="1285" w:type="pct"/>
          </w:tcPr>
          <w:p w14:paraId="4C0754D9">
            <w:pPr>
              <w:jc w:val="center"/>
              <w:rPr>
                <w:rFonts w:cs="方正仿宋_GBK" w:asciiTheme="minorEastAsia" w:hAnsiTheme="minorEastAsia" w:eastAsiaTheme="minorEastAsia"/>
                <w:color w:val="auto"/>
                <w:sz w:val="21"/>
                <w:szCs w:val="21"/>
                <w:highlight w:val="none"/>
              </w:rPr>
            </w:pPr>
          </w:p>
        </w:tc>
        <w:tc>
          <w:tcPr>
            <w:tcW w:w="645" w:type="pct"/>
          </w:tcPr>
          <w:p w14:paraId="4E6F50CC">
            <w:pPr>
              <w:jc w:val="center"/>
              <w:rPr>
                <w:rFonts w:cs="方正仿宋_GBK" w:asciiTheme="minorEastAsia" w:hAnsiTheme="minorEastAsia" w:eastAsiaTheme="minorEastAsia"/>
                <w:color w:val="auto"/>
                <w:sz w:val="21"/>
                <w:szCs w:val="21"/>
                <w:highlight w:val="none"/>
              </w:rPr>
            </w:pPr>
          </w:p>
        </w:tc>
        <w:tc>
          <w:tcPr>
            <w:tcW w:w="645" w:type="pct"/>
          </w:tcPr>
          <w:p w14:paraId="544252C1">
            <w:pPr>
              <w:jc w:val="center"/>
              <w:rPr>
                <w:rFonts w:cs="方正仿宋_GBK" w:asciiTheme="minorEastAsia" w:hAnsiTheme="minorEastAsia" w:eastAsiaTheme="minorEastAsia"/>
                <w:color w:val="auto"/>
                <w:sz w:val="21"/>
                <w:szCs w:val="21"/>
                <w:highlight w:val="none"/>
              </w:rPr>
            </w:pPr>
          </w:p>
        </w:tc>
        <w:tc>
          <w:tcPr>
            <w:tcW w:w="485" w:type="pct"/>
            <w:vAlign w:val="center"/>
          </w:tcPr>
          <w:p w14:paraId="27DC0146">
            <w:pPr>
              <w:jc w:val="center"/>
              <w:rPr>
                <w:rFonts w:cs="方正仿宋_GBK" w:asciiTheme="minorEastAsia" w:hAnsiTheme="minorEastAsia" w:eastAsiaTheme="minorEastAsia"/>
                <w:color w:val="auto"/>
                <w:sz w:val="21"/>
                <w:szCs w:val="21"/>
                <w:highlight w:val="none"/>
              </w:rPr>
            </w:pPr>
          </w:p>
        </w:tc>
        <w:tc>
          <w:tcPr>
            <w:tcW w:w="485" w:type="pct"/>
          </w:tcPr>
          <w:p w14:paraId="382159B1">
            <w:pPr>
              <w:jc w:val="center"/>
              <w:rPr>
                <w:rFonts w:cs="方正仿宋_GBK" w:asciiTheme="minorEastAsia" w:hAnsiTheme="minorEastAsia" w:eastAsiaTheme="minorEastAsia"/>
                <w:color w:val="auto"/>
                <w:sz w:val="21"/>
                <w:szCs w:val="21"/>
                <w:highlight w:val="none"/>
              </w:rPr>
            </w:pPr>
          </w:p>
        </w:tc>
        <w:tc>
          <w:tcPr>
            <w:tcW w:w="485" w:type="pct"/>
          </w:tcPr>
          <w:p w14:paraId="03378445">
            <w:pPr>
              <w:jc w:val="center"/>
              <w:rPr>
                <w:rFonts w:cs="方正仿宋_GBK" w:asciiTheme="minorEastAsia" w:hAnsiTheme="minorEastAsia" w:eastAsiaTheme="minorEastAsia"/>
                <w:color w:val="auto"/>
                <w:sz w:val="21"/>
                <w:szCs w:val="21"/>
                <w:highlight w:val="none"/>
              </w:rPr>
            </w:pPr>
          </w:p>
        </w:tc>
      </w:tr>
      <w:tr w14:paraId="05B2D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2F691ED0">
            <w:pPr>
              <w:pStyle w:val="7"/>
              <w:spacing w:line="240" w:lineRule="auto"/>
              <w:ind w:left="0"/>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5</w:t>
            </w:r>
          </w:p>
        </w:tc>
        <w:tc>
          <w:tcPr>
            <w:tcW w:w="485" w:type="pct"/>
            <w:vAlign w:val="center"/>
          </w:tcPr>
          <w:p w14:paraId="65C3B3B3">
            <w:pPr>
              <w:jc w:val="center"/>
              <w:rPr>
                <w:rFonts w:cs="方正仿宋_GBK" w:asciiTheme="minorEastAsia" w:hAnsiTheme="minorEastAsia" w:eastAsiaTheme="minorEastAsia"/>
                <w:color w:val="auto"/>
                <w:sz w:val="21"/>
                <w:szCs w:val="21"/>
                <w:highlight w:val="none"/>
              </w:rPr>
            </w:pPr>
          </w:p>
        </w:tc>
        <w:tc>
          <w:tcPr>
            <w:tcW w:w="1285" w:type="pct"/>
          </w:tcPr>
          <w:p w14:paraId="29A1D14F">
            <w:pPr>
              <w:jc w:val="center"/>
              <w:rPr>
                <w:rFonts w:cs="方正仿宋_GBK" w:asciiTheme="minorEastAsia" w:hAnsiTheme="minorEastAsia" w:eastAsiaTheme="minorEastAsia"/>
                <w:color w:val="auto"/>
                <w:sz w:val="21"/>
                <w:szCs w:val="21"/>
                <w:highlight w:val="none"/>
              </w:rPr>
            </w:pPr>
          </w:p>
        </w:tc>
        <w:tc>
          <w:tcPr>
            <w:tcW w:w="645" w:type="pct"/>
          </w:tcPr>
          <w:p w14:paraId="443BD3F3">
            <w:pPr>
              <w:jc w:val="center"/>
              <w:rPr>
                <w:rFonts w:cs="方正仿宋_GBK" w:asciiTheme="minorEastAsia" w:hAnsiTheme="minorEastAsia" w:eastAsiaTheme="minorEastAsia"/>
                <w:color w:val="auto"/>
                <w:sz w:val="21"/>
                <w:szCs w:val="21"/>
                <w:highlight w:val="none"/>
              </w:rPr>
            </w:pPr>
          </w:p>
        </w:tc>
        <w:tc>
          <w:tcPr>
            <w:tcW w:w="645" w:type="pct"/>
          </w:tcPr>
          <w:p w14:paraId="4EF2DEDE">
            <w:pPr>
              <w:jc w:val="center"/>
              <w:rPr>
                <w:rFonts w:cs="方正仿宋_GBK" w:asciiTheme="minorEastAsia" w:hAnsiTheme="minorEastAsia" w:eastAsiaTheme="minorEastAsia"/>
                <w:color w:val="auto"/>
                <w:sz w:val="21"/>
                <w:szCs w:val="21"/>
                <w:highlight w:val="none"/>
              </w:rPr>
            </w:pPr>
          </w:p>
        </w:tc>
        <w:tc>
          <w:tcPr>
            <w:tcW w:w="485" w:type="pct"/>
            <w:vAlign w:val="center"/>
          </w:tcPr>
          <w:p w14:paraId="5450BB97">
            <w:pPr>
              <w:jc w:val="center"/>
              <w:rPr>
                <w:rFonts w:cs="方正仿宋_GBK" w:asciiTheme="minorEastAsia" w:hAnsiTheme="minorEastAsia" w:eastAsiaTheme="minorEastAsia"/>
                <w:color w:val="auto"/>
                <w:sz w:val="21"/>
                <w:szCs w:val="21"/>
                <w:highlight w:val="none"/>
              </w:rPr>
            </w:pPr>
          </w:p>
        </w:tc>
        <w:tc>
          <w:tcPr>
            <w:tcW w:w="485" w:type="pct"/>
          </w:tcPr>
          <w:p w14:paraId="2C39C693">
            <w:pPr>
              <w:jc w:val="center"/>
              <w:rPr>
                <w:rFonts w:cs="方正仿宋_GBK" w:asciiTheme="minorEastAsia" w:hAnsiTheme="minorEastAsia" w:eastAsiaTheme="minorEastAsia"/>
                <w:color w:val="auto"/>
                <w:sz w:val="21"/>
                <w:szCs w:val="21"/>
                <w:highlight w:val="none"/>
              </w:rPr>
            </w:pPr>
          </w:p>
        </w:tc>
        <w:tc>
          <w:tcPr>
            <w:tcW w:w="485" w:type="pct"/>
          </w:tcPr>
          <w:p w14:paraId="3E8376A8">
            <w:pPr>
              <w:jc w:val="center"/>
              <w:rPr>
                <w:rFonts w:cs="方正仿宋_GBK" w:asciiTheme="minorEastAsia" w:hAnsiTheme="minorEastAsia" w:eastAsiaTheme="minorEastAsia"/>
                <w:color w:val="auto"/>
                <w:sz w:val="21"/>
                <w:szCs w:val="21"/>
                <w:highlight w:val="none"/>
              </w:rPr>
            </w:pPr>
          </w:p>
        </w:tc>
      </w:tr>
      <w:tr w14:paraId="7F5E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55E2296C">
            <w:pPr>
              <w:pStyle w:val="7"/>
              <w:spacing w:line="240" w:lineRule="auto"/>
              <w:ind w:left="0"/>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6</w:t>
            </w:r>
          </w:p>
        </w:tc>
        <w:tc>
          <w:tcPr>
            <w:tcW w:w="485" w:type="pct"/>
            <w:vAlign w:val="center"/>
          </w:tcPr>
          <w:p w14:paraId="0EE56B4A">
            <w:pPr>
              <w:jc w:val="center"/>
              <w:rPr>
                <w:rFonts w:cs="方正仿宋_GBK" w:asciiTheme="minorEastAsia" w:hAnsiTheme="minorEastAsia" w:eastAsiaTheme="minorEastAsia"/>
                <w:color w:val="auto"/>
                <w:sz w:val="21"/>
                <w:szCs w:val="21"/>
                <w:highlight w:val="none"/>
              </w:rPr>
            </w:pPr>
          </w:p>
        </w:tc>
        <w:tc>
          <w:tcPr>
            <w:tcW w:w="1285" w:type="pct"/>
          </w:tcPr>
          <w:p w14:paraId="3CEF7290">
            <w:pPr>
              <w:jc w:val="center"/>
              <w:rPr>
                <w:rFonts w:cs="方正仿宋_GBK" w:asciiTheme="minorEastAsia" w:hAnsiTheme="minorEastAsia" w:eastAsiaTheme="minorEastAsia"/>
                <w:color w:val="auto"/>
                <w:sz w:val="21"/>
                <w:szCs w:val="21"/>
                <w:highlight w:val="none"/>
              </w:rPr>
            </w:pPr>
          </w:p>
        </w:tc>
        <w:tc>
          <w:tcPr>
            <w:tcW w:w="645" w:type="pct"/>
          </w:tcPr>
          <w:p w14:paraId="535286CB">
            <w:pPr>
              <w:jc w:val="center"/>
              <w:rPr>
                <w:rFonts w:cs="方正仿宋_GBK" w:asciiTheme="minorEastAsia" w:hAnsiTheme="minorEastAsia" w:eastAsiaTheme="minorEastAsia"/>
                <w:color w:val="auto"/>
                <w:sz w:val="21"/>
                <w:szCs w:val="21"/>
                <w:highlight w:val="none"/>
              </w:rPr>
            </w:pPr>
          </w:p>
        </w:tc>
        <w:tc>
          <w:tcPr>
            <w:tcW w:w="645" w:type="pct"/>
          </w:tcPr>
          <w:p w14:paraId="59BB1D8C">
            <w:pPr>
              <w:jc w:val="center"/>
              <w:rPr>
                <w:rFonts w:cs="方正仿宋_GBK" w:asciiTheme="minorEastAsia" w:hAnsiTheme="minorEastAsia" w:eastAsiaTheme="minorEastAsia"/>
                <w:color w:val="auto"/>
                <w:sz w:val="21"/>
                <w:szCs w:val="21"/>
                <w:highlight w:val="none"/>
              </w:rPr>
            </w:pPr>
          </w:p>
        </w:tc>
        <w:tc>
          <w:tcPr>
            <w:tcW w:w="485" w:type="pct"/>
            <w:vAlign w:val="center"/>
          </w:tcPr>
          <w:p w14:paraId="39388F1B">
            <w:pPr>
              <w:jc w:val="center"/>
              <w:rPr>
                <w:rFonts w:cs="方正仿宋_GBK" w:asciiTheme="minorEastAsia" w:hAnsiTheme="minorEastAsia" w:eastAsiaTheme="minorEastAsia"/>
                <w:color w:val="auto"/>
                <w:sz w:val="21"/>
                <w:szCs w:val="21"/>
                <w:highlight w:val="none"/>
              </w:rPr>
            </w:pPr>
          </w:p>
        </w:tc>
        <w:tc>
          <w:tcPr>
            <w:tcW w:w="485" w:type="pct"/>
          </w:tcPr>
          <w:p w14:paraId="2D52ABDD">
            <w:pPr>
              <w:jc w:val="center"/>
              <w:rPr>
                <w:rFonts w:cs="方正仿宋_GBK" w:asciiTheme="minorEastAsia" w:hAnsiTheme="minorEastAsia" w:eastAsiaTheme="minorEastAsia"/>
                <w:color w:val="auto"/>
                <w:sz w:val="21"/>
                <w:szCs w:val="21"/>
                <w:highlight w:val="none"/>
              </w:rPr>
            </w:pPr>
          </w:p>
        </w:tc>
        <w:tc>
          <w:tcPr>
            <w:tcW w:w="485" w:type="pct"/>
          </w:tcPr>
          <w:p w14:paraId="62D698FD">
            <w:pPr>
              <w:jc w:val="center"/>
              <w:rPr>
                <w:rFonts w:cs="方正仿宋_GBK" w:asciiTheme="minorEastAsia" w:hAnsiTheme="minorEastAsia" w:eastAsiaTheme="minorEastAsia"/>
                <w:color w:val="auto"/>
                <w:sz w:val="21"/>
                <w:szCs w:val="21"/>
                <w:highlight w:val="none"/>
              </w:rPr>
            </w:pPr>
          </w:p>
        </w:tc>
      </w:tr>
      <w:tr w14:paraId="64DE2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2AA15A6D">
            <w:pPr>
              <w:pStyle w:val="7"/>
              <w:spacing w:line="240" w:lineRule="auto"/>
              <w:ind w:left="0"/>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7</w:t>
            </w:r>
          </w:p>
        </w:tc>
        <w:tc>
          <w:tcPr>
            <w:tcW w:w="485" w:type="pct"/>
            <w:vAlign w:val="center"/>
          </w:tcPr>
          <w:p w14:paraId="12733B11">
            <w:pPr>
              <w:jc w:val="center"/>
              <w:rPr>
                <w:rFonts w:cs="方正仿宋_GBK" w:asciiTheme="minorEastAsia" w:hAnsiTheme="minorEastAsia" w:eastAsiaTheme="minorEastAsia"/>
                <w:color w:val="auto"/>
                <w:sz w:val="21"/>
                <w:szCs w:val="21"/>
                <w:highlight w:val="none"/>
              </w:rPr>
            </w:pPr>
          </w:p>
        </w:tc>
        <w:tc>
          <w:tcPr>
            <w:tcW w:w="1285" w:type="pct"/>
          </w:tcPr>
          <w:p w14:paraId="56DDFADC">
            <w:pPr>
              <w:jc w:val="center"/>
              <w:rPr>
                <w:rFonts w:cs="方正仿宋_GBK" w:asciiTheme="minorEastAsia" w:hAnsiTheme="minorEastAsia" w:eastAsiaTheme="minorEastAsia"/>
                <w:color w:val="auto"/>
                <w:sz w:val="21"/>
                <w:szCs w:val="21"/>
                <w:highlight w:val="none"/>
              </w:rPr>
            </w:pPr>
          </w:p>
        </w:tc>
        <w:tc>
          <w:tcPr>
            <w:tcW w:w="645" w:type="pct"/>
          </w:tcPr>
          <w:p w14:paraId="459E7504">
            <w:pPr>
              <w:jc w:val="center"/>
              <w:rPr>
                <w:rFonts w:cs="方正仿宋_GBK" w:asciiTheme="minorEastAsia" w:hAnsiTheme="minorEastAsia" w:eastAsiaTheme="minorEastAsia"/>
                <w:color w:val="auto"/>
                <w:sz w:val="21"/>
                <w:szCs w:val="21"/>
                <w:highlight w:val="none"/>
              </w:rPr>
            </w:pPr>
          </w:p>
        </w:tc>
        <w:tc>
          <w:tcPr>
            <w:tcW w:w="645" w:type="pct"/>
          </w:tcPr>
          <w:p w14:paraId="662A072B">
            <w:pPr>
              <w:jc w:val="center"/>
              <w:rPr>
                <w:rFonts w:cs="方正仿宋_GBK" w:asciiTheme="minorEastAsia" w:hAnsiTheme="minorEastAsia" w:eastAsiaTheme="minorEastAsia"/>
                <w:color w:val="auto"/>
                <w:sz w:val="21"/>
                <w:szCs w:val="21"/>
                <w:highlight w:val="none"/>
              </w:rPr>
            </w:pPr>
          </w:p>
        </w:tc>
        <w:tc>
          <w:tcPr>
            <w:tcW w:w="485" w:type="pct"/>
            <w:vAlign w:val="center"/>
          </w:tcPr>
          <w:p w14:paraId="1B6A7F86">
            <w:pPr>
              <w:jc w:val="center"/>
              <w:rPr>
                <w:rFonts w:cs="方正仿宋_GBK" w:asciiTheme="minorEastAsia" w:hAnsiTheme="minorEastAsia" w:eastAsiaTheme="minorEastAsia"/>
                <w:color w:val="auto"/>
                <w:sz w:val="21"/>
                <w:szCs w:val="21"/>
                <w:highlight w:val="none"/>
              </w:rPr>
            </w:pPr>
          </w:p>
        </w:tc>
        <w:tc>
          <w:tcPr>
            <w:tcW w:w="485" w:type="pct"/>
          </w:tcPr>
          <w:p w14:paraId="31F410C2">
            <w:pPr>
              <w:jc w:val="center"/>
              <w:rPr>
                <w:rFonts w:cs="方正仿宋_GBK" w:asciiTheme="minorEastAsia" w:hAnsiTheme="minorEastAsia" w:eastAsiaTheme="minorEastAsia"/>
                <w:color w:val="auto"/>
                <w:sz w:val="21"/>
                <w:szCs w:val="21"/>
                <w:highlight w:val="none"/>
              </w:rPr>
            </w:pPr>
          </w:p>
        </w:tc>
        <w:tc>
          <w:tcPr>
            <w:tcW w:w="485" w:type="pct"/>
          </w:tcPr>
          <w:p w14:paraId="792184F9">
            <w:pPr>
              <w:jc w:val="center"/>
              <w:rPr>
                <w:rFonts w:cs="方正仿宋_GBK" w:asciiTheme="minorEastAsia" w:hAnsiTheme="minorEastAsia" w:eastAsiaTheme="minorEastAsia"/>
                <w:color w:val="auto"/>
                <w:sz w:val="21"/>
                <w:szCs w:val="21"/>
                <w:highlight w:val="none"/>
              </w:rPr>
            </w:pPr>
          </w:p>
        </w:tc>
      </w:tr>
      <w:tr w14:paraId="3CB06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326BB777">
            <w:pPr>
              <w:pStyle w:val="7"/>
              <w:spacing w:line="240" w:lineRule="auto"/>
              <w:ind w:left="0"/>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8</w:t>
            </w:r>
          </w:p>
        </w:tc>
        <w:tc>
          <w:tcPr>
            <w:tcW w:w="485" w:type="pct"/>
            <w:vAlign w:val="center"/>
          </w:tcPr>
          <w:p w14:paraId="57DD82D0">
            <w:pPr>
              <w:jc w:val="center"/>
              <w:rPr>
                <w:rFonts w:cs="方正仿宋_GBK" w:asciiTheme="minorEastAsia" w:hAnsiTheme="minorEastAsia" w:eastAsiaTheme="minorEastAsia"/>
                <w:color w:val="auto"/>
                <w:sz w:val="21"/>
                <w:szCs w:val="21"/>
                <w:highlight w:val="none"/>
              </w:rPr>
            </w:pPr>
          </w:p>
        </w:tc>
        <w:tc>
          <w:tcPr>
            <w:tcW w:w="1285" w:type="pct"/>
          </w:tcPr>
          <w:p w14:paraId="6AA1099D">
            <w:pPr>
              <w:jc w:val="center"/>
              <w:rPr>
                <w:rFonts w:cs="方正仿宋_GBK" w:asciiTheme="minorEastAsia" w:hAnsiTheme="minorEastAsia" w:eastAsiaTheme="minorEastAsia"/>
                <w:color w:val="auto"/>
                <w:sz w:val="21"/>
                <w:szCs w:val="21"/>
                <w:highlight w:val="none"/>
              </w:rPr>
            </w:pPr>
          </w:p>
        </w:tc>
        <w:tc>
          <w:tcPr>
            <w:tcW w:w="645" w:type="pct"/>
          </w:tcPr>
          <w:p w14:paraId="16472D10">
            <w:pPr>
              <w:jc w:val="center"/>
              <w:rPr>
                <w:rFonts w:cs="方正仿宋_GBK" w:asciiTheme="minorEastAsia" w:hAnsiTheme="minorEastAsia" w:eastAsiaTheme="minorEastAsia"/>
                <w:color w:val="auto"/>
                <w:sz w:val="21"/>
                <w:szCs w:val="21"/>
                <w:highlight w:val="none"/>
              </w:rPr>
            </w:pPr>
          </w:p>
        </w:tc>
        <w:tc>
          <w:tcPr>
            <w:tcW w:w="645" w:type="pct"/>
          </w:tcPr>
          <w:p w14:paraId="45A35F16">
            <w:pPr>
              <w:jc w:val="center"/>
              <w:rPr>
                <w:rFonts w:cs="方正仿宋_GBK" w:asciiTheme="minorEastAsia" w:hAnsiTheme="minorEastAsia" w:eastAsiaTheme="minorEastAsia"/>
                <w:color w:val="auto"/>
                <w:sz w:val="21"/>
                <w:szCs w:val="21"/>
                <w:highlight w:val="none"/>
              </w:rPr>
            </w:pPr>
          </w:p>
        </w:tc>
        <w:tc>
          <w:tcPr>
            <w:tcW w:w="485" w:type="pct"/>
            <w:vAlign w:val="center"/>
          </w:tcPr>
          <w:p w14:paraId="584E7210">
            <w:pPr>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w:t>
            </w:r>
          </w:p>
        </w:tc>
        <w:tc>
          <w:tcPr>
            <w:tcW w:w="485" w:type="pct"/>
          </w:tcPr>
          <w:p w14:paraId="7449F557">
            <w:pPr>
              <w:jc w:val="center"/>
              <w:rPr>
                <w:rFonts w:cs="方正仿宋_GBK" w:asciiTheme="minorEastAsia" w:hAnsiTheme="minorEastAsia" w:eastAsiaTheme="minorEastAsia"/>
                <w:color w:val="auto"/>
                <w:sz w:val="21"/>
                <w:szCs w:val="21"/>
                <w:highlight w:val="none"/>
              </w:rPr>
            </w:pPr>
          </w:p>
        </w:tc>
        <w:tc>
          <w:tcPr>
            <w:tcW w:w="485" w:type="pct"/>
          </w:tcPr>
          <w:p w14:paraId="3B1B486E">
            <w:pPr>
              <w:jc w:val="center"/>
              <w:rPr>
                <w:rFonts w:cs="方正仿宋_GBK" w:asciiTheme="minorEastAsia" w:hAnsiTheme="minorEastAsia" w:eastAsiaTheme="minorEastAsia"/>
                <w:color w:val="auto"/>
                <w:sz w:val="21"/>
                <w:szCs w:val="21"/>
                <w:highlight w:val="none"/>
              </w:rPr>
            </w:pPr>
          </w:p>
        </w:tc>
      </w:tr>
      <w:tr w14:paraId="051E1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5FA67238">
            <w:pPr>
              <w:pStyle w:val="7"/>
              <w:spacing w:line="240" w:lineRule="auto"/>
              <w:ind w:left="0"/>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9</w:t>
            </w:r>
          </w:p>
        </w:tc>
        <w:tc>
          <w:tcPr>
            <w:tcW w:w="485" w:type="pct"/>
            <w:vAlign w:val="center"/>
          </w:tcPr>
          <w:p w14:paraId="39D4F5C5">
            <w:pPr>
              <w:jc w:val="center"/>
              <w:rPr>
                <w:rFonts w:cs="方正仿宋_GBK" w:asciiTheme="minorEastAsia" w:hAnsiTheme="minorEastAsia" w:eastAsiaTheme="minorEastAsia"/>
                <w:color w:val="auto"/>
                <w:sz w:val="21"/>
                <w:szCs w:val="21"/>
                <w:highlight w:val="none"/>
              </w:rPr>
            </w:pPr>
          </w:p>
        </w:tc>
        <w:tc>
          <w:tcPr>
            <w:tcW w:w="1285" w:type="pct"/>
          </w:tcPr>
          <w:p w14:paraId="30EBA10D">
            <w:pPr>
              <w:jc w:val="center"/>
              <w:rPr>
                <w:rFonts w:cs="方正仿宋_GBK" w:asciiTheme="minorEastAsia" w:hAnsiTheme="minorEastAsia" w:eastAsiaTheme="minorEastAsia"/>
                <w:color w:val="auto"/>
                <w:sz w:val="21"/>
                <w:szCs w:val="21"/>
                <w:highlight w:val="none"/>
              </w:rPr>
            </w:pPr>
          </w:p>
        </w:tc>
        <w:tc>
          <w:tcPr>
            <w:tcW w:w="645" w:type="pct"/>
          </w:tcPr>
          <w:p w14:paraId="47BA0A8C">
            <w:pPr>
              <w:jc w:val="center"/>
              <w:rPr>
                <w:rFonts w:cs="方正仿宋_GBK" w:asciiTheme="minorEastAsia" w:hAnsiTheme="minorEastAsia" w:eastAsiaTheme="minorEastAsia"/>
                <w:color w:val="auto"/>
                <w:sz w:val="21"/>
                <w:szCs w:val="21"/>
                <w:highlight w:val="none"/>
              </w:rPr>
            </w:pPr>
          </w:p>
        </w:tc>
        <w:tc>
          <w:tcPr>
            <w:tcW w:w="645" w:type="pct"/>
          </w:tcPr>
          <w:p w14:paraId="7052B825">
            <w:pPr>
              <w:jc w:val="center"/>
              <w:rPr>
                <w:rFonts w:cs="方正仿宋_GBK" w:asciiTheme="minorEastAsia" w:hAnsiTheme="minorEastAsia" w:eastAsiaTheme="minorEastAsia"/>
                <w:color w:val="auto"/>
                <w:sz w:val="21"/>
                <w:szCs w:val="21"/>
                <w:highlight w:val="none"/>
              </w:rPr>
            </w:pPr>
          </w:p>
        </w:tc>
        <w:tc>
          <w:tcPr>
            <w:tcW w:w="485" w:type="pct"/>
            <w:vAlign w:val="center"/>
          </w:tcPr>
          <w:p w14:paraId="18A110CB">
            <w:pPr>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w:t>
            </w:r>
          </w:p>
        </w:tc>
        <w:tc>
          <w:tcPr>
            <w:tcW w:w="485" w:type="pct"/>
          </w:tcPr>
          <w:p w14:paraId="40A75868">
            <w:pPr>
              <w:jc w:val="center"/>
              <w:rPr>
                <w:rFonts w:cs="方正仿宋_GBK" w:asciiTheme="minorEastAsia" w:hAnsiTheme="minorEastAsia" w:eastAsiaTheme="minorEastAsia"/>
                <w:color w:val="auto"/>
                <w:sz w:val="21"/>
                <w:szCs w:val="21"/>
                <w:highlight w:val="none"/>
              </w:rPr>
            </w:pPr>
          </w:p>
        </w:tc>
        <w:tc>
          <w:tcPr>
            <w:tcW w:w="485" w:type="pct"/>
          </w:tcPr>
          <w:p w14:paraId="0294B6AF">
            <w:pPr>
              <w:jc w:val="center"/>
              <w:rPr>
                <w:rFonts w:cs="方正仿宋_GBK" w:asciiTheme="minorEastAsia" w:hAnsiTheme="minorEastAsia" w:eastAsiaTheme="minorEastAsia"/>
                <w:color w:val="auto"/>
                <w:sz w:val="21"/>
                <w:szCs w:val="21"/>
                <w:highlight w:val="none"/>
              </w:rPr>
            </w:pPr>
          </w:p>
        </w:tc>
      </w:tr>
      <w:tr w14:paraId="011FA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4141B61E">
            <w:pPr>
              <w:pStyle w:val="7"/>
              <w:spacing w:line="240" w:lineRule="auto"/>
              <w:ind w:left="0"/>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10</w:t>
            </w:r>
          </w:p>
        </w:tc>
        <w:tc>
          <w:tcPr>
            <w:tcW w:w="485" w:type="pct"/>
            <w:vAlign w:val="center"/>
          </w:tcPr>
          <w:p w14:paraId="7A2E17EF">
            <w:pPr>
              <w:jc w:val="center"/>
              <w:rPr>
                <w:rFonts w:cs="方正仿宋_GBK" w:asciiTheme="minorEastAsia" w:hAnsiTheme="minorEastAsia" w:eastAsiaTheme="minorEastAsia"/>
                <w:color w:val="auto"/>
                <w:sz w:val="21"/>
                <w:szCs w:val="21"/>
                <w:highlight w:val="none"/>
              </w:rPr>
            </w:pPr>
          </w:p>
        </w:tc>
        <w:tc>
          <w:tcPr>
            <w:tcW w:w="1285" w:type="pct"/>
          </w:tcPr>
          <w:p w14:paraId="0AAB6B1F">
            <w:pPr>
              <w:jc w:val="center"/>
              <w:rPr>
                <w:rFonts w:cs="方正仿宋_GBK" w:asciiTheme="minorEastAsia" w:hAnsiTheme="minorEastAsia" w:eastAsiaTheme="minorEastAsia"/>
                <w:color w:val="auto"/>
                <w:sz w:val="21"/>
                <w:szCs w:val="21"/>
                <w:highlight w:val="none"/>
              </w:rPr>
            </w:pPr>
          </w:p>
        </w:tc>
        <w:tc>
          <w:tcPr>
            <w:tcW w:w="645" w:type="pct"/>
          </w:tcPr>
          <w:p w14:paraId="7AE68FE7">
            <w:pPr>
              <w:jc w:val="center"/>
              <w:rPr>
                <w:rFonts w:cs="方正仿宋_GBK" w:asciiTheme="minorEastAsia" w:hAnsiTheme="minorEastAsia" w:eastAsiaTheme="minorEastAsia"/>
                <w:color w:val="auto"/>
                <w:sz w:val="21"/>
                <w:szCs w:val="21"/>
                <w:highlight w:val="none"/>
              </w:rPr>
            </w:pPr>
          </w:p>
        </w:tc>
        <w:tc>
          <w:tcPr>
            <w:tcW w:w="645" w:type="pct"/>
          </w:tcPr>
          <w:p w14:paraId="62181ADC">
            <w:pPr>
              <w:jc w:val="center"/>
              <w:rPr>
                <w:rFonts w:cs="方正仿宋_GBK" w:asciiTheme="minorEastAsia" w:hAnsiTheme="minorEastAsia" w:eastAsiaTheme="minorEastAsia"/>
                <w:color w:val="auto"/>
                <w:sz w:val="21"/>
                <w:szCs w:val="21"/>
                <w:highlight w:val="none"/>
              </w:rPr>
            </w:pPr>
          </w:p>
        </w:tc>
        <w:tc>
          <w:tcPr>
            <w:tcW w:w="485" w:type="pct"/>
            <w:vAlign w:val="center"/>
          </w:tcPr>
          <w:p w14:paraId="4F4B8209">
            <w:pPr>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w:t>
            </w:r>
          </w:p>
        </w:tc>
        <w:tc>
          <w:tcPr>
            <w:tcW w:w="485" w:type="pct"/>
          </w:tcPr>
          <w:p w14:paraId="1AC61C76">
            <w:pPr>
              <w:jc w:val="center"/>
              <w:rPr>
                <w:rFonts w:cs="方正仿宋_GBK" w:asciiTheme="minorEastAsia" w:hAnsiTheme="minorEastAsia" w:eastAsiaTheme="minorEastAsia"/>
                <w:color w:val="auto"/>
                <w:sz w:val="21"/>
                <w:szCs w:val="21"/>
                <w:highlight w:val="none"/>
              </w:rPr>
            </w:pPr>
          </w:p>
        </w:tc>
        <w:tc>
          <w:tcPr>
            <w:tcW w:w="485" w:type="pct"/>
          </w:tcPr>
          <w:p w14:paraId="0CFC42BB">
            <w:pPr>
              <w:jc w:val="center"/>
              <w:rPr>
                <w:rFonts w:cs="方正仿宋_GBK" w:asciiTheme="minorEastAsia" w:hAnsiTheme="minorEastAsia" w:eastAsiaTheme="minorEastAsia"/>
                <w:color w:val="auto"/>
                <w:sz w:val="21"/>
                <w:szCs w:val="21"/>
                <w:highlight w:val="none"/>
              </w:rPr>
            </w:pPr>
          </w:p>
        </w:tc>
      </w:tr>
      <w:tr w14:paraId="1692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76339F6F">
            <w:pPr>
              <w:pStyle w:val="7"/>
              <w:spacing w:line="240" w:lineRule="auto"/>
              <w:ind w:left="0"/>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11</w:t>
            </w:r>
          </w:p>
        </w:tc>
        <w:tc>
          <w:tcPr>
            <w:tcW w:w="485" w:type="pct"/>
            <w:vAlign w:val="center"/>
          </w:tcPr>
          <w:p w14:paraId="2E8BB45A">
            <w:pPr>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w:t>
            </w:r>
          </w:p>
        </w:tc>
        <w:tc>
          <w:tcPr>
            <w:tcW w:w="1285" w:type="pct"/>
          </w:tcPr>
          <w:p w14:paraId="4779C137">
            <w:pPr>
              <w:jc w:val="center"/>
              <w:rPr>
                <w:rFonts w:cs="方正仿宋_GBK" w:asciiTheme="minorEastAsia" w:hAnsiTheme="minorEastAsia" w:eastAsiaTheme="minorEastAsia"/>
                <w:color w:val="auto"/>
                <w:sz w:val="21"/>
                <w:szCs w:val="21"/>
                <w:highlight w:val="none"/>
              </w:rPr>
            </w:pPr>
          </w:p>
        </w:tc>
        <w:tc>
          <w:tcPr>
            <w:tcW w:w="645" w:type="pct"/>
          </w:tcPr>
          <w:p w14:paraId="71467C86">
            <w:pPr>
              <w:jc w:val="center"/>
              <w:rPr>
                <w:rFonts w:cs="方正仿宋_GBK" w:asciiTheme="minorEastAsia" w:hAnsiTheme="minorEastAsia" w:eastAsiaTheme="minorEastAsia"/>
                <w:color w:val="auto"/>
                <w:sz w:val="21"/>
                <w:szCs w:val="21"/>
                <w:highlight w:val="none"/>
              </w:rPr>
            </w:pPr>
          </w:p>
        </w:tc>
        <w:tc>
          <w:tcPr>
            <w:tcW w:w="645" w:type="pct"/>
          </w:tcPr>
          <w:p w14:paraId="0306E31F">
            <w:pPr>
              <w:jc w:val="center"/>
              <w:rPr>
                <w:rFonts w:cs="方正仿宋_GBK" w:asciiTheme="minorEastAsia" w:hAnsiTheme="minorEastAsia" w:eastAsiaTheme="minorEastAsia"/>
                <w:color w:val="auto"/>
                <w:sz w:val="21"/>
                <w:szCs w:val="21"/>
                <w:highlight w:val="none"/>
              </w:rPr>
            </w:pPr>
          </w:p>
        </w:tc>
        <w:tc>
          <w:tcPr>
            <w:tcW w:w="485" w:type="pct"/>
            <w:vAlign w:val="center"/>
          </w:tcPr>
          <w:p w14:paraId="6F2CB4D2">
            <w:pPr>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w:t>
            </w:r>
          </w:p>
        </w:tc>
        <w:tc>
          <w:tcPr>
            <w:tcW w:w="485" w:type="pct"/>
          </w:tcPr>
          <w:p w14:paraId="0BC56130">
            <w:pPr>
              <w:jc w:val="center"/>
              <w:rPr>
                <w:rFonts w:cs="方正仿宋_GBK" w:asciiTheme="minorEastAsia" w:hAnsiTheme="minorEastAsia" w:eastAsiaTheme="minorEastAsia"/>
                <w:color w:val="auto"/>
                <w:sz w:val="21"/>
                <w:szCs w:val="21"/>
                <w:highlight w:val="none"/>
              </w:rPr>
            </w:pPr>
          </w:p>
        </w:tc>
        <w:tc>
          <w:tcPr>
            <w:tcW w:w="485" w:type="pct"/>
          </w:tcPr>
          <w:p w14:paraId="20770348">
            <w:pPr>
              <w:jc w:val="center"/>
              <w:rPr>
                <w:rFonts w:cs="方正仿宋_GBK" w:asciiTheme="minorEastAsia" w:hAnsiTheme="minorEastAsia" w:eastAsiaTheme="minorEastAsia"/>
                <w:color w:val="auto"/>
                <w:sz w:val="21"/>
                <w:szCs w:val="21"/>
                <w:highlight w:val="none"/>
              </w:rPr>
            </w:pPr>
          </w:p>
        </w:tc>
      </w:tr>
      <w:tr w14:paraId="5D830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2EE20C5A">
            <w:pPr>
              <w:pStyle w:val="7"/>
              <w:spacing w:line="240" w:lineRule="auto"/>
              <w:ind w:left="0"/>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12</w:t>
            </w:r>
          </w:p>
        </w:tc>
        <w:tc>
          <w:tcPr>
            <w:tcW w:w="485" w:type="pct"/>
            <w:vAlign w:val="center"/>
          </w:tcPr>
          <w:p w14:paraId="7355AB4E">
            <w:pPr>
              <w:jc w:val="center"/>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总计</w:t>
            </w:r>
          </w:p>
        </w:tc>
        <w:tc>
          <w:tcPr>
            <w:tcW w:w="4030" w:type="pct"/>
            <w:gridSpan w:val="6"/>
          </w:tcPr>
          <w:p w14:paraId="7E3E2CB9">
            <w:pPr>
              <w:rPr>
                <w:rFonts w:cs="方正仿宋_GBK" w:asciiTheme="minorEastAsia" w:hAnsiTheme="minorEastAsia" w:eastAsiaTheme="minorEastAsia"/>
                <w:color w:val="auto"/>
                <w:sz w:val="21"/>
                <w:szCs w:val="21"/>
                <w:highlight w:val="none"/>
              </w:rPr>
            </w:pPr>
          </w:p>
        </w:tc>
      </w:tr>
    </w:tbl>
    <w:p w14:paraId="7391A3C9">
      <w:pPr>
        <w:spacing w:line="500" w:lineRule="exact"/>
        <w:ind w:firstLine="480" w:firstLineChars="200"/>
        <w:rPr>
          <w:rFonts w:cs="方正仿宋_GBK" w:asciiTheme="minorEastAsia" w:hAnsiTheme="minorEastAsia" w:eastAsiaTheme="minorEastAsia"/>
          <w:color w:val="auto"/>
          <w:sz w:val="24"/>
          <w:szCs w:val="28"/>
          <w:highlight w:val="none"/>
        </w:rPr>
      </w:pPr>
    </w:p>
    <w:p w14:paraId="37694A41">
      <w:pPr>
        <w:spacing w:line="500" w:lineRule="exact"/>
        <w:ind w:firstLine="600" w:firstLineChars="25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投标人：                       法定代表人（或法定代表人授权代表）或自然人：</w:t>
      </w:r>
    </w:p>
    <w:p w14:paraId="4536CD6A">
      <w:pPr>
        <w:spacing w:line="500" w:lineRule="exact"/>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 xml:space="preserve">  （投标人公章）                               （签署或盖章）</w:t>
      </w:r>
    </w:p>
    <w:p w14:paraId="272966A0">
      <w:pPr>
        <w:spacing w:line="500" w:lineRule="exact"/>
        <w:rPr>
          <w:rFonts w:cs="方正仿宋_GBK" w:asciiTheme="minorEastAsia" w:hAnsiTheme="minorEastAsia" w:eastAsiaTheme="minorEastAsia"/>
          <w:color w:val="auto"/>
          <w:sz w:val="24"/>
          <w:szCs w:val="28"/>
          <w:highlight w:val="none"/>
        </w:rPr>
      </w:pPr>
    </w:p>
    <w:p w14:paraId="4F95E93E">
      <w:pPr>
        <w:spacing w:line="500" w:lineRule="exact"/>
        <w:rPr>
          <w:rFonts w:cs="方正仿宋_GBK" w:asciiTheme="minorEastAsia" w:hAnsiTheme="minorEastAsia" w:eastAsiaTheme="minorEastAsia"/>
          <w:color w:val="auto"/>
          <w:sz w:val="24"/>
          <w:szCs w:val="28"/>
          <w:highlight w:val="none"/>
        </w:rPr>
      </w:pPr>
    </w:p>
    <w:p w14:paraId="5EC25731">
      <w:pPr>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 xml:space="preserve">                                            年     月     日</w:t>
      </w:r>
    </w:p>
    <w:p w14:paraId="16AD4DC2">
      <w:pPr>
        <w:snapToGrid w:val="0"/>
        <w:spacing w:line="500" w:lineRule="exact"/>
        <w:ind w:firstLine="480" w:firstLineChars="200"/>
        <w:rPr>
          <w:rFonts w:cs="方正仿宋_GBK" w:asciiTheme="minorEastAsia" w:hAnsiTheme="minorEastAsia" w:eastAsiaTheme="minorEastAsia"/>
          <w:color w:val="auto"/>
          <w:sz w:val="24"/>
          <w:szCs w:val="28"/>
          <w:highlight w:val="none"/>
        </w:rPr>
      </w:pPr>
    </w:p>
    <w:p w14:paraId="466C1873">
      <w:pPr>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注：</w:t>
      </w:r>
    </w:p>
    <w:p w14:paraId="09C115C4">
      <w:pPr>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1.请投标人完整填写本表；</w:t>
      </w:r>
    </w:p>
    <w:p w14:paraId="71EE2D81">
      <w:pPr>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2.该表可扩展。</w:t>
      </w:r>
    </w:p>
    <w:p w14:paraId="10706C1C">
      <w:pPr>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3.所有子设备均须在本表里明确品牌型号。</w:t>
      </w:r>
    </w:p>
    <w:p w14:paraId="4BD65E7C">
      <w:pPr>
        <w:snapToGrid w:val="0"/>
        <w:spacing w:line="500" w:lineRule="exact"/>
        <w:ind w:firstLine="480" w:firstLineChars="200"/>
        <w:rPr>
          <w:rFonts w:cs="方正仿宋_GBK" w:asciiTheme="minorEastAsia" w:hAnsiTheme="minorEastAsia" w:eastAsiaTheme="minorEastAsia"/>
          <w:color w:val="auto"/>
          <w:sz w:val="24"/>
          <w:szCs w:val="28"/>
          <w:highlight w:val="none"/>
        </w:rPr>
      </w:pPr>
    </w:p>
    <w:p w14:paraId="122D3B71">
      <w:pPr>
        <w:pStyle w:val="3"/>
        <w:pageBreakBefore/>
        <w:spacing w:line="500" w:lineRule="exact"/>
        <w:ind w:firstLine="562" w:firstLineChars="200"/>
        <w:rPr>
          <w:rFonts w:cs="方正仿宋_GBK" w:asciiTheme="minorEastAsia" w:hAnsiTheme="minorEastAsia" w:eastAsiaTheme="minorEastAsia"/>
          <w:b/>
          <w:color w:val="auto"/>
          <w:szCs w:val="28"/>
          <w:highlight w:val="none"/>
        </w:rPr>
      </w:pPr>
      <w:bookmarkStart w:id="651" w:name="_Toc5109"/>
      <w:bookmarkStart w:id="652" w:name="_Toc23774"/>
      <w:bookmarkStart w:id="653" w:name="_Toc21779"/>
      <w:bookmarkStart w:id="654" w:name="_Toc204345245"/>
      <w:bookmarkStart w:id="655" w:name="_Toc3224"/>
      <w:bookmarkStart w:id="656" w:name="_Toc15573"/>
      <w:bookmarkStart w:id="657" w:name="_Toc15891"/>
      <w:bookmarkStart w:id="658" w:name="_Toc26723"/>
      <w:bookmarkStart w:id="659" w:name="_Toc31344"/>
      <w:bookmarkStart w:id="660" w:name="_Toc493178790"/>
      <w:bookmarkStart w:id="661" w:name="_Toc75793541"/>
      <w:bookmarkStart w:id="662" w:name="_Toc21203"/>
      <w:bookmarkStart w:id="663" w:name="_Toc14980"/>
      <w:bookmarkStart w:id="664" w:name="_Toc2784"/>
      <w:bookmarkStart w:id="665" w:name="_Toc29441"/>
      <w:bookmarkStart w:id="666" w:name="_Toc5166"/>
      <w:bookmarkStart w:id="667" w:name="_Toc2386"/>
      <w:bookmarkStart w:id="668" w:name="_Toc7244"/>
      <w:bookmarkStart w:id="669" w:name="_Toc13820"/>
      <w:bookmarkStart w:id="670" w:name="_Toc1842"/>
      <w:bookmarkStart w:id="671" w:name="_Toc3836"/>
      <w:bookmarkStart w:id="672" w:name="_Toc11188"/>
      <w:r>
        <w:rPr>
          <w:rFonts w:hint="eastAsia" w:cs="方正仿宋_GBK" w:asciiTheme="minorEastAsia" w:hAnsiTheme="minorEastAsia" w:eastAsiaTheme="minorEastAsia"/>
          <w:b/>
          <w:color w:val="auto"/>
          <w:szCs w:val="28"/>
          <w:highlight w:val="none"/>
        </w:rPr>
        <w:t>二、技术（质量）文件</w:t>
      </w:r>
      <w:bookmarkEnd w:id="651"/>
      <w:bookmarkEnd w:id="652"/>
      <w:bookmarkEnd w:id="653"/>
      <w:bookmarkEnd w:id="654"/>
      <w:bookmarkEnd w:id="655"/>
      <w:bookmarkEnd w:id="656"/>
      <w:bookmarkEnd w:id="657"/>
    </w:p>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14:paraId="151EB073">
      <w:pPr>
        <w:ind w:firstLine="480"/>
        <w:jc w:val="left"/>
        <w:rPr>
          <w:rFonts w:cs="方正仿宋_GBK" w:asciiTheme="minorEastAsia" w:hAnsiTheme="minorEastAsia" w:eastAsiaTheme="minorEastAsia"/>
          <w:b/>
          <w:color w:val="auto"/>
          <w:szCs w:val="28"/>
          <w:highlight w:val="none"/>
        </w:rPr>
      </w:pPr>
    </w:p>
    <w:p w14:paraId="0F4E17E5">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（一）技术（质量）条款差异表</w:t>
      </w:r>
    </w:p>
    <w:p w14:paraId="54477D60">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项目号：</w:t>
      </w:r>
    </w:p>
    <w:p w14:paraId="1DFD2EF0">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招标项目名称：</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0"/>
        <w:gridCol w:w="2900"/>
        <w:gridCol w:w="3009"/>
        <w:gridCol w:w="2253"/>
      </w:tblGrid>
      <w:tr w14:paraId="434FA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161D0FF6">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序号</w:t>
            </w:r>
          </w:p>
        </w:tc>
        <w:tc>
          <w:tcPr>
            <w:tcW w:w="1542" w:type="pct"/>
            <w:vAlign w:val="center"/>
          </w:tcPr>
          <w:p w14:paraId="0B6205FC">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招标要求</w:t>
            </w:r>
          </w:p>
        </w:tc>
        <w:tc>
          <w:tcPr>
            <w:tcW w:w="1600" w:type="pct"/>
            <w:vAlign w:val="center"/>
          </w:tcPr>
          <w:p w14:paraId="4AA6E93A">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投标应答</w:t>
            </w:r>
          </w:p>
        </w:tc>
        <w:tc>
          <w:tcPr>
            <w:tcW w:w="1199" w:type="pct"/>
            <w:vAlign w:val="center"/>
          </w:tcPr>
          <w:p w14:paraId="5D323820">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差异说明</w:t>
            </w:r>
          </w:p>
        </w:tc>
      </w:tr>
      <w:tr w14:paraId="4663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1095780">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5FDDA013">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0C03DF7D">
            <w:pPr>
              <w:tabs>
                <w:tab w:val="left" w:pos="6300"/>
              </w:tabs>
              <w:snapToGrid w:val="0"/>
              <w:spacing w:line="500" w:lineRule="exact"/>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提醒：请注明技术参数或具体内容以及投标文件中技术参数或具体内容的位置（页码）</w:t>
            </w:r>
          </w:p>
        </w:tc>
        <w:tc>
          <w:tcPr>
            <w:tcW w:w="1199" w:type="pct"/>
            <w:vAlign w:val="center"/>
          </w:tcPr>
          <w:p w14:paraId="5598CBBB">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2B935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7F43565">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61A59001">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06F35527">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2D9990C2">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0DA4C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8ED79BD">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55C4348B">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2374357B">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4AA7E619">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6AC9B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D7D664F">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1B8F646A">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15A7394E">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53FE6E02">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7CF9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25ADE72">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68654E8D">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6A79FCBD">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1108B9CE">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69418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B13C594">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7C34CC66">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2B052B6A">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7C54DB57">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4EFA4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8B8D0B0">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6584F8F3">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3A09F4DA">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2A1951A2">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21CF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F1B7B7D">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29B4DDEF">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0997C34A">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7A61BE6B">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248C0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0DB0349">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5CFA8D7D">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7CCE1F41">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30279BC7">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0A5D4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A61A490">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160749D1">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176793B0">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2C0BA3C7">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bl>
    <w:p w14:paraId="4013AA54">
      <w:pPr>
        <w:spacing w:line="500" w:lineRule="exact"/>
        <w:ind w:firstLine="600" w:firstLineChars="25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投标人：                      法定代表人（或法定代表人授权代表）或自然人：</w:t>
      </w:r>
    </w:p>
    <w:p w14:paraId="4BA5504C">
      <w:pPr>
        <w:spacing w:line="500" w:lineRule="exact"/>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 xml:space="preserve">    （投标人公章）                               （签署或盖章）</w:t>
      </w:r>
    </w:p>
    <w:p w14:paraId="18D3CEB5">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szCs w:val="28"/>
          <w:highlight w:val="none"/>
        </w:rPr>
        <w:t xml:space="preserve">                                            年     月     日</w:t>
      </w:r>
    </w:p>
    <w:p w14:paraId="6FB33715">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注：</w:t>
      </w:r>
    </w:p>
    <w:p w14:paraId="20B300D0">
      <w:pPr>
        <w:tabs>
          <w:tab w:val="left" w:pos="6300"/>
        </w:tabs>
        <w:snapToGrid w:val="0"/>
        <w:spacing w:line="500" w:lineRule="exact"/>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1.本表即为对本项目“第二篇  项目技术（质量）需求”中所列条款进行比较和响应；</w:t>
      </w:r>
    </w:p>
    <w:p w14:paraId="6BF9D139">
      <w:pPr>
        <w:tabs>
          <w:tab w:val="left" w:pos="6300"/>
        </w:tabs>
        <w:snapToGrid w:val="0"/>
        <w:spacing w:line="500" w:lineRule="exact"/>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2.本表可扩展；</w:t>
      </w:r>
    </w:p>
    <w:p w14:paraId="2285473B">
      <w:pPr>
        <w:tabs>
          <w:tab w:val="left" w:pos="6300"/>
        </w:tabs>
        <w:snapToGrid w:val="0"/>
        <w:spacing w:line="500" w:lineRule="exact"/>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3.可附相关技术（质量）支撑材料。（格式自定）</w:t>
      </w:r>
    </w:p>
    <w:p w14:paraId="6FEED7DC">
      <w:pPr>
        <w:tabs>
          <w:tab w:val="left" w:pos="6300"/>
        </w:tabs>
        <w:snapToGrid w:val="0"/>
        <w:spacing w:line="500" w:lineRule="exact"/>
        <w:ind w:firstLine="570"/>
        <w:rPr>
          <w:rFonts w:cs="方正仿宋_GBK" w:asciiTheme="minorEastAsia" w:hAnsiTheme="minorEastAsia" w:eastAsiaTheme="minorEastAsia"/>
          <w:color w:val="auto"/>
          <w:szCs w:val="24"/>
          <w:highlight w:val="none"/>
        </w:rPr>
      </w:pPr>
      <w:r>
        <w:rPr>
          <w:rFonts w:hint="eastAsia" w:cs="方正仿宋_GBK" w:asciiTheme="minorEastAsia" w:hAnsiTheme="minorEastAsia" w:eastAsiaTheme="minorEastAsia"/>
          <w:color w:val="auto"/>
          <w:sz w:val="24"/>
          <w:szCs w:val="28"/>
          <w:highlight w:val="none"/>
        </w:rPr>
        <w:t>4.投标应答栏中应当注明技术参数或具体内容，且必须标注技术参数或具体内容在投标文件中的位置（页码）。</w:t>
      </w:r>
    </w:p>
    <w:p w14:paraId="66088368">
      <w:pPr>
        <w:tabs>
          <w:tab w:val="left" w:pos="6300"/>
        </w:tabs>
        <w:snapToGrid w:val="0"/>
        <w:spacing w:line="500" w:lineRule="exact"/>
        <w:ind w:firstLine="57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Cs w:val="24"/>
          <w:highlight w:val="none"/>
        </w:rPr>
        <w:br w:type="page"/>
      </w:r>
      <w:r>
        <w:rPr>
          <w:rFonts w:hint="eastAsia" w:cs="方正仿宋_GBK" w:asciiTheme="minorEastAsia" w:hAnsiTheme="minorEastAsia" w:eastAsiaTheme="minorEastAsia"/>
          <w:color w:val="auto"/>
          <w:sz w:val="24"/>
          <w:szCs w:val="28"/>
          <w:highlight w:val="none"/>
        </w:rPr>
        <w:t>（二）其他技术（质量）资料</w:t>
      </w:r>
    </w:p>
    <w:p w14:paraId="7628F862">
      <w:pPr>
        <w:tabs>
          <w:tab w:val="left" w:pos="6300"/>
        </w:tabs>
        <w:snapToGrid w:val="0"/>
        <w:spacing w:line="500" w:lineRule="exact"/>
        <w:ind w:firstLine="570"/>
        <w:rPr>
          <w:rFonts w:cs="方正仿宋_GBK" w:asciiTheme="minorEastAsia" w:hAnsiTheme="minorEastAsia" w:eastAsiaTheme="minorEastAsia"/>
          <w:color w:val="auto"/>
          <w:sz w:val="24"/>
          <w:szCs w:val="28"/>
          <w:highlight w:val="none"/>
        </w:rPr>
      </w:pPr>
    </w:p>
    <w:p w14:paraId="0070498B">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14:paraId="3D3E163D">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说明：</w:t>
      </w:r>
    </w:p>
    <w:p w14:paraId="7BD6B8FB">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1.提供所投产品列入《财政部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14:paraId="5FE59841">
      <w:pPr>
        <w:tabs>
          <w:tab w:val="left" w:pos="6300"/>
        </w:tabs>
        <w:snapToGrid w:val="0"/>
        <w:spacing w:line="500" w:lineRule="exact"/>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8"/>
          <w:highlight w:val="none"/>
        </w:rPr>
        <w:t>2.提供所投产品列入《财政部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p w14:paraId="6D93AAEA">
      <w:pPr>
        <w:snapToGrid w:val="0"/>
        <w:spacing w:line="500" w:lineRule="exact"/>
        <w:ind w:firstLine="480" w:firstLineChars="200"/>
        <w:rPr>
          <w:rFonts w:cs="方正仿宋_GBK" w:asciiTheme="minorEastAsia" w:hAnsiTheme="minorEastAsia" w:eastAsiaTheme="minorEastAsia"/>
          <w:color w:val="auto"/>
          <w:sz w:val="24"/>
          <w:szCs w:val="28"/>
          <w:highlight w:val="none"/>
        </w:rPr>
      </w:pPr>
    </w:p>
    <w:p w14:paraId="0055F6B1">
      <w:pPr>
        <w:pStyle w:val="3"/>
        <w:pageBreakBefore/>
        <w:spacing w:line="500" w:lineRule="exact"/>
        <w:ind w:firstLine="562" w:firstLineChars="200"/>
        <w:rPr>
          <w:rFonts w:cs="方正仿宋_GBK" w:asciiTheme="minorEastAsia" w:hAnsiTheme="minorEastAsia" w:eastAsiaTheme="minorEastAsia"/>
          <w:b/>
          <w:color w:val="auto"/>
          <w:szCs w:val="28"/>
          <w:highlight w:val="none"/>
        </w:rPr>
      </w:pPr>
      <w:bookmarkStart w:id="673" w:name="_Toc204345246"/>
      <w:bookmarkStart w:id="674" w:name="_Toc7069"/>
      <w:bookmarkStart w:id="675" w:name="_Toc23523"/>
      <w:bookmarkStart w:id="676" w:name="_Toc10372"/>
      <w:bookmarkStart w:id="677" w:name="_Toc14954"/>
      <w:bookmarkStart w:id="678" w:name="_Toc26494"/>
      <w:bookmarkStart w:id="679" w:name="_Toc493178791"/>
      <w:bookmarkStart w:id="680" w:name="_Toc75793542"/>
      <w:bookmarkStart w:id="681" w:name="_Toc30496"/>
      <w:bookmarkStart w:id="682" w:name="_Toc6786"/>
      <w:bookmarkStart w:id="683" w:name="_Toc5573"/>
      <w:bookmarkStart w:id="684" w:name="_Toc28242"/>
      <w:bookmarkStart w:id="685" w:name="_Toc8958"/>
      <w:bookmarkStart w:id="686" w:name="_Toc31714"/>
      <w:bookmarkStart w:id="687" w:name="_Toc492721039"/>
      <w:bookmarkStart w:id="688" w:name="_Toc17290"/>
      <w:bookmarkStart w:id="689" w:name="_Toc32670"/>
      <w:bookmarkStart w:id="690" w:name="_Toc4362"/>
      <w:bookmarkStart w:id="691" w:name="_Toc22113"/>
      <w:r>
        <w:rPr>
          <w:rFonts w:hint="eastAsia" w:cs="方正仿宋_GBK" w:asciiTheme="minorEastAsia" w:hAnsiTheme="minorEastAsia" w:eastAsiaTheme="minorEastAsia"/>
          <w:b/>
          <w:color w:val="auto"/>
          <w:szCs w:val="28"/>
          <w:highlight w:val="none"/>
        </w:rPr>
        <w:t>三、商务文件</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p w14:paraId="7791A9D9">
      <w:pPr>
        <w:snapToGrid w:val="0"/>
        <w:spacing w:before="120" w:beforeLines="50" w:line="500" w:lineRule="exact"/>
        <w:jc w:val="center"/>
        <w:rPr>
          <w:rFonts w:cs="方正仿宋_GBK" w:asciiTheme="minorEastAsia" w:hAnsiTheme="minorEastAsia" w:eastAsiaTheme="minorEastAsia"/>
          <w:color w:val="auto"/>
          <w:szCs w:val="28"/>
          <w:highlight w:val="none"/>
        </w:rPr>
      </w:pPr>
      <w:r>
        <w:rPr>
          <w:rFonts w:hint="eastAsia" w:cs="方正仿宋_GBK" w:asciiTheme="minorEastAsia" w:hAnsiTheme="minorEastAsia" w:eastAsiaTheme="minorEastAsia"/>
          <w:color w:val="auto"/>
          <w:szCs w:val="28"/>
          <w:highlight w:val="none"/>
        </w:rPr>
        <w:t>（一）投标函（格式）</w:t>
      </w:r>
    </w:p>
    <w:p w14:paraId="00330C0B">
      <w:pPr>
        <w:spacing w:line="500" w:lineRule="exact"/>
        <w:rPr>
          <w:rFonts w:cs="方正仿宋_GBK" w:asciiTheme="minorEastAsia" w:hAnsiTheme="minorEastAsia" w:eastAsiaTheme="minorEastAsia"/>
          <w:color w:val="auto"/>
          <w:sz w:val="24"/>
          <w:szCs w:val="28"/>
          <w:highlight w:val="none"/>
        </w:rPr>
      </w:pPr>
    </w:p>
    <w:p w14:paraId="76DB6EB2">
      <w:pPr>
        <w:spacing w:line="500" w:lineRule="exact"/>
        <w:ind w:firstLine="480" w:firstLineChars="200"/>
        <w:rPr>
          <w:rFonts w:cs="方正仿宋_GBK" w:asciiTheme="minorEastAsia" w:hAnsiTheme="minorEastAsia" w:eastAsiaTheme="minorEastAsia"/>
          <w:color w:val="auto"/>
          <w:sz w:val="24"/>
          <w:szCs w:val="28"/>
          <w:highlight w:val="none"/>
          <w:u w:val="single"/>
        </w:rPr>
      </w:pPr>
      <w:r>
        <w:rPr>
          <w:rFonts w:hint="eastAsia" w:cs="方正仿宋_GBK" w:asciiTheme="minorEastAsia" w:hAnsiTheme="minorEastAsia" w:eastAsiaTheme="minorEastAsia"/>
          <w:color w:val="auto"/>
          <w:sz w:val="24"/>
          <w:szCs w:val="28"/>
          <w:highlight w:val="none"/>
        </w:rPr>
        <w:t>招标项目名称：</w:t>
      </w:r>
      <w:r>
        <w:rPr>
          <w:rFonts w:hint="eastAsia" w:cs="方正仿宋_GBK" w:asciiTheme="minorEastAsia" w:hAnsiTheme="minorEastAsia" w:eastAsiaTheme="minorEastAsia"/>
          <w:color w:val="auto"/>
          <w:sz w:val="24"/>
          <w:szCs w:val="28"/>
          <w:highlight w:val="none"/>
          <w:u w:val="single"/>
        </w:rPr>
        <w:t xml:space="preserve">                                             </w:t>
      </w:r>
    </w:p>
    <w:p w14:paraId="31413B32">
      <w:pPr>
        <w:spacing w:line="500" w:lineRule="exact"/>
        <w:rPr>
          <w:rFonts w:cs="方正仿宋_GBK" w:asciiTheme="minorEastAsia" w:hAnsiTheme="minorEastAsia" w:eastAsiaTheme="minorEastAsia"/>
          <w:color w:val="auto"/>
          <w:sz w:val="24"/>
          <w:szCs w:val="28"/>
          <w:highlight w:val="none"/>
        </w:rPr>
      </w:pPr>
    </w:p>
    <w:p w14:paraId="43B47284">
      <w:pPr>
        <w:tabs>
          <w:tab w:val="left" w:pos="6300"/>
        </w:tabs>
        <w:snapToGrid w:val="0"/>
        <w:spacing w:line="500" w:lineRule="exact"/>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致：</w:t>
      </w:r>
      <w:r>
        <w:rPr>
          <w:rFonts w:hint="eastAsia" w:cs="方正仿宋_GBK" w:asciiTheme="minorEastAsia" w:hAnsiTheme="minorEastAsia" w:eastAsiaTheme="minorEastAsia"/>
          <w:color w:val="auto"/>
          <w:sz w:val="24"/>
          <w:szCs w:val="28"/>
          <w:highlight w:val="none"/>
          <w:u w:val="single"/>
        </w:rPr>
        <w:t xml:space="preserve">                    </w:t>
      </w:r>
      <w:r>
        <w:rPr>
          <w:rFonts w:hint="eastAsia" w:cs="方正仿宋_GBK" w:asciiTheme="minorEastAsia" w:hAnsiTheme="minorEastAsia" w:eastAsiaTheme="minorEastAsia"/>
          <w:color w:val="auto"/>
          <w:sz w:val="24"/>
          <w:szCs w:val="28"/>
          <w:highlight w:val="none"/>
        </w:rPr>
        <w:t>（采购代理机构名称）：</w:t>
      </w:r>
    </w:p>
    <w:p w14:paraId="6F93C367">
      <w:pPr>
        <w:snapToGrid w:val="0"/>
        <w:spacing w:before="120" w:beforeLines="50"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u w:val="single"/>
        </w:rPr>
        <w:t xml:space="preserve">                        </w:t>
      </w:r>
      <w:r>
        <w:rPr>
          <w:rFonts w:hint="eastAsia" w:cs="方正仿宋_GBK" w:asciiTheme="minorEastAsia" w:hAnsiTheme="minorEastAsia" w:eastAsiaTheme="minorEastAsia"/>
          <w:color w:val="auto"/>
          <w:sz w:val="24"/>
          <w:szCs w:val="28"/>
          <w:highlight w:val="none"/>
        </w:rPr>
        <w:t>（投标人名称）系中华人民共和国合法企业，注册地址：</w:t>
      </w:r>
      <w:r>
        <w:rPr>
          <w:rFonts w:hint="eastAsia" w:cs="方正仿宋_GBK" w:asciiTheme="minorEastAsia" w:hAnsiTheme="minorEastAsia" w:eastAsiaTheme="minorEastAsia"/>
          <w:color w:val="auto"/>
          <w:sz w:val="24"/>
          <w:szCs w:val="28"/>
          <w:highlight w:val="none"/>
          <w:u w:val="single"/>
        </w:rPr>
        <w:t xml:space="preserve">                               </w:t>
      </w:r>
      <w:r>
        <w:rPr>
          <w:rFonts w:hint="eastAsia" w:cs="方正仿宋_GBK" w:asciiTheme="minorEastAsia" w:hAnsiTheme="minorEastAsia" w:eastAsiaTheme="minorEastAsia"/>
          <w:color w:val="auto"/>
          <w:sz w:val="24"/>
          <w:szCs w:val="28"/>
          <w:highlight w:val="none"/>
        </w:rPr>
        <w:t>。我方就参加本次投标有关事项郑重声明如下：</w:t>
      </w:r>
    </w:p>
    <w:p w14:paraId="037537E2">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一、我方完全理解并接受该项目招标文件所有要求。</w:t>
      </w:r>
    </w:p>
    <w:p w14:paraId="087DF09D">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二、我方提交的所有投标文件、资料都是准确和真实的，如有虚假或隐瞒，我方愿意承担一切法律责任。</w:t>
      </w:r>
    </w:p>
    <w:p w14:paraId="3350E2D8">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三、我方承诺按照招标文件要求，提供招标项目的技术（质量）服务。</w:t>
      </w:r>
    </w:p>
    <w:p w14:paraId="0FCAB9D8">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四、我方按招标文件要求提交的投标文件为：投标文件正本1份，副本  份，电子文档  份。</w:t>
      </w:r>
    </w:p>
    <w:p w14:paraId="4A2117C6">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五、我方承诺：本次投标的投标有效期为</w:t>
      </w:r>
      <w:r>
        <w:rPr>
          <w:rFonts w:hint="eastAsia" w:cs="方正仿宋_GBK" w:asciiTheme="minorEastAsia" w:hAnsiTheme="minorEastAsia" w:eastAsiaTheme="minorEastAsia"/>
          <w:color w:val="auto"/>
          <w:sz w:val="24"/>
          <w:highlight w:val="none"/>
        </w:rPr>
        <w:t>投标截止时间</w:t>
      </w:r>
      <w:r>
        <w:rPr>
          <w:rFonts w:hint="eastAsia" w:cs="方正仿宋_GBK" w:asciiTheme="minorEastAsia" w:hAnsiTheme="minorEastAsia" w:eastAsiaTheme="minorEastAsia"/>
          <w:color w:val="auto"/>
          <w:sz w:val="24"/>
          <w:szCs w:val="28"/>
          <w:highlight w:val="none"/>
        </w:rPr>
        <w:t>起90天。</w:t>
      </w:r>
    </w:p>
    <w:p w14:paraId="06276086">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六、我方投标报价为闭口价。即在投标有效期和合同有效期内，该报价固定不变。</w:t>
      </w:r>
    </w:p>
    <w:p w14:paraId="1AC731FC">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七、如果我方中标，我方将履行招标文件中规定的各项要求以及我方投标文件的各项承诺，按《中华人民共和国政府采购法》、《中华人民共和国民法典》及合同约定条款承担我方责任。</w:t>
      </w:r>
    </w:p>
    <w:p w14:paraId="4D8BAFAE">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八、我方未</w:t>
      </w:r>
      <w:r>
        <w:rPr>
          <w:rFonts w:hint="eastAsia" w:cs="方正仿宋_GBK" w:asciiTheme="minorEastAsia" w:hAnsiTheme="minorEastAsia" w:eastAsiaTheme="minorEastAsia"/>
          <w:color w:val="auto"/>
          <w:sz w:val="24"/>
          <w:szCs w:val="24"/>
          <w:highlight w:val="none"/>
        </w:rPr>
        <w:t>为采购项目提供整体设计、规范编制或者项目管理、监理、检测等服务。</w:t>
      </w:r>
    </w:p>
    <w:p w14:paraId="05236CAA">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九、我方理解，最低报价不是中标的唯一条件。</w:t>
      </w:r>
    </w:p>
    <w:p w14:paraId="52C348E3">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十、我方同意按有关规定及招标文件要求，交纳足额投标保证金。</w:t>
      </w:r>
    </w:p>
    <w:p w14:paraId="6E482451">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十一、若我方中标，愿意按有关规定及招标文件要求缴纳招标代理服务费和交易服务费。</w:t>
      </w:r>
    </w:p>
    <w:p w14:paraId="2B8E04C9">
      <w:pPr>
        <w:tabs>
          <w:tab w:val="left" w:pos="6300"/>
        </w:tabs>
        <w:snapToGrid w:val="0"/>
        <w:spacing w:line="500" w:lineRule="exact"/>
        <w:ind w:firstLine="570"/>
        <w:rPr>
          <w:rFonts w:cs="方正仿宋_GBK" w:asciiTheme="minorEastAsia" w:hAnsiTheme="minorEastAsia" w:eastAsiaTheme="minorEastAsia"/>
          <w:color w:val="auto"/>
          <w:sz w:val="24"/>
          <w:szCs w:val="28"/>
          <w:highlight w:val="none"/>
        </w:rPr>
      </w:pPr>
    </w:p>
    <w:p w14:paraId="5E64F9AA">
      <w:pPr>
        <w:tabs>
          <w:tab w:val="left" w:pos="6300"/>
        </w:tabs>
        <w:snapToGrid w:val="0"/>
        <w:spacing w:line="500" w:lineRule="exact"/>
        <w:ind w:firstLine="5460" w:firstLineChars="2275"/>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（投标人公章或自然人签署）</w:t>
      </w:r>
    </w:p>
    <w:p w14:paraId="044D10D2">
      <w:pPr>
        <w:tabs>
          <w:tab w:val="left" w:pos="6300"/>
        </w:tabs>
        <w:snapToGrid w:val="0"/>
        <w:spacing w:line="500" w:lineRule="exact"/>
        <w:ind w:firstLine="5760" w:firstLineChars="2400"/>
        <w:rPr>
          <w:rFonts w:cs="方正仿宋_GBK" w:asciiTheme="minorEastAsia" w:hAnsiTheme="minorEastAsia" w:eastAsiaTheme="minorEastAsia"/>
          <w:color w:val="auto"/>
          <w:szCs w:val="28"/>
          <w:highlight w:val="none"/>
        </w:rPr>
      </w:pPr>
      <w:r>
        <w:rPr>
          <w:rFonts w:hint="eastAsia" w:cs="方正仿宋_GBK" w:asciiTheme="minorEastAsia" w:hAnsiTheme="minorEastAsia" w:eastAsiaTheme="minorEastAsia"/>
          <w:color w:val="auto"/>
          <w:sz w:val="24"/>
          <w:szCs w:val="28"/>
          <w:highlight w:val="none"/>
        </w:rPr>
        <w:t>年    月   日</w:t>
      </w:r>
    </w:p>
    <w:p w14:paraId="61C9CE55">
      <w:pPr>
        <w:snapToGrid w:val="0"/>
        <w:spacing w:line="400" w:lineRule="exact"/>
        <w:ind w:firstLine="56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Cs w:val="44"/>
          <w:highlight w:val="none"/>
        </w:rPr>
        <w:br w:type="page"/>
      </w:r>
      <w:r>
        <w:rPr>
          <w:rFonts w:hint="eastAsia" w:cs="方正仿宋_GBK" w:asciiTheme="minorEastAsia" w:hAnsiTheme="minorEastAsia" w:eastAsiaTheme="minorEastAsia"/>
          <w:color w:val="auto"/>
          <w:sz w:val="24"/>
          <w:szCs w:val="28"/>
          <w:highlight w:val="none"/>
        </w:rPr>
        <w:t>（二）商务条款差异表</w:t>
      </w:r>
    </w:p>
    <w:p w14:paraId="3FC760B6">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项目号：</w:t>
      </w:r>
    </w:p>
    <w:p w14:paraId="014C2C1E">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招标项目名称：</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0"/>
        <w:gridCol w:w="2900"/>
        <w:gridCol w:w="3009"/>
        <w:gridCol w:w="2253"/>
      </w:tblGrid>
      <w:tr w14:paraId="04CE6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6AEEE251">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序号</w:t>
            </w:r>
          </w:p>
        </w:tc>
        <w:tc>
          <w:tcPr>
            <w:tcW w:w="1542" w:type="pct"/>
            <w:vAlign w:val="center"/>
          </w:tcPr>
          <w:p w14:paraId="48E9839E">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招标商务要求</w:t>
            </w:r>
          </w:p>
        </w:tc>
        <w:tc>
          <w:tcPr>
            <w:tcW w:w="1600" w:type="pct"/>
            <w:vAlign w:val="center"/>
          </w:tcPr>
          <w:p w14:paraId="56A9E442">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投标商务应答</w:t>
            </w:r>
          </w:p>
        </w:tc>
        <w:tc>
          <w:tcPr>
            <w:tcW w:w="1199" w:type="pct"/>
            <w:vAlign w:val="center"/>
          </w:tcPr>
          <w:p w14:paraId="5D8FED95">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差异说明</w:t>
            </w:r>
          </w:p>
        </w:tc>
      </w:tr>
      <w:tr w14:paraId="67DF1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02BC46A7">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57FED749">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7A186A3F">
            <w:pPr>
              <w:tabs>
                <w:tab w:val="left" w:pos="6300"/>
              </w:tabs>
              <w:snapToGrid w:val="0"/>
              <w:spacing w:line="500" w:lineRule="exact"/>
              <w:outlineLvl w:val="0"/>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提醒：请注明具体内容以及投标文件中具体内容的位置（页码）</w:t>
            </w:r>
          </w:p>
        </w:tc>
        <w:tc>
          <w:tcPr>
            <w:tcW w:w="1199" w:type="pct"/>
            <w:vAlign w:val="center"/>
          </w:tcPr>
          <w:p w14:paraId="58E8E89F">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415E1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A6D3F2D">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745B58BA">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1BE5D5BC">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645E10F9">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07F38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7E18A69">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643290EE">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0F6279AF">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1CED93DC">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6240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4C7D3A4">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3EDD6DFE">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404ABEE0">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1DEC1BB8">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7E53A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97D5BC8">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359C5E22">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12F503AB">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6C2520CC">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71FBF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7CF4C46">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73CE9F6C">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5084228B">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47C6F96C">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0E1A9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2C560F6">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60F17AA1">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6F14E2AF">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14A63A0B">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4E47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899C1F6">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28249969">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4F6D015E">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1B296330">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6DDF6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9DC02EF">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2C5FF1E5">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2B7562EB">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36325871">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0A8DE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3C00E84">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6767910B">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6A7FBCD4">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50FBAF6D">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79E77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779CB1A">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451EA456">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21A1DDAE">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43703FE2">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321D1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A530DE3">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4BCB38BC">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3E85A4A8">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2BADAE19">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r w14:paraId="56263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000D0841">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542" w:type="pct"/>
            <w:vAlign w:val="center"/>
          </w:tcPr>
          <w:p w14:paraId="1EC2D99B">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600" w:type="pct"/>
            <w:vAlign w:val="center"/>
          </w:tcPr>
          <w:p w14:paraId="3DD43EEC">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c>
          <w:tcPr>
            <w:tcW w:w="1199" w:type="pct"/>
            <w:vAlign w:val="center"/>
          </w:tcPr>
          <w:p w14:paraId="1383D051">
            <w:pPr>
              <w:tabs>
                <w:tab w:val="left" w:pos="6300"/>
              </w:tabs>
              <w:snapToGrid w:val="0"/>
              <w:spacing w:line="500" w:lineRule="exact"/>
              <w:jc w:val="center"/>
              <w:outlineLvl w:val="0"/>
              <w:rPr>
                <w:rFonts w:cs="方正仿宋_GBK" w:asciiTheme="minorEastAsia" w:hAnsiTheme="minorEastAsia" w:eastAsiaTheme="minorEastAsia"/>
                <w:color w:val="auto"/>
                <w:sz w:val="21"/>
                <w:szCs w:val="21"/>
                <w:highlight w:val="none"/>
              </w:rPr>
            </w:pPr>
          </w:p>
        </w:tc>
      </w:tr>
    </w:tbl>
    <w:p w14:paraId="49FA3300">
      <w:pPr>
        <w:spacing w:line="500" w:lineRule="exact"/>
        <w:ind w:firstLine="600" w:firstLineChars="250"/>
        <w:rPr>
          <w:rFonts w:cs="方正仿宋_GBK" w:asciiTheme="minorEastAsia" w:hAnsiTheme="minorEastAsia" w:eastAsiaTheme="minorEastAsia"/>
          <w:color w:val="auto"/>
          <w:sz w:val="24"/>
          <w:szCs w:val="28"/>
          <w:highlight w:val="none"/>
        </w:rPr>
      </w:pPr>
    </w:p>
    <w:p w14:paraId="28F99A87">
      <w:pPr>
        <w:spacing w:line="500" w:lineRule="exact"/>
        <w:ind w:firstLine="600" w:firstLineChars="25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投标人：                     法定代表人（或法定代表人授权代表）或自然人：</w:t>
      </w:r>
    </w:p>
    <w:p w14:paraId="6019B9D5">
      <w:pPr>
        <w:spacing w:line="500" w:lineRule="exact"/>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 xml:space="preserve">    （投标人公章）                               （签署或盖章）</w:t>
      </w:r>
    </w:p>
    <w:p w14:paraId="5977C234">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szCs w:val="28"/>
          <w:highlight w:val="none"/>
        </w:rPr>
        <w:t xml:space="preserve">                                            年     月     日</w:t>
      </w:r>
    </w:p>
    <w:p w14:paraId="14B904C2">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注：</w:t>
      </w:r>
    </w:p>
    <w:p w14:paraId="527D28A1">
      <w:pPr>
        <w:tabs>
          <w:tab w:val="left" w:pos="6300"/>
        </w:tabs>
        <w:snapToGrid w:val="0"/>
        <w:spacing w:line="500" w:lineRule="exact"/>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1.本表即为对本项目“第三篇 项目商务需求”中所列条款进行比较和响应；</w:t>
      </w:r>
    </w:p>
    <w:p w14:paraId="206A3B0D">
      <w:pPr>
        <w:tabs>
          <w:tab w:val="left" w:pos="6300"/>
        </w:tabs>
        <w:snapToGrid w:val="0"/>
        <w:spacing w:line="500" w:lineRule="exact"/>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2.本表可扩展。</w:t>
      </w:r>
    </w:p>
    <w:p w14:paraId="462CCA2C">
      <w:pPr>
        <w:tabs>
          <w:tab w:val="left" w:pos="6300"/>
        </w:tabs>
        <w:snapToGrid w:val="0"/>
        <w:spacing w:line="500" w:lineRule="exact"/>
        <w:ind w:firstLine="570"/>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8"/>
          <w:highlight w:val="none"/>
        </w:rPr>
        <w:t>3.投标应答栏中应当注明具体内容，且必须标注具体内容在投标文件中的位置（页码）。</w:t>
      </w:r>
    </w:p>
    <w:p w14:paraId="77A2EAF3">
      <w:pPr>
        <w:snapToGrid w:val="0"/>
        <w:spacing w:line="400" w:lineRule="exact"/>
        <w:ind w:firstLine="56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Cs w:val="28"/>
          <w:highlight w:val="none"/>
        </w:rPr>
        <w:br w:type="page"/>
      </w:r>
      <w:r>
        <w:rPr>
          <w:rFonts w:hint="eastAsia" w:cs="方正仿宋_GBK" w:asciiTheme="minorEastAsia" w:hAnsiTheme="minorEastAsia" w:eastAsiaTheme="minorEastAsia"/>
          <w:color w:val="auto"/>
          <w:sz w:val="24"/>
          <w:szCs w:val="28"/>
          <w:highlight w:val="none"/>
        </w:rPr>
        <w:t>（三）其他商务资料</w:t>
      </w:r>
    </w:p>
    <w:p w14:paraId="1F90D35E">
      <w:pPr>
        <w:snapToGrid w:val="0"/>
        <w:spacing w:line="400" w:lineRule="exact"/>
        <w:ind w:firstLine="480" w:firstLineChars="200"/>
        <w:rPr>
          <w:rFonts w:cs="方正仿宋_GBK" w:asciiTheme="minorEastAsia" w:hAnsiTheme="minorEastAsia" w:eastAsiaTheme="minorEastAsia"/>
          <w:color w:val="auto"/>
          <w:sz w:val="24"/>
          <w:szCs w:val="28"/>
          <w:highlight w:val="none"/>
        </w:rPr>
      </w:pPr>
    </w:p>
    <w:p w14:paraId="42DE9E22">
      <w:pPr>
        <w:snapToGrid w:val="0"/>
        <w:spacing w:line="400" w:lineRule="exact"/>
        <w:ind w:firstLine="480" w:firstLineChars="200"/>
        <w:rPr>
          <w:rFonts w:cs="方正仿宋_GBK" w:asciiTheme="minorEastAsia" w:hAnsiTheme="minorEastAsia" w:eastAsiaTheme="minorEastAsia"/>
          <w:color w:val="auto"/>
          <w:sz w:val="24"/>
          <w:szCs w:val="28"/>
          <w:highlight w:val="none"/>
        </w:rPr>
      </w:pPr>
    </w:p>
    <w:p w14:paraId="6D58D8FA">
      <w:pPr>
        <w:tabs>
          <w:tab w:val="left" w:pos="6300"/>
        </w:tabs>
        <w:snapToGrid w:val="0"/>
        <w:spacing w:line="500" w:lineRule="exact"/>
        <w:ind w:firstLine="560"/>
        <w:rPr>
          <w:rFonts w:cs="方正仿宋_GBK" w:asciiTheme="minorEastAsia" w:hAnsiTheme="minorEastAsia" w:eastAsiaTheme="minorEastAsia"/>
          <w:color w:val="auto"/>
          <w:szCs w:val="28"/>
          <w:highlight w:val="none"/>
        </w:rPr>
      </w:pPr>
      <w:r>
        <w:rPr>
          <w:rFonts w:hint="eastAsia" w:cs="方正仿宋_GBK" w:asciiTheme="minorEastAsia" w:hAnsiTheme="minorEastAsia" w:eastAsiaTheme="minorEastAsia"/>
          <w:color w:val="auto"/>
          <w:szCs w:val="28"/>
          <w:highlight w:val="none"/>
        </w:rPr>
        <w:t xml:space="preserve"> </w:t>
      </w:r>
    </w:p>
    <w:p w14:paraId="6877540F">
      <w:pPr>
        <w:pStyle w:val="3"/>
        <w:pageBreakBefore/>
        <w:spacing w:line="500" w:lineRule="exact"/>
        <w:ind w:firstLine="562" w:firstLineChars="200"/>
        <w:rPr>
          <w:rFonts w:cs="方正仿宋_GBK" w:asciiTheme="minorEastAsia" w:hAnsiTheme="minorEastAsia" w:eastAsiaTheme="minorEastAsia"/>
          <w:b/>
          <w:color w:val="auto"/>
          <w:szCs w:val="28"/>
          <w:highlight w:val="none"/>
        </w:rPr>
      </w:pPr>
      <w:bookmarkStart w:id="692" w:name="_Toc29932"/>
      <w:bookmarkStart w:id="693" w:name="_Toc4624"/>
      <w:bookmarkStart w:id="694" w:name="_Toc19687"/>
      <w:bookmarkStart w:id="695" w:name="_Toc3199"/>
      <w:bookmarkStart w:id="696" w:name="_Toc12364"/>
      <w:bookmarkStart w:id="697" w:name="_Toc493178792"/>
      <w:bookmarkStart w:id="698" w:name="_Toc30376"/>
      <w:bookmarkStart w:id="699" w:name="_Toc24540"/>
      <w:bookmarkStart w:id="700" w:name="_Toc6978"/>
      <w:bookmarkStart w:id="701" w:name="_Toc492721041"/>
      <w:bookmarkStart w:id="702" w:name="_Toc11165"/>
      <w:bookmarkStart w:id="703" w:name="_Toc75793543"/>
      <w:bookmarkStart w:id="704" w:name="_Toc2395"/>
      <w:bookmarkStart w:id="705" w:name="_Toc27849"/>
      <w:bookmarkStart w:id="706" w:name="_Toc5854"/>
      <w:bookmarkStart w:id="707" w:name="_Toc29543"/>
      <w:bookmarkStart w:id="708" w:name="_Toc7042"/>
      <w:bookmarkStart w:id="709" w:name="_Toc23915"/>
      <w:bookmarkStart w:id="710" w:name="_Toc204345247"/>
      <w:r>
        <w:rPr>
          <w:rFonts w:hint="eastAsia" w:cs="方正仿宋_GBK" w:asciiTheme="minorEastAsia" w:hAnsiTheme="minorEastAsia" w:eastAsiaTheme="minorEastAsia"/>
          <w:b/>
          <w:color w:val="auto"/>
          <w:szCs w:val="28"/>
          <w:highlight w:val="none"/>
        </w:rPr>
        <w:t>四、其他</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263E1AEC">
      <w:pPr>
        <w:snapToGrid w:val="0"/>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（一）中小企业声明函、监狱企业证明文件、残疾人福利性单位声明函</w:t>
      </w:r>
    </w:p>
    <w:p w14:paraId="0ED7DE59">
      <w:pPr>
        <w:tabs>
          <w:tab w:val="left" w:pos="6300"/>
        </w:tabs>
        <w:snapToGrid w:val="0"/>
        <w:spacing w:line="500" w:lineRule="exact"/>
        <w:jc w:val="center"/>
        <w:rPr>
          <w:rFonts w:cs="方正仿宋_GBK" w:asciiTheme="minorEastAsia" w:hAnsiTheme="minorEastAsia" w:eastAsiaTheme="minorEastAsia"/>
          <w:color w:val="auto"/>
          <w:highlight w:val="none"/>
        </w:rPr>
      </w:pPr>
      <w:r>
        <w:rPr>
          <w:rFonts w:hint="eastAsia" w:cs="方正仿宋_GBK" w:asciiTheme="minorEastAsia" w:hAnsiTheme="minorEastAsia" w:eastAsiaTheme="minorEastAsia"/>
          <w:color w:val="auto"/>
          <w:highlight w:val="none"/>
        </w:rPr>
        <w:t>中小企业声明函（货物类）</w:t>
      </w:r>
    </w:p>
    <w:p w14:paraId="6A24680C">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本公司郑重声明，根据《政府采购促进中小企业发展管理办法》（</w:t>
      </w:r>
      <w:r>
        <w:rPr>
          <w:rFonts w:hint="eastAsia" w:cs="方正仿宋_GBK" w:asciiTheme="minorEastAsia" w:hAnsiTheme="minorEastAsia" w:eastAsiaTheme="minorEastAsia"/>
          <w:color w:val="auto"/>
          <w:sz w:val="24"/>
          <w:szCs w:val="24"/>
          <w:highlight w:val="none"/>
        </w:rPr>
        <w:t>财库〔2020〕46号</w:t>
      </w:r>
      <w:r>
        <w:rPr>
          <w:rFonts w:hint="eastAsia" w:cs="方正仿宋_GBK" w:asciiTheme="minorEastAsia" w:hAnsiTheme="minorEastAsia" w:eastAsiaTheme="minorEastAsia"/>
          <w:color w:val="auto"/>
          <w:sz w:val="24"/>
          <w:szCs w:val="28"/>
          <w:highlight w:val="none"/>
        </w:rPr>
        <w:t>）的规定，本公司参加</w:t>
      </w:r>
      <w:r>
        <w:rPr>
          <w:rFonts w:hint="eastAsia" w:cs="方正仿宋_GBK" w:asciiTheme="minorEastAsia" w:hAnsiTheme="minorEastAsia" w:eastAsiaTheme="minorEastAsia"/>
          <w:i/>
          <w:color w:val="auto"/>
          <w:sz w:val="24"/>
          <w:szCs w:val="28"/>
          <w:highlight w:val="none"/>
          <w:u w:val="single"/>
        </w:rPr>
        <w:t>（单位名称）</w:t>
      </w:r>
      <w:r>
        <w:rPr>
          <w:rFonts w:hint="eastAsia" w:cs="方正仿宋_GBK" w:asciiTheme="minorEastAsia" w:hAnsiTheme="minorEastAsia" w:eastAsiaTheme="minorEastAsia"/>
          <w:color w:val="auto"/>
          <w:sz w:val="24"/>
          <w:szCs w:val="28"/>
          <w:highlight w:val="none"/>
        </w:rPr>
        <w:t>的</w:t>
      </w:r>
      <w:r>
        <w:rPr>
          <w:rFonts w:hint="eastAsia" w:cs="方正仿宋_GBK" w:asciiTheme="minorEastAsia" w:hAnsiTheme="minorEastAsia" w:eastAsiaTheme="minorEastAsia"/>
          <w:i/>
          <w:color w:val="auto"/>
          <w:sz w:val="24"/>
          <w:szCs w:val="28"/>
          <w:highlight w:val="none"/>
          <w:u w:val="single"/>
        </w:rPr>
        <w:t>（项目名称）</w:t>
      </w:r>
      <w:r>
        <w:rPr>
          <w:rFonts w:hint="eastAsia" w:cs="方正仿宋_GBK" w:asciiTheme="minorEastAsia" w:hAnsiTheme="minorEastAsia" w:eastAsiaTheme="minorEastAsia"/>
          <w:color w:val="auto"/>
          <w:sz w:val="24"/>
          <w:szCs w:val="28"/>
          <w:highlight w:val="none"/>
        </w:rPr>
        <w:t>采购活动，提供的货物全部由符合政策要求的中小企业制造。相关企业的具体情况如下：</w:t>
      </w:r>
    </w:p>
    <w:p w14:paraId="29527BF8">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1.</w:t>
      </w:r>
      <w:r>
        <w:rPr>
          <w:rFonts w:hint="eastAsia" w:cs="方正仿宋_GBK" w:asciiTheme="minorEastAsia" w:hAnsiTheme="minorEastAsia" w:eastAsiaTheme="minorEastAsia"/>
          <w:i/>
          <w:color w:val="auto"/>
          <w:sz w:val="24"/>
          <w:szCs w:val="28"/>
          <w:highlight w:val="none"/>
          <w:u w:val="single"/>
        </w:rPr>
        <w:t>（标的名称）</w:t>
      </w:r>
      <w:r>
        <w:rPr>
          <w:rFonts w:hint="eastAsia" w:cs="方正仿宋_GBK" w:asciiTheme="minorEastAsia" w:hAnsiTheme="minorEastAsia" w:eastAsiaTheme="minorEastAsia"/>
          <w:color w:val="auto"/>
          <w:sz w:val="24"/>
          <w:szCs w:val="28"/>
          <w:highlight w:val="none"/>
        </w:rPr>
        <w:t>，属于</w:t>
      </w:r>
      <w:r>
        <w:rPr>
          <w:rFonts w:hint="eastAsia" w:cs="方正仿宋_GBK" w:asciiTheme="minorEastAsia" w:hAnsiTheme="minorEastAsia" w:eastAsiaTheme="minorEastAsia"/>
          <w:i/>
          <w:color w:val="auto"/>
          <w:sz w:val="24"/>
          <w:szCs w:val="28"/>
          <w:highlight w:val="none"/>
          <w:u w:val="single"/>
        </w:rPr>
        <w:t>（采购文件中明确的所属行业）行业</w:t>
      </w:r>
      <w:r>
        <w:rPr>
          <w:rFonts w:hint="eastAsia" w:cs="方正仿宋_GBK" w:asciiTheme="minorEastAsia" w:hAnsiTheme="minorEastAsia" w:eastAsiaTheme="minorEastAsia"/>
          <w:color w:val="auto"/>
          <w:sz w:val="24"/>
          <w:szCs w:val="28"/>
          <w:highlight w:val="none"/>
        </w:rPr>
        <w:t>；制造商为</w:t>
      </w:r>
      <w:r>
        <w:rPr>
          <w:rFonts w:hint="eastAsia" w:cs="方正仿宋_GBK" w:asciiTheme="minorEastAsia" w:hAnsiTheme="minorEastAsia" w:eastAsiaTheme="minorEastAsia"/>
          <w:i/>
          <w:color w:val="auto"/>
          <w:sz w:val="24"/>
          <w:szCs w:val="28"/>
          <w:highlight w:val="none"/>
          <w:u w:val="single"/>
        </w:rPr>
        <w:t>（企业名称）</w:t>
      </w:r>
      <w:r>
        <w:rPr>
          <w:rFonts w:hint="eastAsia" w:cs="方正仿宋_GBK" w:asciiTheme="minorEastAsia" w:hAnsiTheme="minorEastAsia" w:eastAsiaTheme="minorEastAsia"/>
          <w:color w:val="auto"/>
          <w:sz w:val="24"/>
          <w:szCs w:val="28"/>
          <w:highlight w:val="none"/>
        </w:rPr>
        <w:t>，从业人员</w:t>
      </w:r>
      <w:r>
        <w:rPr>
          <w:rFonts w:hint="eastAsia" w:cs="方正仿宋_GBK" w:asciiTheme="minorEastAsia" w:hAnsiTheme="minorEastAsia" w:eastAsiaTheme="minorEastAsia"/>
          <w:color w:val="auto"/>
          <w:sz w:val="24"/>
          <w:szCs w:val="28"/>
          <w:highlight w:val="none"/>
          <w:u w:val="single"/>
        </w:rPr>
        <w:t xml:space="preserve">      </w:t>
      </w:r>
      <w:r>
        <w:rPr>
          <w:rFonts w:hint="eastAsia" w:cs="方正仿宋_GBK" w:asciiTheme="minorEastAsia" w:hAnsiTheme="minorEastAsia" w:eastAsiaTheme="minorEastAsia"/>
          <w:color w:val="auto"/>
          <w:sz w:val="24"/>
          <w:szCs w:val="28"/>
          <w:highlight w:val="none"/>
        </w:rPr>
        <w:t>人，营业收入为</w:t>
      </w:r>
      <w:r>
        <w:rPr>
          <w:rFonts w:hint="eastAsia" w:cs="方正仿宋_GBK" w:asciiTheme="minorEastAsia" w:hAnsiTheme="minorEastAsia" w:eastAsiaTheme="minorEastAsia"/>
          <w:color w:val="auto"/>
          <w:sz w:val="24"/>
          <w:szCs w:val="28"/>
          <w:highlight w:val="none"/>
          <w:u w:val="single"/>
        </w:rPr>
        <w:t xml:space="preserve">    </w:t>
      </w:r>
      <w:r>
        <w:rPr>
          <w:rFonts w:hint="eastAsia" w:cs="方正仿宋_GBK" w:asciiTheme="minorEastAsia" w:hAnsiTheme="minorEastAsia" w:eastAsiaTheme="minorEastAsia"/>
          <w:color w:val="auto"/>
          <w:sz w:val="24"/>
          <w:szCs w:val="28"/>
          <w:highlight w:val="none"/>
        </w:rPr>
        <w:t>万元，资产总额为</w:t>
      </w:r>
      <w:r>
        <w:rPr>
          <w:rFonts w:hint="eastAsia" w:cs="方正仿宋_GBK" w:asciiTheme="minorEastAsia" w:hAnsiTheme="minorEastAsia" w:eastAsiaTheme="minorEastAsia"/>
          <w:color w:val="auto"/>
          <w:sz w:val="24"/>
          <w:szCs w:val="28"/>
          <w:highlight w:val="none"/>
          <w:u w:val="single"/>
        </w:rPr>
        <w:t xml:space="preserve">    </w:t>
      </w:r>
      <w:r>
        <w:rPr>
          <w:rFonts w:hint="eastAsia" w:cs="方正仿宋_GBK" w:asciiTheme="minorEastAsia" w:hAnsiTheme="minorEastAsia" w:eastAsiaTheme="minorEastAsia"/>
          <w:color w:val="auto"/>
          <w:sz w:val="24"/>
          <w:szCs w:val="28"/>
          <w:highlight w:val="none"/>
        </w:rPr>
        <w:t>万元，属于</w:t>
      </w:r>
      <w:r>
        <w:rPr>
          <w:rFonts w:hint="eastAsia" w:cs="方正仿宋_GBK" w:asciiTheme="minorEastAsia" w:hAnsiTheme="minorEastAsia" w:eastAsiaTheme="minorEastAsia"/>
          <w:i/>
          <w:color w:val="auto"/>
          <w:sz w:val="24"/>
          <w:szCs w:val="28"/>
          <w:highlight w:val="none"/>
          <w:u w:val="single"/>
        </w:rPr>
        <w:t>（中型企业、小型企业、微型企业）</w:t>
      </w:r>
      <w:r>
        <w:rPr>
          <w:rFonts w:hint="eastAsia" w:cs="方正仿宋_GBK" w:asciiTheme="minorEastAsia" w:hAnsiTheme="minorEastAsia" w:eastAsiaTheme="minorEastAsia"/>
          <w:color w:val="auto"/>
          <w:sz w:val="24"/>
          <w:szCs w:val="28"/>
          <w:highlight w:val="none"/>
        </w:rPr>
        <w:t>；</w:t>
      </w:r>
    </w:p>
    <w:p w14:paraId="03967588">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2.</w:t>
      </w:r>
      <w:r>
        <w:rPr>
          <w:rFonts w:hint="eastAsia" w:cs="方正仿宋_GBK" w:asciiTheme="minorEastAsia" w:hAnsiTheme="minorEastAsia" w:eastAsiaTheme="minorEastAsia"/>
          <w:i/>
          <w:color w:val="auto"/>
          <w:sz w:val="24"/>
          <w:szCs w:val="28"/>
          <w:highlight w:val="none"/>
          <w:u w:val="single"/>
        </w:rPr>
        <w:t>（标的名称）</w:t>
      </w:r>
      <w:r>
        <w:rPr>
          <w:rFonts w:hint="eastAsia" w:cs="方正仿宋_GBK" w:asciiTheme="minorEastAsia" w:hAnsiTheme="minorEastAsia" w:eastAsiaTheme="minorEastAsia"/>
          <w:color w:val="auto"/>
          <w:sz w:val="24"/>
          <w:szCs w:val="28"/>
          <w:highlight w:val="none"/>
        </w:rPr>
        <w:t>，属于</w:t>
      </w:r>
      <w:r>
        <w:rPr>
          <w:rFonts w:hint="eastAsia" w:cs="方正仿宋_GBK" w:asciiTheme="minorEastAsia" w:hAnsiTheme="minorEastAsia" w:eastAsiaTheme="minorEastAsia"/>
          <w:i/>
          <w:color w:val="auto"/>
          <w:sz w:val="24"/>
          <w:szCs w:val="28"/>
          <w:highlight w:val="none"/>
          <w:u w:val="single"/>
        </w:rPr>
        <w:t>（采购文件中明确的所属行业）行业</w:t>
      </w:r>
      <w:r>
        <w:rPr>
          <w:rFonts w:hint="eastAsia" w:cs="方正仿宋_GBK" w:asciiTheme="minorEastAsia" w:hAnsiTheme="minorEastAsia" w:eastAsiaTheme="minorEastAsia"/>
          <w:color w:val="auto"/>
          <w:sz w:val="24"/>
          <w:szCs w:val="28"/>
          <w:highlight w:val="none"/>
        </w:rPr>
        <w:t>；制造商为</w:t>
      </w:r>
      <w:r>
        <w:rPr>
          <w:rFonts w:hint="eastAsia" w:cs="方正仿宋_GBK" w:asciiTheme="minorEastAsia" w:hAnsiTheme="minorEastAsia" w:eastAsiaTheme="minorEastAsia"/>
          <w:i/>
          <w:color w:val="auto"/>
          <w:sz w:val="24"/>
          <w:szCs w:val="28"/>
          <w:highlight w:val="none"/>
          <w:u w:val="single"/>
        </w:rPr>
        <w:t>（企业名称）</w:t>
      </w:r>
      <w:r>
        <w:rPr>
          <w:rFonts w:hint="eastAsia" w:cs="方正仿宋_GBK" w:asciiTheme="minorEastAsia" w:hAnsiTheme="minorEastAsia" w:eastAsiaTheme="minorEastAsia"/>
          <w:color w:val="auto"/>
          <w:sz w:val="24"/>
          <w:szCs w:val="28"/>
          <w:highlight w:val="none"/>
        </w:rPr>
        <w:t>，从业人员</w:t>
      </w:r>
      <w:r>
        <w:rPr>
          <w:rFonts w:hint="eastAsia" w:cs="方正仿宋_GBK" w:asciiTheme="minorEastAsia" w:hAnsiTheme="minorEastAsia" w:eastAsiaTheme="minorEastAsia"/>
          <w:color w:val="auto"/>
          <w:sz w:val="24"/>
          <w:szCs w:val="28"/>
          <w:highlight w:val="none"/>
          <w:u w:val="single"/>
        </w:rPr>
        <w:t xml:space="preserve">      </w:t>
      </w:r>
      <w:r>
        <w:rPr>
          <w:rFonts w:hint="eastAsia" w:cs="方正仿宋_GBK" w:asciiTheme="minorEastAsia" w:hAnsiTheme="minorEastAsia" w:eastAsiaTheme="minorEastAsia"/>
          <w:color w:val="auto"/>
          <w:sz w:val="24"/>
          <w:szCs w:val="28"/>
          <w:highlight w:val="none"/>
        </w:rPr>
        <w:t>人，营业收入为</w:t>
      </w:r>
      <w:r>
        <w:rPr>
          <w:rFonts w:hint="eastAsia" w:cs="方正仿宋_GBK" w:asciiTheme="minorEastAsia" w:hAnsiTheme="minorEastAsia" w:eastAsiaTheme="minorEastAsia"/>
          <w:color w:val="auto"/>
          <w:sz w:val="24"/>
          <w:szCs w:val="28"/>
          <w:highlight w:val="none"/>
          <w:u w:val="single"/>
        </w:rPr>
        <w:t xml:space="preserve">    </w:t>
      </w:r>
      <w:r>
        <w:rPr>
          <w:rFonts w:hint="eastAsia" w:cs="方正仿宋_GBK" w:asciiTheme="minorEastAsia" w:hAnsiTheme="minorEastAsia" w:eastAsiaTheme="minorEastAsia"/>
          <w:color w:val="auto"/>
          <w:sz w:val="24"/>
          <w:szCs w:val="28"/>
          <w:highlight w:val="none"/>
        </w:rPr>
        <w:t>万元，资产总额为</w:t>
      </w:r>
      <w:r>
        <w:rPr>
          <w:rFonts w:hint="eastAsia" w:cs="方正仿宋_GBK" w:asciiTheme="minorEastAsia" w:hAnsiTheme="minorEastAsia" w:eastAsiaTheme="minorEastAsia"/>
          <w:color w:val="auto"/>
          <w:sz w:val="24"/>
          <w:szCs w:val="28"/>
          <w:highlight w:val="none"/>
          <w:u w:val="single"/>
        </w:rPr>
        <w:t xml:space="preserve">    </w:t>
      </w:r>
      <w:r>
        <w:rPr>
          <w:rFonts w:hint="eastAsia" w:cs="方正仿宋_GBK" w:asciiTheme="minorEastAsia" w:hAnsiTheme="minorEastAsia" w:eastAsiaTheme="minorEastAsia"/>
          <w:color w:val="auto"/>
          <w:sz w:val="24"/>
          <w:szCs w:val="28"/>
          <w:highlight w:val="none"/>
        </w:rPr>
        <w:t>万元，属于</w:t>
      </w:r>
      <w:r>
        <w:rPr>
          <w:rFonts w:hint="eastAsia" w:cs="方正仿宋_GBK" w:asciiTheme="minorEastAsia" w:hAnsiTheme="minorEastAsia" w:eastAsiaTheme="minorEastAsia"/>
          <w:i/>
          <w:color w:val="auto"/>
          <w:sz w:val="24"/>
          <w:szCs w:val="28"/>
          <w:highlight w:val="none"/>
          <w:u w:val="single"/>
        </w:rPr>
        <w:t>（中型企业、小型企业、微型企业）</w:t>
      </w:r>
      <w:r>
        <w:rPr>
          <w:rFonts w:hint="eastAsia" w:cs="方正仿宋_GBK" w:asciiTheme="minorEastAsia" w:hAnsiTheme="minorEastAsia" w:eastAsiaTheme="minorEastAsia"/>
          <w:color w:val="auto"/>
          <w:sz w:val="24"/>
          <w:szCs w:val="28"/>
          <w:highlight w:val="none"/>
        </w:rPr>
        <w:t>；</w:t>
      </w:r>
    </w:p>
    <w:p w14:paraId="0BED6FB3">
      <w:pPr>
        <w:tabs>
          <w:tab w:val="left" w:pos="6300"/>
        </w:tabs>
        <w:snapToGrid w:val="0"/>
        <w:spacing w:line="500" w:lineRule="exact"/>
        <w:ind w:right="782"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w:t>
      </w:r>
    </w:p>
    <w:p w14:paraId="7A802DE4">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以上企业，不属于大企业的分支机构，不存在控股股东为大企业的情形，也不存在与大企业的负责人为同一人的情形。</w:t>
      </w:r>
    </w:p>
    <w:p w14:paraId="14CE61E5">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本企业对上述声明内容的真实性负责。如有虚假，将依法承担相应责任。</w:t>
      </w:r>
    </w:p>
    <w:p w14:paraId="3F90E557">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 xml:space="preserve">                                                    </w:t>
      </w:r>
    </w:p>
    <w:p w14:paraId="649DFE0C">
      <w:pPr>
        <w:tabs>
          <w:tab w:val="left" w:pos="6300"/>
        </w:tabs>
        <w:snapToGrid w:val="0"/>
        <w:spacing w:line="500" w:lineRule="exact"/>
        <w:ind w:firstLine="6120" w:firstLineChars="255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 xml:space="preserve">企业名称（盖章）： </w:t>
      </w:r>
    </w:p>
    <w:p w14:paraId="731F6C5A">
      <w:pPr>
        <w:tabs>
          <w:tab w:val="left" w:pos="6300"/>
        </w:tabs>
        <w:snapToGrid w:val="0"/>
        <w:spacing w:line="500" w:lineRule="exact"/>
        <w:ind w:firstLine="6120" w:firstLineChars="255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日期：</w:t>
      </w:r>
    </w:p>
    <w:p w14:paraId="3E57A70A">
      <w:pPr>
        <w:tabs>
          <w:tab w:val="left" w:pos="6300"/>
        </w:tabs>
        <w:snapToGrid w:val="0"/>
        <w:spacing w:line="420" w:lineRule="exact"/>
        <w:jc w:val="left"/>
        <w:rPr>
          <w:rFonts w:cs="方正仿宋_GBK" w:asciiTheme="minorEastAsia" w:hAnsiTheme="minorEastAsia" w:eastAsiaTheme="minorEastAsia"/>
          <w:color w:val="auto"/>
          <w:kern w:val="0"/>
          <w:sz w:val="21"/>
          <w:szCs w:val="21"/>
          <w:highlight w:val="none"/>
        </w:rPr>
      </w:pPr>
    </w:p>
    <w:p w14:paraId="797C8842">
      <w:pPr>
        <w:tabs>
          <w:tab w:val="left" w:pos="6300"/>
        </w:tabs>
        <w:snapToGrid w:val="0"/>
        <w:spacing w:line="420" w:lineRule="exact"/>
        <w:jc w:val="left"/>
        <w:rPr>
          <w:rFonts w:cs="方正仿宋_GBK" w:asciiTheme="minorEastAsia" w:hAnsiTheme="minorEastAsia" w:eastAsiaTheme="minorEastAsia"/>
          <w:color w:val="auto"/>
          <w:kern w:val="0"/>
          <w:sz w:val="21"/>
          <w:szCs w:val="21"/>
          <w:highlight w:val="none"/>
        </w:rPr>
      </w:pPr>
    </w:p>
    <w:p w14:paraId="2BAE3540">
      <w:pPr>
        <w:tabs>
          <w:tab w:val="left" w:pos="6300"/>
        </w:tabs>
        <w:snapToGrid w:val="0"/>
        <w:spacing w:line="420" w:lineRule="exact"/>
        <w:jc w:val="left"/>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填写时应注意以下事项：</w:t>
      </w:r>
    </w:p>
    <w:p w14:paraId="2E3EDF40">
      <w:pPr>
        <w:tabs>
          <w:tab w:val="left" w:pos="6300"/>
        </w:tabs>
        <w:snapToGrid w:val="0"/>
        <w:spacing w:line="420" w:lineRule="exact"/>
        <w:ind w:firstLine="420" w:firstLineChars="200"/>
        <w:jc w:val="left"/>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1.从业人员、营业收入、资产总额填报上一年度数据，无上一年度数据的新成立企业可不填报。</w:t>
      </w:r>
    </w:p>
    <w:p w14:paraId="5693B343">
      <w:pPr>
        <w:tabs>
          <w:tab w:val="left" w:pos="6300"/>
        </w:tabs>
        <w:snapToGrid w:val="0"/>
        <w:spacing w:line="420" w:lineRule="exact"/>
        <w:ind w:firstLine="420" w:firstLineChars="200"/>
        <w:jc w:val="left"/>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2.中小企业应当按照《中小企业划型标准规定》（工信部联企业〔2011〕300号），如实填写并提交《中小企业声明函》。</w:t>
      </w:r>
    </w:p>
    <w:p w14:paraId="1CEE13CA">
      <w:pPr>
        <w:tabs>
          <w:tab w:val="left" w:pos="6300"/>
        </w:tabs>
        <w:snapToGrid w:val="0"/>
        <w:spacing w:line="420" w:lineRule="exact"/>
        <w:ind w:firstLine="420" w:firstLineChars="200"/>
        <w:jc w:val="left"/>
        <w:rPr>
          <w:rFonts w:cs="方正仿宋_GBK" w:asciiTheme="minorEastAsia" w:hAnsiTheme="minorEastAsia" w:eastAsiaTheme="minorEastAsia"/>
          <w:color w:val="auto"/>
          <w:kern w:val="0"/>
          <w:sz w:val="21"/>
          <w:szCs w:val="21"/>
          <w:highlight w:val="none"/>
        </w:rPr>
      </w:pPr>
      <w:r>
        <w:rPr>
          <w:rFonts w:hint="eastAsia" w:cs="方正仿宋_GBK" w:asciiTheme="minorEastAsia" w:hAnsiTheme="minorEastAsia" w:eastAsiaTheme="minorEastAsia"/>
          <w:color w:val="auto"/>
          <w:kern w:val="0"/>
          <w:sz w:val="21"/>
          <w:szCs w:val="21"/>
          <w:highlight w:val="none"/>
        </w:rPr>
        <w:t>3.投标人填写《中小企业声明函》中所属行业时，应与采购文件第一篇“采购标的对应的中小企业划分标准所属行业”中填写的所属行业一致。</w:t>
      </w:r>
    </w:p>
    <w:p w14:paraId="31DF3D56">
      <w:pPr>
        <w:tabs>
          <w:tab w:val="left" w:pos="6300"/>
        </w:tabs>
        <w:snapToGrid w:val="0"/>
        <w:spacing w:line="420" w:lineRule="exact"/>
        <w:ind w:firstLine="422" w:firstLineChars="200"/>
        <w:jc w:val="left"/>
        <w:rPr>
          <w:rFonts w:cs="方正仿宋_GBK" w:asciiTheme="minorEastAsia" w:hAnsiTheme="minorEastAsia" w:eastAsiaTheme="minorEastAsia"/>
          <w:b/>
          <w:color w:val="auto"/>
          <w:kern w:val="0"/>
          <w:sz w:val="21"/>
          <w:szCs w:val="21"/>
          <w:highlight w:val="none"/>
        </w:rPr>
      </w:pPr>
      <w:r>
        <w:rPr>
          <w:rFonts w:hint="eastAsia" w:cs="方正仿宋_GBK" w:asciiTheme="minorEastAsia" w:hAnsiTheme="minorEastAsia" w:eastAsiaTheme="minorEastAsia"/>
          <w:b/>
          <w:color w:val="auto"/>
          <w:kern w:val="0"/>
          <w:sz w:val="21"/>
          <w:szCs w:val="21"/>
          <w:highlight w:val="none"/>
        </w:rPr>
        <w:t>4.本声明函“企业名称（盖章）”处为投标人盖章。</w:t>
      </w:r>
    </w:p>
    <w:p w14:paraId="22CB4834">
      <w:pPr>
        <w:tabs>
          <w:tab w:val="left" w:pos="6300"/>
        </w:tabs>
        <w:snapToGrid w:val="0"/>
        <w:spacing w:line="420" w:lineRule="exact"/>
        <w:ind w:firstLine="422" w:firstLineChars="200"/>
        <w:jc w:val="left"/>
        <w:rPr>
          <w:rFonts w:cs="方正仿宋_GBK" w:asciiTheme="minorEastAsia" w:hAnsiTheme="minorEastAsia" w:eastAsiaTheme="minorEastAsia"/>
          <w:b/>
          <w:color w:val="auto"/>
          <w:kern w:val="0"/>
          <w:sz w:val="21"/>
          <w:szCs w:val="21"/>
          <w:highlight w:val="none"/>
        </w:rPr>
      </w:pPr>
    </w:p>
    <w:p w14:paraId="2A80392E">
      <w:pPr>
        <w:tabs>
          <w:tab w:val="left" w:pos="6300"/>
        </w:tabs>
        <w:snapToGrid w:val="0"/>
        <w:spacing w:line="50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4"/>
          <w:szCs w:val="28"/>
          <w:highlight w:val="none"/>
        </w:rPr>
        <w:br w:type="page"/>
      </w:r>
      <w:r>
        <w:rPr>
          <w:rFonts w:hint="eastAsia" w:cs="方正仿宋_GBK" w:asciiTheme="minorEastAsia" w:hAnsiTheme="minorEastAsia" w:eastAsiaTheme="minorEastAsia"/>
          <w:color w:val="auto"/>
          <w:sz w:val="21"/>
          <w:szCs w:val="21"/>
          <w:highlight w:val="none"/>
        </w:rPr>
        <w:t>注：各行业划型标准：</w:t>
      </w:r>
    </w:p>
    <w:p w14:paraId="162D9C20">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14:paraId="7C057469">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D231387">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E848037">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C17B7C">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25F827A">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A343D8E">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ED01231">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A8FBEE1">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9AC261F">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549CECF">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FE307B0">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231C0A0">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B137C97">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C41093A">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87B1F8">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（十六）其他未列明行业。从业人员300人以下的为中小微型企业。其中，从业人员100人及以上的为中型企业；从业人员10人及以上的为小型企业；从业人员10人以下的为微型企业。</w:t>
      </w:r>
    </w:p>
    <w:p w14:paraId="64FB9EE6">
      <w:pPr>
        <w:tabs>
          <w:tab w:val="left" w:pos="6300"/>
        </w:tabs>
        <w:snapToGrid w:val="0"/>
        <w:spacing w:line="500" w:lineRule="exact"/>
        <w:ind w:firstLine="560"/>
        <w:jc w:val="center"/>
        <w:rPr>
          <w:rFonts w:cs="方正仿宋_GBK" w:asciiTheme="minorEastAsia" w:hAnsiTheme="minorEastAsia" w:eastAsiaTheme="minorEastAsia"/>
          <w:color w:val="auto"/>
          <w:szCs w:val="28"/>
          <w:highlight w:val="none"/>
        </w:rPr>
      </w:pPr>
      <w:r>
        <w:rPr>
          <w:rFonts w:hint="eastAsia" w:cs="方正仿宋_GBK" w:asciiTheme="minorEastAsia" w:hAnsiTheme="minorEastAsia" w:eastAsiaTheme="minorEastAsia"/>
          <w:color w:val="auto"/>
          <w:highlight w:val="none"/>
        </w:rPr>
        <w:br w:type="page"/>
      </w:r>
      <w:r>
        <w:rPr>
          <w:rFonts w:hint="eastAsia" w:cs="方正仿宋_GBK" w:asciiTheme="minorEastAsia" w:hAnsiTheme="minorEastAsia" w:eastAsiaTheme="minorEastAsia"/>
          <w:color w:val="auto"/>
          <w:szCs w:val="28"/>
          <w:highlight w:val="none"/>
        </w:rPr>
        <w:t>监狱企业证明文件</w:t>
      </w:r>
    </w:p>
    <w:p w14:paraId="3781BB65">
      <w:pPr>
        <w:tabs>
          <w:tab w:val="left" w:pos="6300"/>
        </w:tabs>
        <w:snapToGrid w:val="0"/>
        <w:spacing w:line="400" w:lineRule="exact"/>
        <w:ind w:firstLine="561"/>
        <w:jc w:val="lef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sz w:val="24"/>
          <w:szCs w:val="24"/>
          <w:highlight w:val="none"/>
        </w:rPr>
        <w:t>【以省级以上监狱管理局、戒毒管理局（含新疆生产建设兵团）出具的属于监狱企业的证明文件为准】</w:t>
      </w:r>
    </w:p>
    <w:p w14:paraId="21908781">
      <w:pPr>
        <w:tabs>
          <w:tab w:val="left" w:pos="6300"/>
        </w:tabs>
        <w:snapToGrid w:val="0"/>
        <w:spacing w:line="400" w:lineRule="exact"/>
        <w:ind w:firstLine="561"/>
        <w:jc w:val="center"/>
        <w:rPr>
          <w:rFonts w:cs="方正仿宋_GBK" w:asciiTheme="minorEastAsia" w:hAnsiTheme="minorEastAsia" w:eastAsiaTheme="minorEastAsia"/>
          <w:color w:val="auto"/>
          <w:szCs w:val="28"/>
          <w:highlight w:val="none"/>
        </w:rPr>
      </w:pPr>
      <w:r>
        <w:rPr>
          <w:rFonts w:hint="eastAsia" w:cs="方正仿宋_GBK" w:asciiTheme="minorEastAsia" w:hAnsiTheme="minorEastAsia" w:eastAsiaTheme="minorEastAsia"/>
          <w:color w:val="auto"/>
          <w:szCs w:val="28"/>
          <w:highlight w:val="none"/>
        </w:rPr>
        <w:br w:type="page"/>
      </w:r>
      <w:r>
        <w:rPr>
          <w:rFonts w:hint="eastAsia" w:cs="方正仿宋_GBK" w:asciiTheme="minorEastAsia" w:hAnsiTheme="minorEastAsia" w:eastAsiaTheme="minorEastAsia"/>
          <w:color w:val="auto"/>
          <w:highlight w:val="none"/>
        </w:rPr>
        <w:t xml:space="preserve"> </w:t>
      </w:r>
      <w:r>
        <w:rPr>
          <w:rFonts w:hint="eastAsia" w:cs="方正仿宋_GBK" w:asciiTheme="minorEastAsia" w:hAnsiTheme="minorEastAsia" w:eastAsiaTheme="minorEastAsia"/>
          <w:color w:val="auto"/>
          <w:szCs w:val="28"/>
          <w:highlight w:val="none"/>
        </w:rPr>
        <w:t>残疾人福利性单位声明函</w:t>
      </w:r>
    </w:p>
    <w:p w14:paraId="12FBC4C0">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58FFD27">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本单位对上述声明的真实性负责。如有虚假，将依法承担相应责任。</w:t>
      </w:r>
    </w:p>
    <w:p w14:paraId="3323FAB1">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p>
    <w:p w14:paraId="6983CF3B">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p>
    <w:p w14:paraId="2E2B5096">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 xml:space="preserve">                                                 投标人名称（盖章）：</w:t>
      </w:r>
    </w:p>
    <w:p w14:paraId="649F628B">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 xml:space="preserve">                                                日   期：</w:t>
      </w:r>
    </w:p>
    <w:p w14:paraId="53068A63">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754A72D1">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024B8C43">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0ECD7C4A">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1291E49D">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643CC171">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30B89CCD">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558CEA59">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6A2B36A2">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00E8A573">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5753B206">
      <w:pPr>
        <w:tabs>
          <w:tab w:val="left" w:pos="6300"/>
        </w:tabs>
        <w:snapToGrid w:val="0"/>
        <w:spacing w:line="500" w:lineRule="exact"/>
        <w:ind w:firstLine="570"/>
        <w:jc w:val="left"/>
        <w:rPr>
          <w:rFonts w:cs="方正仿宋_GBK" w:asciiTheme="minorEastAsia" w:hAnsiTheme="minorEastAsia" w:eastAsiaTheme="minorEastAsia"/>
          <w:color w:val="auto"/>
          <w:highlight w:val="none"/>
        </w:rPr>
      </w:pPr>
      <w:r>
        <w:rPr>
          <w:rFonts w:hint="eastAsia" w:cs="方正仿宋_GBK" w:asciiTheme="minorEastAsia" w:hAnsiTheme="minorEastAsia" w:eastAsiaTheme="minorEastAsia"/>
          <w:color w:val="auto"/>
          <w:kern w:val="0"/>
          <w:sz w:val="24"/>
          <w:highlight w:val="none"/>
        </w:rPr>
        <w:t>若中标人为残疾人福利性单位的，将在结果公告时公告其《残疾人福利性单位声明函》。</w:t>
      </w:r>
    </w:p>
    <w:p w14:paraId="241593DC">
      <w:pPr>
        <w:spacing w:line="400" w:lineRule="exact"/>
        <w:ind w:firstLine="560" w:firstLineChars="200"/>
        <w:rPr>
          <w:rFonts w:ascii="宋体" w:hAnsi="宋体" w:cs="宋体"/>
          <w:color w:val="auto"/>
          <w:highlight w:val="none"/>
        </w:rPr>
      </w:pPr>
      <w:r>
        <w:rPr>
          <w:rFonts w:hint="eastAsia" w:cs="方正仿宋_GBK" w:asciiTheme="minorEastAsia" w:hAnsiTheme="minorEastAsia" w:eastAsiaTheme="minorEastAsia"/>
          <w:color w:val="auto"/>
          <w:highlight w:val="none"/>
        </w:rPr>
        <w:br w:type="page"/>
      </w:r>
      <w:r>
        <w:rPr>
          <w:rFonts w:hint="eastAsia" w:ascii="宋体" w:hAnsi="宋体" w:cs="方正仿宋_GBK"/>
          <w:color w:val="auto"/>
          <w:sz w:val="24"/>
          <w:szCs w:val="28"/>
          <w:highlight w:val="none"/>
        </w:rPr>
        <w:t>（二）</w:t>
      </w:r>
      <w:r>
        <w:rPr>
          <w:rFonts w:hint="eastAsia" w:ascii="宋体" w:hAnsi="宋体" w:cs="宋体"/>
          <w:color w:val="auto"/>
          <w:sz w:val="24"/>
          <w:szCs w:val="24"/>
          <w:highlight w:val="none"/>
        </w:rPr>
        <w:t>《关于符合本国产品标准的声明函》或财政部会同有关部门规定的有关证明文件</w:t>
      </w:r>
    </w:p>
    <w:p w14:paraId="6AD628E0">
      <w:pPr>
        <w:pStyle w:val="15"/>
        <w:shd w:val="clear" w:color="auto" w:fill="FFFFFF"/>
        <w:spacing w:before="20" w:beforeAutospacing="0" w:after="20" w:afterAutospacing="0" w:line="400" w:lineRule="exact"/>
        <w:jc w:val="center"/>
        <w:rPr>
          <w:rFonts w:ascii="宋体" w:hAnsi="宋体" w:eastAsia="宋体" w:cs="宋体"/>
          <w:color w:val="auto"/>
          <w:szCs w:val="24"/>
          <w:highlight w:val="none"/>
        </w:rPr>
      </w:pPr>
      <w:r>
        <w:rPr>
          <w:rStyle w:val="18"/>
          <w:rFonts w:hint="eastAsia" w:ascii="宋体" w:hAnsi="宋体" w:eastAsia="宋体" w:cs="宋体"/>
          <w:color w:val="auto"/>
          <w:szCs w:val="24"/>
          <w:highlight w:val="none"/>
          <w:shd w:val="clear" w:color="auto" w:fill="FFFFFF"/>
        </w:rPr>
        <w:t>关于符合本国产品标准的声明函</w:t>
      </w:r>
    </w:p>
    <w:p w14:paraId="34EAFDEE">
      <w:pPr>
        <w:pStyle w:val="15"/>
        <w:shd w:val="clear" w:color="auto" w:fill="FFFFFF"/>
        <w:spacing w:before="20" w:beforeAutospacing="0" w:after="20" w:afterAutospacing="0" w:line="400" w:lineRule="exact"/>
        <w:ind w:firstLine="420"/>
        <w:rPr>
          <w:rFonts w:ascii="宋体" w:hAnsi="宋体" w:eastAsia="宋体" w:cs="宋体"/>
          <w:color w:val="auto"/>
          <w:szCs w:val="24"/>
          <w:highlight w:val="none"/>
        </w:rPr>
      </w:pPr>
    </w:p>
    <w:p w14:paraId="361C6429">
      <w:pPr>
        <w:pStyle w:val="15"/>
        <w:shd w:val="clear" w:color="auto" w:fill="FFFFFF"/>
        <w:spacing w:before="20" w:beforeAutospacing="0" w:after="20" w:afterAutospacing="0" w:line="400" w:lineRule="exact"/>
        <w:ind w:firstLine="420"/>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A3B446B">
      <w:pPr>
        <w:pStyle w:val="15"/>
        <w:shd w:val="clear" w:color="auto" w:fill="FFFFFF"/>
        <w:spacing w:before="20" w:beforeAutospacing="0" w:after="20" w:afterAutospacing="0" w:line="400" w:lineRule="exact"/>
        <w:ind w:firstLine="420"/>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1.</w:t>
      </w:r>
      <w:r>
        <w:rPr>
          <w:rStyle w:val="20"/>
          <w:rFonts w:hint="eastAsia" w:ascii="宋体" w:hAnsi="宋体" w:eastAsia="宋体" w:cs="宋体"/>
          <w:i w:val="0"/>
          <w:color w:val="auto"/>
          <w:szCs w:val="24"/>
          <w:highlight w:val="none"/>
          <w:u w:val="single"/>
          <w:shd w:val="clear" w:color="auto" w:fill="FFFFFF"/>
        </w:rPr>
        <w:t>（产品名称1）</w:t>
      </w:r>
      <w:r>
        <w:rPr>
          <w:rStyle w:val="20"/>
          <w:rFonts w:hint="eastAsia" w:ascii="宋体" w:hAnsi="宋体" w:eastAsia="宋体" w:cs="宋体"/>
          <w:i w:val="0"/>
          <w:color w:val="auto"/>
          <w:szCs w:val="24"/>
          <w:highlight w:val="none"/>
          <w:shd w:val="clear" w:color="auto" w:fill="FFFFFF"/>
          <w:vertAlign w:val="superscript"/>
        </w:rPr>
        <w:t>1</w:t>
      </w:r>
      <w:r>
        <w:rPr>
          <w:rFonts w:hint="eastAsia" w:ascii="宋体" w:hAnsi="宋体" w:eastAsia="宋体" w:cs="宋体"/>
          <w:color w:val="auto"/>
          <w:szCs w:val="24"/>
          <w:highlight w:val="none"/>
          <w:shd w:val="clear" w:color="auto" w:fill="FFFFFF"/>
        </w:rPr>
        <w:t>，生产厂为</w:t>
      </w:r>
      <w:r>
        <w:rPr>
          <w:rStyle w:val="20"/>
          <w:rFonts w:hint="eastAsia" w:ascii="宋体" w:hAnsi="宋体" w:eastAsia="宋体" w:cs="宋体"/>
          <w:i w:val="0"/>
          <w:color w:val="auto"/>
          <w:szCs w:val="24"/>
          <w:highlight w:val="none"/>
          <w:u w:val="single"/>
          <w:shd w:val="clear" w:color="auto" w:fill="FFFFFF"/>
        </w:rPr>
        <w:t>（厂名）</w:t>
      </w:r>
      <w:r>
        <w:rPr>
          <w:rStyle w:val="20"/>
          <w:rFonts w:hint="eastAsia" w:ascii="宋体" w:hAnsi="宋体" w:eastAsia="宋体" w:cs="宋体"/>
          <w:i w:val="0"/>
          <w:color w:val="auto"/>
          <w:szCs w:val="24"/>
          <w:highlight w:val="none"/>
          <w:shd w:val="clear" w:color="auto" w:fill="FFFFFF"/>
          <w:vertAlign w:val="superscript"/>
        </w:rPr>
        <w:t>2</w:t>
      </w:r>
      <w:r>
        <w:rPr>
          <w:rFonts w:hint="eastAsia" w:ascii="宋体" w:hAnsi="宋体" w:eastAsia="宋体" w:cs="宋体"/>
          <w:color w:val="auto"/>
          <w:szCs w:val="24"/>
          <w:highlight w:val="none"/>
          <w:shd w:val="clear" w:color="auto" w:fill="FFFFFF"/>
        </w:rPr>
        <w:t>，厂址为</w:t>
      </w:r>
      <w:r>
        <w:rPr>
          <w:rStyle w:val="20"/>
          <w:rFonts w:hint="eastAsia" w:ascii="宋体" w:hAnsi="宋体" w:eastAsia="宋体" w:cs="宋体"/>
          <w:i w:val="0"/>
          <w:color w:val="auto"/>
          <w:szCs w:val="24"/>
          <w:highlight w:val="none"/>
          <w:u w:val="single"/>
          <w:shd w:val="clear" w:color="auto" w:fill="FFFFFF"/>
        </w:rPr>
        <w:t>（生产厂址）</w:t>
      </w:r>
      <w:r>
        <w:rPr>
          <w:rFonts w:hint="eastAsia" w:ascii="宋体" w:hAnsi="宋体" w:eastAsia="宋体" w:cs="宋体"/>
          <w:color w:val="auto"/>
          <w:szCs w:val="24"/>
          <w:highlight w:val="none"/>
          <w:shd w:val="clear" w:color="auto" w:fill="FFFFFF"/>
        </w:rPr>
        <w:t>。</w:t>
      </w:r>
      <w:r>
        <w:rPr>
          <w:rStyle w:val="20"/>
          <w:rFonts w:hint="eastAsia" w:ascii="宋体" w:hAnsi="宋体" w:eastAsia="宋体" w:cs="宋体"/>
          <w:i w:val="0"/>
          <w:color w:val="auto"/>
          <w:szCs w:val="24"/>
          <w:highlight w:val="none"/>
          <w:u w:val="single"/>
          <w:shd w:val="clear" w:color="auto" w:fill="FFFFFF"/>
        </w:rPr>
        <w:t>（产品名称1）</w:t>
      </w:r>
      <w:r>
        <w:rPr>
          <w:rFonts w:hint="eastAsia" w:ascii="宋体" w:hAnsi="宋体" w:eastAsia="宋体" w:cs="宋体"/>
          <w:color w:val="auto"/>
          <w:szCs w:val="24"/>
          <w:highlight w:val="none"/>
          <w:shd w:val="clear" w:color="auto" w:fill="FFFFFF"/>
        </w:rPr>
        <w:t>的中国境内生产的组件成本占比≥</w:t>
      </w:r>
      <w:r>
        <w:rPr>
          <w:rStyle w:val="20"/>
          <w:rFonts w:hint="eastAsia" w:ascii="宋体" w:hAnsi="宋体" w:eastAsia="宋体" w:cs="宋体"/>
          <w:i w:val="0"/>
          <w:color w:val="auto"/>
          <w:szCs w:val="24"/>
          <w:highlight w:val="none"/>
          <w:u w:val="single"/>
          <w:shd w:val="clear" w:color="auto" w:fill="FFFFFF"/>
        </w:rPr>
        <w:t>（规定比例）</w:t>
      </w:r>
      <w:r>
        <w:rPr>
          <w:rStyle w:val="20"/>
          <w:rFonts w:hint="eastAsia" w:ascii="宋体" w:hAnsi="宋体" w:eastAsia="宋体" w:cs="宋体"/>
          <w:i w:val="0"/>
          <w:color w:val="auto"/>
          <w:szCs w:val="24"/>
          <w:highlight w:val="none"/>
          <w:shd w:val="clear" w:color="auto" w:fill="FFFFFF"/>
          <w:vertAlign w:val="superscript"/>
        </w:rPr>
        <w:t>3</w:t>
      </w:r>
      <w:r>
        <w:rPr>
          <w:rFonts w:hint="eastAsia" w:ascii="宋体" w:hAnsi="宋体" w:eastAsia="宋体" w:cs="宋体"/>
          <w:color w:val="auto"/>
          <w:szCs w:val="24"/>
          <w:highlight w:val="none"/>
          <w:shd w:val="clear" w:color="auto" w:fill="FFFFFF"/>
        </w:rPr>
        <w:t>。</w:t>
      </w:r>
      <w:r>
        <w:rPr>
          <w:rStyle w:val="20"/>
          <w:rFonts w:hint="eastAsia" w:ascii="宋体" w:hAnsi="宋体" w:eastAsia="宋体" w:cs="宋体"/>
          <w:i w:val="0"/>
          <w:color w:val="auto"/>
          <w:szCs w:val="24"/>
          <w:highlight w:val="none"/>
          <w:u w:val="single"/>
          <w:shd w:val="clear" w:color="auto" w:fill="FFFFFF"/>
        </w:rPr>
        <w:t>（产品名称1）</w:t>
      </w:r>
      <w:r>
        <w:rPr>
          <w:rFonts w:hint="eastAsia" w:ascii="宋体" w:hAnsi="宋体" w:eastAsia="宋体" w:cs="宋体"/>
          <w:color w:val="auto"/>
          <w:szCs w:val="24"/>
          <w:highlight w:val="none"/>
          <w:shd w:val="clear" w:color="auto" w:fill="FFFFFF"/>
        </w:rPr>
        <w:t>的</w:t>
      </w:r>
      <w:r>
        <w:rPr>
          <w:rStyle w:val="20"/>
          <w:rFonts w:hint="eastAsia" w:ascii="宋体" w:hAnsi="宋体" w:eastAsia="宋体" w:cs="宋体"/>
          <w:i w:val="0"/>
          <w:color w:val="auto"/>
          <w:szCs w:val="24"/>
          <w:highlight w:val="none"/>
          <w:u w:val="single"/>
          <w:shd w:val="clear" w:color="auto" w:fill="FFFFFF"/>
        </w:rPr>
        <w:t>（关键组件）</w:t>
      </w:r>
      <w:r>
        <w:rPr>
          <w:rStyle w:val="20"/>
          <w:rFonts w:hint="eastAsia" w:ascii="宋体" w:hAnsi="宋体" w:eastAsia="宋体" w:cs="宋体"/>
          <w:i w:val="0"/>
          <w:color w:val="auto"/>
          <w:szCs w:val="24"/>
          <w:highlight w:val="none"/>
          <w:shd w:val="clear" w:color="auto" w:fill="FFFFFF"/>
          <w:vertAlign w:val="superscript"/>
        </w:rPr>
        <w:t>4</w:t>
      </w:r>
      <w:r>
        <w:rPr>
          <w:rFonts w:hint="eastAsia" w:ascii="宋体" w:hAnsi="宋体" w:eastAsia="宋体" w:cs="宋体"/>
          <w:color w:val="auto"/>
          <w:szCs w:val="24"/>
          <w:highlight w:val="none"/>
          <w:shd w:val="clear" w:color="auto" w:fill="FFFFFF"/>
        </w:rPr>
        <w:t>在中国境内生产。</w:t>
      </w:r>
      <w:r>
        <w:rPr>
          <w:rStyle w:val="20"/>
          <w:rFonts w:hint="eastAsia" w:ascii="宋体" w:hAnsi="宋体" w:eastAsia="宋体" w:cs="宋体"/>
          <w:i w:val="0"/>
          <w:color w:val="auto"/>
          <w:szCs w:val="24"/>
          <w:highlight w:val="none"/>
          <w:u w:val="single"/>
          <w:shd w:val="clear" w:color="auto" w:fill="FFFFFF"/>
        </w:rPr>
        <w:t>（产品名称1）</w:t>
      </w:r>
      <w:r>
        <w:rPr>
          <w:rFonts w:hint="eastAsia" w:ascii="宋体" w:hAnsi="宋体" w:eastAsia="宋体" w:cs="宋体"/>
          <w:color w:val="auto"/>
          <w:szCs w:val="24"/>
          <w:highlight w:val="none"/>
          <w:shd w:val="clear" w:color="auto" w:fill="FFFFFF"/>
        </w:rPr>
        <w:t>的</w:t>
      </w:r>
      <w:r>
        <w:rPr>
          <w:rStyle w:val="20"/>
          <w:rFonts w:hint="eastAsia" w:ascii="宋体" w:hAnsi="宋体" w:eastAsia="宋体" w:cs="宋体"/>
          <w:i w:val="0"/>
          <w:color w:val="auto"/>
          <w:szCs w:val="24"/>
          <w:highlight w:val="none"/>
          <w:u w:val="single"/>
          <w:shd w:val="clear" w:color="auto" w:fill="FFFFFF"/>
        </w:rPr>
        <w:t>（关键工序）</w:t>
      </w:r>
      <w:r>
        <w:rPr>
          <w:rStyle w:val="20"/>
          <w:rFonts w:hint="eastAsia" w:ascii="宋体" w:hAnsi="宋体" w:eastAsia="宋体" w:cs="宋体"/>
          <w:i w:val="0"/>
          <w:color w:val="auto"/>
          <w:szCs w:val="24"/>
          <w:highlight w:val="none"/>
          <w:shd w:val="clear" w:color="auto" w:fill="FFFFFF"/>
          <w:vertAlign w:val="superscript"/>
        </w:rPr>
        <w:t>5</w:t>
      </w:r>
      <w:r>
        <w:rPr>
          <w:rFonts w:hint="eastAsia" w:ascii="宋体" w:hAnsi="宋体" w:eastAsia="宋体" w:cs="宋体"/>
          <w:color w:val="auto"/>
          <w:szCs w:val="24"/>
          <w:highlight w:val="none"/>
          <w:shd w:val="clear" w:color="auto" w:fill="FFFFFF"/>
        </w:rPr>
        <w:t>在中国境内完成。</w:t>
      </w:r>
    </w:p>
    <w:p w14:paraId="4EBCC0AB">
      <w:pPr>
        <w:pStyle w:val="15"/>
        <w:shd w:val="clear" w:color="auto" w:fill="FFFFFF"/>
        <w:spacing w:before="20" w:beforeAutospacing="0" w:after="20" w:afterAutospacing="0" w:line="400" w:lineRule="exact"/>
        <w:ind w:firstLine="420"/>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2.</w:t>
      </w:r>
      <w:r>
        <w:rPr>
          <w:rStyle w:val="20"/>
          <w:rFonts w:hint="eastAsia" w:ascii="宋体" w:hAnsi="宋体" w:eastAsia="宋体" w:cs="宋体"/>
          <w:i w:val="0"/>
          <w:color w:val="auto"/>
          <w:szCs w:val="24"/>
          <w:highlight w:val="none"/>
          <w:u w:val="single"/>
          <w:shd w:val="clear" w:color="auto" w:fill="FFFFFF"/>
        </w:rPr>
        <w:t>（产品名称2）</w:t>
      </w:r>
      <w:r>
        <w:rPr>
          <w:rFonts w:hint="eastAsia" w:ascii="宋体" w:hAnsi="宋体" w:eastAsia="宋体" w:cs="宋体"/>
          <w:color w:val="auto"/>
          <w:szCs w:val="24"/>
          <w:highlight w:val="none"/>
          <w:shd w:val="clear" w:color="auto" w:fill="FFFFFF"/>
        </w:rPr>
        <w:t>，生产厂为</w:t>
      </w:r>
      <w:r>
        <w:rPr>
          <w:rStyle w:val="20"/>
          <w:rFonts w:hint="eastAsia" w:ascii="宋体" w:hAnsi="宋体" w:eastAsia="宋体" w:cs="宋体"/>
          <w:i w:val="0"/>
          <w:color w:val="auto"/>
          <w:szCs w:val="24"/>
          <w:highlight w:val="none"/>
          <w:u w:val="single"/>
          <w:shd w:val="clear" w:color="auto" w:fill="FFFFFF"/>
        </w:rPr>
        <w:t>（厂名）</w:t>
      </w:r>
      <w:r>
        <w:rPr>
          <w:rFonts w:hint="eastAsia" w:ascii="宋体" w:hAnsi="宋体" w:eastAsia="宋体" w:cs="宋体"/>
          <w:color w:val="auto"/>
          <w:szCs w:val="24"/>
          <w:highlight w:val="none"/>
          <w:shd w:val="clear" w:color="auto" w:fill="FFFFFF"/>
        </w:rPr>
        <w:t>，厂址为</w:t>
      </w:r>
      <w:r>
        <w:rPr>
          <w:rStyle w:val="20"/>
          <w:rFonts w:hint="eastAsia" w:ascii="宋体" w:hAnsi="宋体" w:eastAsia="宋体" w:cs="宋体"/>
          <w:i w:val="0"/>
          <w:color w:val="auto"/>
          <w:szCs w:val="24"/>
          <w:highlight w:val="none"/>
          <w:u w:val="single"/>
          <w:shd w:val="clear" w:color="auto" w:fill="FFFFFF"/>
        </w:rPr>
        <w:t>（生产厂址）</w:t>
      </w:r>
      <w:r>
        <w:rPr>
          <w:rFonts w:hint="eastAsia" w:ascii="宋体" w:hAnsi="宋体" w:eastAsia="宋体" w:cs="宋体"/>
          <w:color w:val="auto"/>
          <w:szCs w:val="24"/>
          <w:highlight w:val="none"/>
          <w:shd w:val="clear" w:color="auto" w:fill="FFFFFF"/>
        </w:rPr>
        <w:t>。</w:t>
      </w:r>
      <w:r>
        <w:rPr>
          <w:rStyle w:val="20"/>
          <w:rFonts w:hint="eastAsia" w:ascii="宋体" w:hAnsi="宋体" w:eastAsia="宋体" w:cs="宋体"/>
          <w:i w:val="0"/>
          <w:color w:val="auto"/>
          <w:szCs w:val="24"/>
          <w:highlight w:val="none"/>
          <w:u w:val="single"/>
          <w:shd w:val="clear" w:color="auto" w:fill="FFFFFF"/>
        </w:rPr>
        <w:t>（产品名称2）</w:t>
      </w:r>
      <w:r>
        <w:rPr>
          <w:rFonts w:hint="eastAsia" w:ascii="宋体" w:hAnsi="宋体" w:eastAsia="宋体" w:cs="宋体"/>
          <w:color w:val="auto"/>
          <w:szCs w:val="24"/>
          <w:highlight w:val="none"/>
          <w:shd w:val="clear" w:color="auto" w:fill="FFFFFF"/>
        </w:rPr>
        <w:t>的中国境内生产的组件成本占比≥</w:t>
      </w:r>
      <w:r>
        <w:rPr>
          <w:rStyle w:val="20"/>
          <w:rFonts w:hint="eastAsia" w:ascii="宋体" w:hAnsi="宋体" w:eastAsia="宋体" w:cs="宋体"/>
          <w:i w:val="0"/>
          <w:color w:val="auto"/>
          <w:szCs w:val="24"/>
          <w:highlight w:val="none"/>
          <w:u w:val="single"/>
          <w:shd w:val="clear" w:color="auto" w:fill="FFFFFF"/>
        </w:rPr>
        <w:t>（规定比例）</w:t>
      </w:r>
      <w:r>
        <w:rPr>
          <w:rFonts w:hint="eastAsia" w:ascii="宋体" w:hAnsi="宋体" w:eastAsia="宋体" w:cs="宋体"/>
          <w:color w:val="auto"/>
          <w:szCs w:val="24"/>
          <w:highlight w:val="none"/>
          <w:shd w:val="clear" w:color="auto" w:fill="FFFFFF"/>
        </w:rPr>
        <w:t>。</w:t>
      </w:r>
      <w:r>
        <w:rPr>
          <w:rStyle w:val="20"/>
          <w:rFonts w:hint="eastAsia" w:ascii="宋体" w:hAnsi="宋体" w:eastAsia="宋体" w:cs="宋体"/>
          <w:i w:val="0"/>
          <w:color w:val="auto"/>
          <w:szCs w:val="24"/>
          <w:highlight w:val="none"/>
          <w:u w:val="single"/>
          <w:shd w:val="clear" w:color="auto" w:fill="FFFFFF"/>
        </w:rPr>
        <w:t>（产品名称2）</w:t>
      </w:r>
      <w:r>
        <w:rPr>
          <w:rFonts w:hint="eastAsia" w:ascii="宋体" w:hAnsi="宋体" w:eastAsia="宋体" w:cs="宋体"/>
          <w:color w:val="auto"/>
          <w:szCs w:val="24"/>
          <w:highlight w:val="none"/>
          <w:shd w:val="clear" w:color="auto" w:fill="FFFFFF"/>
        </w:rPr>
        <w:t>的</w:t>
      </w:r>
      <w:r>
        <w:rPr>
          <w:rStyle w:val="20"/>
          <w:rFonts w:hint="eastAsia" w:ascii="宋体" w:hAnsi="宋体" w:eastAsia="宋体" w:cs="宋体"/>
          <w:i w:val="0"/>
          <w:color w:val="auto"/>
          <w:szCs w:val="24"/>
          <w:highlight w:val="none"/>
          <w:u w:val="single"/>
          <w:shd w:val="clear" w:color="auto" w:fill="FFFFFF"/>
        </w:rPr>
        <w:t>（关键组件）</w:t>
      </w:r>
      <w:r>
        <w:rPr>
          <w:rFonts w:hint="eastAsia" w:ascii="宋体" w:hAnsi="宋体" w:eastAsia="宋体" w:cs="宋体"/>
          <w:color w:val="auto"/>
          <w:szCs w:val="24"/>
          <w:highlight w:val="none"/>
          <w:shd w:val="clear" w:color="auto" w:fill="FFFFFF"/>
        </w:rPr>
        <w:t>在中国境内生产。</w:t>
      </w:r>
      <w:r>
        <w:rPr>
          <w:rStyle w:val="20"/>
          <w:rFonts w:hint="eastAsia" w:ascii="宋体" w:hAnsi="宋体" w:eastAsia="宋体" w:cs="宋体"/>
          <w:i w:val="0"/>
          <w:color w:val="auto"/>
          <w:szCs w:val="24"/>
          <w:highlight w:val="none"/>
          <w:u w:val="single"/>
          <w:shd w:val="clear" w:color="auto" w:fill="FFFFFF"/>
        </w:rPr>
        <w:t>（产品名称2）</w:t>
      </w:r>
      <w:r>
        <w:rPr>
          <w:rFonts w:hint="eastAsia" w:ascii="宋体" w:hAnsi="宋体" w:eastAsia="宋体" w:cs="宋体"/>
          <w:color w:val="auto"/>
          <w:szCs w:val="24"/>
          <w:highlight w:val="none"/>
          <w:shd w:val="clear" w:color="auto" w:fill="FFFFFF"/>
        </w:rPr>
        <w:t>的</w:t>
      </w:r>
      <w:r>
        <w:rPr>
          <w:rStyle w:val="20"/>
          <w:rFonts w:hint="eastAsia" w:ascii="宋体" w:hAnsi="宋体" w:eastAsia="宋体" w:cs="宋体"/>
          <w:i w:val="0"/>
          <w:color w:val="auto"/>
          <w:szCs w:val="24"/>
          <w:highlight w:val="none"/>
          <w:u w:val="single"/>
          <w:shd w:val="clear" w:color="auto" w:fill="FFFFFF"/>
        </w:rPr>
        <w:t>（关键工序）</w:t>
      </w:r>
      <w:r>
        <w:rPr>
          <w:rFonts w:hint="eastAsia" w:ascii="宋体" w:hAnsi="宋体" w:eastAsia="宋体" w:cs="宋体"/>
          <w:color w:val="auto"/>
          <w:szCs w:val="24"/>
          <w:highlight w:val="none"/>
          <w:shd w:val="clear" w:color="auto" w:fill="FFFFFF"/>
        </w:rPr>
        <w:t>在中国境内完成。</w:t>
      </w:r>
    </w:p>
    <w:p w14:paraId="3A384D71">
      <w:pPr>
        <w:pStyle w:val="15"/>
        <w:shd w:val="clear" w:color="auto" w:fill="FFFFFF"/>
        <w:spacing w:before="20" w:beforeAutospacing="0" w:after="20" w:afterAutospacing="0" w:line="400" w:lineRule="exact"/>
        <w:ind w:firstLine="420"/>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w:t>
      </w:r>
    </w:p>
    <w:p w14:paraId="1CFFC26B">
      <w:pPr>
        <w:pStyle w:val="15"/>
        <w:shd w:val="clear" w:color="auto" w:fill="FFFFFF"/>
        <w:spacing w:before="20" w:beforeAutospacing="0" w:after="20" w:afterAutospacing="0" w:line="400" w:lineRule="exact"/>
        <w:ind w:firstLine="420"/>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本公司（单位）对上述声明内容的真实性负责。如有虚假，愿承担相应法律责任。</w:t>
      </w:r>
    </w:p>
    <w:p w14:paraId="1AD23899">
      <w:pPr>
        <w:pStyle w:val="15"/>
        <w:shd w:val="clear" w:color="auto" w:fill="FFFFFF"/>
        <w:spacing w:before="20" w:beforeAutospacing="0" w:after="20" w:afterAutospacing="0" w:line="400" w:lineRule="exact"/>
        <w:rPr>
          <w:rFonts w:ascii="宋体" w:hAnsi="宋体" w:eastAsia="宋体" w:cs="宋体"/>
          <w:color w:val="auto"/>
          <w:szCs w:val="24"/>
          <w:highlight w:val="none"/>
        </w:rPr>
      </w:pPr>
    </w:p>
    <w:p w14:paraId="0DD20221">
      <w:pPr>
        <w:pStyle w:val="15"/>
        <w:shd w:val="clear" w:color="auto" w:fill="FFFFFF"/>
        <w:spacing w:before="20" w:beforeAutospacing="0" w:after="20" w:afterAutospacing="0" w:line="400" w:lineRule="exact"/>
        <w:jc w:val="right"/>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公司（单位）名称（盖章）：　        </w:t>
      </w:r>
    </w:p>
    <w:p w14:paraId="4CA85679">
      <w:pPr>
        <w:pStyle w:val="15"/>
        <w:shd w:val="clear" w:color="auto" w:fill="FFFFFF"/>
        <w:spacing w:before="20" w:beforeAutospacing="0" w:after="20" w:afterAutospacing="0" w:line="400" w:lineRule="exact"/>
        <w:jc w:val="right"/>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日期：　     年　  月　  日         </w:t>
      </w:r>
    </w:p>
    <w:p w14:paraId="710A396B">
      <w:pPr>
        <w:pStyle w:val="15"/>
        <w:shd w:val="clear" w:color="auto" w:fill="FFFFFF"/>
        <w:spacing w:before="20" w:beforeAutospacing="0" w:after="2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__________________</w:t>
      </w:r>
    </w:p>
    <w:p w14:paraId="3049B96E">
      <w:pPr>
        <w:pStyle w:val="15"/>
        <w:shd w:val="clear" w:color="auto" w:fill="FFFFFF"/>
        <w:spacing w:before="20" w:beforeAutospacing="0" w:after="20" w:afterAutospacing="0" w:line="400" w:lineRule="exact"/>
        <w:ind w:firstLine="420"/>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1.产品如有型号，请在“产品名称”栏一并填写。</w:t>
      </w:r>
    </w:p>
    <w:p w14:paraId="175B78AC">
      <w:pPr>
        <w:pStyle w:val="15"/>
        <w:shd w:val="clear" w:color="auto" w:fill="FFFFFF"/>
        <w:spacing w:before="20" w:beforeAutospacing="0" w:after="20" w:afterAutospacing="0" w:line="400" w:lineRule="exact"/>
        <w:ind w:firstLine="420"/>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2.生产厂名与厂址应与生产厂营业执照载明的相关信息保持一致。</w:t>
      </w:r>
    </w:p>
    <w:p w14:paraId="2B310B71">
      <w:pPr>
        <w:pStyle w:val="15"/>
        <w:shd w:val="clear" w:color="auto" w:fill="FFFFFF"/>
        <w:spacing w:before="20" w:beforeAutospacing="0" w:after="20" w:afterAutospacing="0" w:line="400" w:lineRule="exact"/>
        <w:ind w:firstLine="420"/>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3.该产品的中国境内生产的组件成本占比相关要求实施前，“规定比例”栏可不填，下同。</w:t>
      </w:r>
    </w:p>
    <w:p w14:paraId="1390C74B">
      <w:pPr>
        <w:pStyle w:val="15"/>
        <w:shd w:val="clear" w:color="auto" w:fill="FFFFFF"/>
        <w:spacing w:before="20" w:beforeAutospacing="0" w:after="20" w:afterAutospacing="0" w:line="400" w:lineRule="exact"/>
        <w:ind w:firstLine="420"/>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4.该产品的关键组件要求实施前，“关键组件”栏可不填，下同。</w:t>
      </w:r>
    </w:p>
    <w:p w14:paraId="343A4889">
      <w:pPr>
        <w:pStyle w:val="15"/>
        <w:shd w:val="clear" w:color="auto" w:fill="FFFFFF"/>
        <w:spacing w:before="20" w:beforeAutospacing="0" w:after="20" w:afterAutospacing="0" w:line="400" w:lineRule="exact"/>
        <w:ind w:firstLine="420"/>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5.该产品的关键工序要求实施前，“关键工序”栏可不填，下同。</w:t>
      </w:r>
    </w:p>
    <w:p w14:paraId="3AFD83C4">
      <w:pPr>
        <w:tabs>
          <w:tab w:val="left" w:pos="6300"/>
        </w:tabs>
        <w:snapToGrid w:val="0"/>
        <w:spacing w:line="400" w:lineRule="exact"/>
        <w:ind w:firstLine="560"/>
        <w:jc w:val="center"/>
        <w:rPr>
          <w:rFonts w:ascii="宋体" w:hAnsi="宋体" w:cs="宋体"/>
          <w:color w:val="auto"/>
          <w:szCs w:val="28"/>
          <w:highlight w:val="none"/>
        </w:rPr>
      </w:pPr>
      <w:r>
        <w:rPr>
          <w:rFonts w:hint="eastAsia" w:ascii="宋体" w:hAnsi="宋体" w:cs="宋体"/>
          <w:color w:val="auto"/>
          <w:highlight w:val="none"/>
        </w:rPr>
        <w:br w:type="page"/>
      </w:r>
      <w:r>
        <w:rPr>
          <w:rFonts w:hint="eastAsia" w:ascii="宋体" w:hAnsi="宋体" w:cs="宋体"/>
          <w:color w:val="auto"/>
          <w:highlight w:val="none"/>
        </w:rPr>
        <w:t xml:space="preserve">   所投产品为本国产品的有关证明文件</w:t>
      </w:r>
    </w:p>
    <w:p w14:paraId="2AB4C16F">
      <w:pPr>
        <w:tabs>
          <w:tab w:val="left" w:pos="6300"/>
        </w:tabs>
        <w:snapToGrid w:val="0"/>
        <w:spacing w:line="400" w:lineRule="exact"/>
        <w:ind w:firstLine="561"/>
        <w:jc w:val="left"/>
        <w:rPr>
          <w:rFonts w:ascii="宋体" w:hAnsi="宋体" w:cs="宋体"/>
          <w:color w:val="auto"/>
          <w:sz w:val="24"/>
          <w:szCs w:val="24"/>
          <w:highlight w:val="none"/>
        </w:rPr>
      </w:pPr>
      <w:r>
        <w:rPr>
          <w:rFonts w:hint="eastAsia" w:ascii="宋体" w:hAnsi="宋体" w:cs="宋体"/>
          <w:color w:val="auto"/>
          <w:sz w:val="24"/>
          <w:szCs w:val="24"/>
          <w:highlight w:val="none"/>
        </w:rPr>
        <w:t>【以财政部会同有关部门规定的有关证明文件为准】</w:t>
      </w:r>
    </w:p>
    <w:p w14:paraId="1A9A1DC9">
      <w:pPr>
        <w:spacing w:line="400" w:lineRule="exact"/>
        <w:ind w:firstLine="480" w:firstLineChars="200"/>
        <w:rPr>
          <w:rFonts w:ascii="宋体" w:hAnsi="宋体" w:cs="方正仿宋_GBK"/>
          <w:color w:val="auto"/>
          <w:sz w:val="24"/>
          <w:szCs w:val="28"/>
          <w:highlight w:val="none"/>
        </w:rPr>
      </w:pPr>
    </w:p>
    <w:p w14:paraId="400287B9">
      <w:pPr>
        <w:widowControl/>
        <w:jc w:val="left"/>
        <w:rPr>
          <w:rFonts w:ascii="宋体" w:hAnsi="宋体" w:cs="方正仿宋_GBK"/>
          <w:color w:val="auto"/>
          <w:sz w:val="24"/>
          <w:szCs w:val="28"/>
          <w:highlight w:val="none"/>
        </w:rPr>
        <w:sectPr>
          <w:footerReference r:id="rId9" w:type="default"/>
          <w:type w:val="nextColumn"/>
          <w:pgSz w:w="11907" w:h="16840"/>
          <w:pgMar w:top="1134" w:right="1191" w:bottom="1134" w:left="1304" w:header="964" w:footer="992" w:gutter="0"/>
          <w:pgNumType w:fmt="numberInDash"/>
          <w:cols w:space="720" w:num="1"/>
          <w:docGrid w:linePitch="380" w:charSpace="-5735"/>
        </w:sectPr>
      </w:pPr>
      <w:r>
        <w:rPr>
          <w:rFonts w:ascii="宋体" w:hAnsi="宋体" w:cs="方正仿宋_GBK"/>
          <w:color w:val="auto"/>
          <w:sz w:val="24"/>
          <w:szCs w:val="28"/>
          <w:highlight w:val="none"/>
        </w:rPr>
        <w:br w:type="page"/>
      </w:r>
    </w:p>
    <w:p w14:paraId="61ACCA58">
      <w:pPr>
        <w:adjustRightInd w:val="0"/>
        <w:snapToGrid w:val="0"/>
        <w:spacing w:line="400" w:lineRule="exact"/>
        <w:ind w:firstLine="465"/>
        <w:rPr>
          <w:rFonts w:ascii="宋体" w:hAnsi="宋体"/>
          <w:color w:val="auto"/>
          <w:sz w:val="24"/>
          <w:szCs w:val="24"/>
          <w:highlight w:val="none"/>
        </w:rPr>
      </w:pPr>
      <w:r>
        <w:rPr>
          <w:rFonts w:hint="eastAsia" w:ascii="宋体" w:hAnsi="宋体" w:cs="宋体"/>
          <w:color w:val="auto"/>
          <w:sz w:val="24"/>
          <w:szCs w:val="24"/>
          <w:highlight w:val="none"/>
        </w:rPr>
        <w:t>（三）</w:t>
      </w:r>
      <w:r>
        <w:rPr>
          <w:rFonts w:hint="eastAsia" w:ascii="宋体" w:hAnsi="宋体" w:cs="宋体"/>
          <w:color w:val="auto"/>
          <w:sz w:val="24"/>
          <w:szCs w:val="28"/>
          <w:highlight w:val="none"/>
        </w:rPr>
        <w:t>关于</w:t>
      </w:r>
      <w:r>
        <w:rPr>
          <w:rFonts w:hint="eastAsia" w:ascii="宋体" w:hAnsi="宋体"/>
          <w:color w:val="auto"/>
          <w:sz w:val="24"/>
          <w:szCs w:val="24"/>
          <w:highlight w:val="none"/>
        </w:rPr>
        <w:t>产品成本之和的承诺函</w:t>
      </w:r>
      <w:r>
        <w:rPr>
          <w:rFonts w:hint="eastAsia" w:ascii="宋体" w:hAnsi="宋体" w:cs="宋体"/>
          <w:color w:val="auto"/>
          <w:sz w:val="24"/>
          <w:szCs w:val="24"/>
          <w:highlight w:val="none"/>
        </w:rPr>
        <w:t>（如有）</w:t>
      </w:r>
    </w:p>
    <w:p w14:paraId="3CDB8117">
      <w:pPr>
        <w:adjustRightInd w:val="0"/>
        <w:snapToGrid w:val="0"/>
        <w:spacing w:line="400" w:lineRule="exact"/>
        <w:rPr>
          <w:rFonts w:ascii="宋体" w:hAnsi="宋体"/>
          <w:color w:val="auto"/>
          <w:sz w:val="24"/>
          <w:szCs w:val="24"/>
          <w:highlight w:val="none"/>
        </w:rPr>
      </w:pPr>
    </w:p>
    <w:p w14:paraId="4BF41124">
      <w:pPr>
        <w:adjustRightInd w:val="0"/>
        <w:snapToGrid w:val="0"/>
        <w:spacing w:line="420" w:lineRule="exact"/>
        <w:jc w:val="center"/>
        <w:rPr>
          <w:rFonts w:ascii="宋体" w:hAnsi="宋体"/>
          <w:b/>
          <w:bCs/>
          <w:color w:val="auto"/>
          <w:szCs w:val="28"/>
          <w:highlight w:val="none"/>
        </w:rPr>
      </w:pPr>
      <w:r>
        <w:rPr>
          <w:rFonts w:hint="eastAsia" w:ascii="宋体" w:hAnsi="宋体"/>
          <w:b/>
          <w:bCs/>
          <w:color w:val="auto"/>
          <w:szCs w:val="28"/>
          <w:highlight w:val="none"/>
        </w:rPr>
        <w:t>承诺函</w:t>
      </w:r>
    </w:p>
    <w:p w14:paraId="6D427E59">
      <w:pPr>
        <w:adjustRightInd w:val="0"/>
        <w:snapToGrid w:val="0"/>
        <w:spacing w:line="42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本公司参加</w:t>
      </w:r>
      <w:r>
        <w:rPr>
          <w:rFonts w:hint="eastAsia" w:ascii="宋体" w:hAnsi="宋体" w:cs="宋体"/>
          <w:i/>
          <w:color w:val="auto"/>
          <w:sz w:val="24"/>
          <w:szCs w:val="28"/>
          <w:highlight w:val="none"/>
          <w:u w:val="single"/>
        </w:rPr>
        <w:t xml:space="preserve"> </w:t>
      </w:r>
      <w:r>
        <w:rPr>
          <w:rFonts w:ascii="宋体" w:hAnsi="宋体" w:cs="宋体"/>
          <w:i/>
          <w:color w:val="auto"/>
          <w:sz w:val="24"/>
          <w:szCs w:val="28"/>
          <w:highlight w:val="none"/>
          <w:u w:val="single"/>
        </w:rPr>
        <w:t xml:space="preserve">              </w:t>
      </w:r>
      <w:r>
        <w:rPr>
          <w:rFonts w:hint="eastAsia" w:ascii="宋体" w:hAnsi="宋体"/>
          <w:color w:val="auto"/>
          <w:sz w:val="24"/>
          <w:szCs w:val="24"/>
          <w:highlight w:val="none"/>
        </w:rPr>
        <w:t>采购活动，因本项目含有多种产品，现对产品成本之和相关情况作如下承诺：</w:t>
      </w:r>
    </w:p>
    <w:p w14:paraId="2AF6083B">
      <w:pPr>
        <w:adjustRightInd w:val="0"/>
        <w:snapToGrid w:val="0"/>
        <w:spacing w:line="420" w:lineRule="exact"/>
        <w:ind w:firstLine="465"/>
        <w:rPr>
          <w:rFonts w:ascii="宋体" w:hAnsi="宋体"/>
          <w:color w:val="auto"/>
          <w:sz w:val="24"/>
          <w:szCs w:val="24"/>
          <w:highlight w:val="none"/>
        </w:rPr>
      </w:pPr>
      <w:r>
        <w:rPr>
          <w:rFonts w:hint="eastAsia" w:ascii="宋体" w:hAnsi="宋体"/>
          <w:color w:val="auto"/>
          <w:sz w:val="24"/>
          <w:szCs w:val="24"/>
          <w:highlight w:val="none"/>
        </w:rPr>
        <w:t>我公司为该采购项目提供的符合本国产品标准的产品成本之和占该所提供的全部产品成本之和的比例达到_______%。</w:t>
      </w:r>
    </w:p>
    <w:p w14:paraId="3BA6887D">
      <w:pPr>
        <w:adjustRightInd w:val="0"/>
        <w:snapToGrid w:val="0"/>
        <w:spacing w:line="420" w:lineRule="exact"/>
        <w:ind w:firstLine="465"/>
        <w:rPr>
          <w:rFonts w:ascii="宋体" w:hAnsi="宋体"/>
          <w:color w:val="auto"/>
          <w:szCs w:val="28"/>
          <w:highlight w:val="none"/>
        </w:rPr>
      </w:pPr>
      <w:r>
        <w:rPr>
          <w:rFonts w:hint="eastAsia" w:ascii="宋体" w:hAnsi="宋体"/>
          <w:color w:val="auto"/>
          <w:sz w:val="24"/>
          <w:szCs w:val="24"/>
          <w:highlight w:val="none"/>
        </w:rPr>
        <w:t>特此承诺。</w:t>
      </w:r>
    </w:p>
    <w:p w14:paraId="7ECF0111">
      <w:pPr>
        <w:tabs>
          <w:tab w:val="left" w:pos="6300"/>
        </w:tabs>
        <w:snapToGrid w:val="0"/>
        <w:spacing w:line="420" w:lineRule="exact"/>
        <w:ind w:right="424" w:firstLine="570"/>
        <w:jc w:val="right"/>
        <w:rPr>
          <w:rFonts w:ascii="宋体" w:hAnsi="宋体"/>
          <w:color w:val="auto"/>
          <w:sz w:val="24"/>
          <w:szCs w:val="24"/>
          <w:highlight w:val="none"/>
        </w:rPr>
      </w:pPr>
      <w:r>
        <w:rPr>
          <w:rFonts w:hint="eastAsia" w:ascii="宋体" w:hAnsi="宋体"/>
          <w:color w:val="auto"/>
          <w:sz w:val="24"/>
          <w:szCs w:val="24"/>
          <w:highlight w:val="none"/>
        </w:rPr>
        <w:t>（投标人公章）</w:t>
      </w:r>
    </w:p>
    <w:p w14:paraId="6668EB53">
      <w:pPr>
        <w:tabs>
          <w:tab w:val="left" w:pos="6300"/>
        </w:tabs>
        <w:snapToGrid w:val="0"/>
        <w:spacing w:line="420" w:lineRule="exact"/>
        <w:ind w:right="424" w:firstLine="570"/>
        <w:jc w:val="right"/>
        <w:rPr>
          <w:rFonts w:ascii="宋体" w:hAnsi="宋体"/>
          <w:color w:val="auto"/>
          <w:sz w:val="24"/>
          <w:szCs w:val="24"/>
          <w:highlight w:val="none"/>
        </w:rPr>
      </w:pPr>
      <w:r>
        <w:rPr>
          <w:rFonts w:hint="eastAsia" w:ascii="宋体" w:hAnsi="宋体"/>
          <w:color w:val="auto"/>
          <w:sz w:val="24"/>
          <w:szCs w:val="24"/>
          <w:highlight w:val="none"/>
        </w:rPr>
        <w:t>年   月   日</w:t>
      </w:r>
    </w:p>
    <w:p w14:paraId="6218BC9F">
      <w:pPr>
        <w:spacing w:line="420" w:lineRule="exact"/>
        <w:ind w:firstLine="480" w:firstLineChars="200"/>
        <w:rPr>
          <w:rFonts w:ascii="宋体" w:hAnsi="宋体"/>
          <w:color w:val="auto"/>
          <w:sz w:val="24"/>
          <w:szCs w:val="28"/>
          <w:highlight w:val="none"/>
        </w:rPr>
      </w:pPr>
    </w:p>
    <w:p w14:paraId="6A09080F">
      <w:pPr>
        <w:spacing w:line="420" w:lineRule="exact"/>
        <w:ind w:firstLine="480" w:firstLineChars="200"/>
        <w:rPr>
          <w:rFonts w:ascii="宋体" w:hAnsi="宋体"/>
          <w:color w:val="auto"/>
          <w:sz w:val="24"/>
          <w:szCs w:val="28"/>
          <w:highlight w:val="none"/>
        </w:rPr>
      </w:pPr>
    </w:p>
    <w:p w14:paraId="778721A7">
      <w:pPr>
        <w:spacing w:line="420" w:lineRule="exact"/>
        <w:ind w:firstLine="480" w:firstLineChars="200"/>
        <w:rPr>
          <w:rFonts w:ascii="宋体" w:hAnsi="宋体"/>
          <w:color w:val="auto"/>
          <w:sz w:val="24"/>
          <w:szCs w:val="28"/>
          <w:highlight w:val="none"/>
        </w:rPr>
      </w:pPr>
      <w:r>
        <w:rPr>
          <w:rFonts w:hint="eastAsia" w:ascii="宋体" w:hAnsi="宋体"/>
          <w:color w:val="auto"/>
          <w:sz w:val="24"/>
          <w:szCs w:val="28"/>
          <w:highlight w:val="none"/>
        </w:rPr>
        <w:t>注：</w:t>
      </w:r>
    </w:p>
    <w:p w14:paraId="16230DB0">
      <w:pPr>
        <w:spacing w:line="420" w:lineRule="exact"/>
        <w:ind w:firstLine="480" w:firstLineChars="200"/>
        <w:rPr>
          <w:rFonts w:ascii="宋体" w:hAnsi="宋体"/>
          <w:color w:val="auto"/>
          <w:sz w:val="24"/>
          <w:szCs w:val="28"/>
          <w:highlight w:val="none"/>
        </w:rPr>
      </w:pPr>
      <w:r>
        <w:rPr>
          <w:rFonts w:hint="eastAsia" w:ascii="宋体" w:hAnsi="宋体" w:cs="宋体"/>
          <w:color w:val="auto"/>
          <w:sz w:val="24"/>
          <w:szCs w:val="28"/>
          <w:highlight w:val="none"/>
        </w:rPr>
        <w:t>1.</w:t>
      </w:r>
      <w:r>
        <w:rPr>
          <w:rFonts w:hint="eastAsia" w:ascii="宋体" w:hAnsi="宋体"/>
          <w:color w:val="auto"/>
          <w:sz w:val="24"/>
          <w:szCs w:val="28"/>
          <w:highlight w:val="none"/>
        </w:rPr>
        <w:t>本承诺函格式仅作参考。</w:t>
      </w:r>
    </w:p>
    <w:p w14:paraId="59D0E2E4">
      <w:pPr>
        <w:spacing w:line="420" w:lineRule="exact"/>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2.投标人须如实填报比例数据。</w:t>
      </w:r>
    </w:p>
    <w:p w14:paraId="31B79F65">
      <w:pPr>
        <w:widowControl/>
        <w:ind w:firstLine="480" w:firstLineChars="200"/>
        <w:jc w:val="left"/>
        <w:rPr>
          <w:rFonts w:ascii="宋体" w:hAnsi="宋体" w:cs="方正仿宋_GBK"/>
          <w:color w:val="auto"/>
          <w:sz w:val="24"/>
          <w:szCs w:val="28"/>
          <w:highlight w:val="none"/>
        </w:rPr>
      </w:pPr>
      <w:r>
        <w:rPr>
          <w:rFonts w:hint="eastAsia" w:ascii="宋体" w:hAnsi="宋体" w:cs="宋体"/>
          <w:color w:val="auto"/>
          <w:sz w:val="24"/>
          <w:szCs w:val="28"/>
          <w:highlight w:val="none"/>
        </w:rPr>
        <w:t>3.关于报价扣除的相关规定，详见本项目采购文件第四篇“资格审查及评标办法”第三条“评标标准”第（三）款“关于本国产品报价扣除比例说明”。</w:t>
      </w:r>
    </w:p>
    <w:p w14:paraId="734ED6A3">
      <w:pPr>
        <w:spacing w:line="400" w:lineRule="exact"/>
        <w:ind w:firstLine="480" w:firstLineChars="200"/>
        <w:rPr>
          <w:rFonts w:ascii="宋体" w:hAnsi="宋体" w:cs="方正仿宋_GBK"/>
          <w:color w:val="auto"/>
          <w:sz w:val="24"/>
          <w:szCs w:val="28"/>
          <w:highlight w:val="none"/>
        </w:rPr>
      </w:pPr>
    </w:p>
    <w:p w14:paraId="57878C20">
      <w:pPr>
        <w:spacing w:line="400" w:lineRule="exact"/>
        <w:ind w:firstLine="480" w:firstLineChars="200"/>
        <w:rPr>
          <w:rFonts w:ascii="宋体" w:hAnsi="宋体" w:cs="方正仿宋_GBK"/>
          <w:color w:val="auto"/>
          <w:sz w:val="24"/>
          <w:szCs w:val="28"/>
          <w:highlight w:val="none"/>
        </w:rPr>
      </w:pPr>
    </w:p>
    <w:p w14:paraId="324E7761">
      <w:pPr>
        <w:spacing w:line="400" w:lineRule="exact"/>
        <w:ind w:firstLine="480" w:firstLineChars="200"/>
        <w:rPr>
          <w:rFonts w:ascii="宋体" w:hAnsi="宋体" w:cs="方正仿宋_GBK"/>
          <w:color w:val="auto"/>
          <w:sz w:val="24"/>
          <w:szCs w:val="28"/>
          <w:highlight w:val="none"/>
        </w:rPr>
      </w:pPr>
    </w:p>
    <w:p w14:paraId="6F109154">
      <w:pPr>
        <w:spacing w:line="400" w:lineRule="exact"/>
        <w:ind w:firstLine="480" w:firstLineChars="200"/>
        <w:rPr>
          <w:rFonts w:ascii="宋体" w:hAnsi="宋体" w:cs="方正仿宋_GBK"/>
          <w:color w:val="auto"/>
          <w:sz w:val="24"/>
          <w:szCs w:val="28"/>
          <w:highlight w:val="none"/>
        </w:rPr>
      </w:pPr>
    </w:p>
    <w:p w14:paraId="70D9BC2D">
      <w:pPr>
        <w:spacing w:line="400" w:lineRule="exact"/>
        <w:ind w:firstLine="480" w:firstLineChars="200"/>
        <w:rPr>
          <w:rFonts w:ascii="宋体" w:hAnsi="宋体" w:cs="方正仿宋_GBK"/>
          <w:color w:val="auto"/>
          <w:sz w:val="24"/>
          <w:szCs w:val="28"/>
          <w:highlight w:val="none"/>
        </w:rPr>
      </w:pPr>
    </w:p>
    <w:p w14:paraId="47E90E9C">
      <w:pPr>
        <w:spacing w:line="400" w:lineRule="exact"/>
        <w:ind w:firstLine="480" w:firstLineChars="200"/>
        <w:rPr>
          <w:rFonts w:ascii="宋体" w:hAnsi="宋体" w:cs="方正仿宋_GBK"/>
          <w:color w:val="auto"/>
          <w:sz w:val="24"/>
          <w:szCs w:val="28"/>
          <w:highlight w:val="none"/>
        </w:rPr>
      </w:pPr>
    </w:p>
    <w:p w14:paraId="2E1A1BC9">
      <w:pPr>
        <w:spacing w:line="400" w:lineRule="exact"/>
        <w:ind w:firstLine="480" w:firstLineChars="200"/>
        <w:rPr>
          <w:rFonts w:ascii="宋体" w:hAnsi="宋体" w:cs="方正仿宋_GBK"/>
          <w:color w:val="auto"/>
          <w:sz w:val="24"/>
          <w:szCs w:val="28"/>
          <w:highlight w:val="none"/>
        </w:rPr>
      </w:pPr>
    </w:p>
    <w:p w14:paraId="33539BF8">
      <w:pPr>
        <w:spacing w:line="400" w:lineRule="exact"/>
        <w:ind w:firstLine="480" w:firstLineChars="200"/>
        <w:rPr>
          <w:rFonts w:ascii="宋体" w:hAnsi="宋体" w:cs="方正仿宋_GBK"/>
          <w:color w:val="auto"/>
          <w:sz w:val="24"/>
          <w:szCs w:val="28"/>
          <w:highlight w:val="none"/>
        </w:rPr>
      </w:pPr>
    </w:p>
    <w:p w14:paraId="143BEC1A">
      <w:pPr>
        <w:spacing w:line="400" w:lineRule="exact"/>
        <w:ind w:firstLine="480" w:firstLineChars="200"/>
        <w:rPr>
          <w:rFonts w:ascii="宋体" w:hAnsi="宋体" w:cs="方正仿宋_GBK"/>
          <w:color w:val="auto"/>
          <w:sz w:val="24"/>
          <w:szCs w:val="28"/>
          <w:highlight w:val="none"/>
        </w:rPr>
      </w:pPr>
    </w:p>
    <w:p w14:paraId="336EAACF">
      <w:pPr>
        <w:spacing w:line="400" w:lineRule="exact"/>
        <w:ind w:firstLine="480" w:firstLineChars="200"/>
        <w:rPr>
          <w:rFonts w:ascii="宋体" w:hAnsi="宋体" w:cs="方正仿宋_GBK"/>
          <w:color w:val="auto"/>
          <w:sz w:val="24"/>
          <w:szCs w:val="28"/>
          <w:highlight w:val="none"/>
        </w:rPr>
      </w:pPr>
    </w:p>
    <w:p w14:paraId="56B51C15">
      <w:pPr>
        <w:spacing w:line="400" w:lineRule="exact"/>
        <w:ind w:firstLine="480" w:firstLineChars="200"/>
        <w:rPr>
          <w:rFonts w:ascii="宋体" w:hAnsi="宋体" w:cs="方正仿宋_GBK"/>
          <w:color w:val="auto"/>
          <w:sz w:val="24"/>
          <w:szCs w:val="28"/>
          <w:highlight w:val="none"/>
        </w:rPr>
      </w:pPr>
    </w:p>
    <w:p w14:paraId="76E63B18">
      <w:pPr>
        <w:spacing w:line="400" w:lineRule="exact"/>
        <w:ind w:firstLine="480" w:firstLineChars="200"/>
        <w:rPr>
          <w:rFonts w:ascii="宋体" w:hAnsi="宋体" w:cs="方正仿宋_GBK"/>
          <w:color w:val="auto"/>
          <w:sz w:val="24"/>
          <w:szCs w:val="28"/>
          <w:highlight w:val="none"/>
        </w:rPr>
      </w:pPr>
    </w:p>
    <w:p w14:paraId="1F779CF0">
      <w:pPr>
        <w:spacing w:line="400" w:lineRule="exact"/>
        <w:ind w:firstLine="480" w:firstLineChars="200"/>
        <w:rPr>
          <w:rFonts w:ascii="宋体" w:hAnsi="宋体" w:cs="方正仿宋_GBK"/>
          <w:color w:val="auto"/>
          <w:sz w:val="24"/>
          <w:szCs w:val="28"/>
          <w:highlight w:val="none"/>
        </w:rPr>
      </w:pPr>
    </w:p>
    <w:p w14:paraId="0B3AD2B0">
      <w:pPr>
        <w:spacing w:line="400" w:lineRule="exact"/>
        <w:ind w:firstLine="480" w:firstLineChars="200"/>
        <w:rPr>
          <w:rFonts w:ascii="宋体" w:hAnsi="宋体" w:cs="方正仿宋_GBK"/>
          <w:color w:val="auto"/>
          <w:sz w:val="24"/>
          <w:szCs w:val="28"/>
          <w:highlight w:val="none"/>
        </w:rPr>
      </w:pPr>
    </w:p>
    <w:p w14:paraId="1559008F">
      <w:pPr>
        <w:spacing w:line="400" w:lineRule="exact"/>
        <w:ind w:firstLine="480" w:firstLineChars="200"/>
        <w:rPr>
          <w:rFonts w:ascii="宋体" w:hAnsi="宋体" w:cs="方正仿宋_GBK"/>
          <w:color w:val="auto"/>
          <w:sz w:val="24"/>
          <w:szCs w:val="28"/>
          <w:highlight w:val="none"/>
        </w:rPr>
      </w:pPr>
    </w:p>
    <w:p w14:paraId="6954DCC9">
      <w:pPr>
        <w:spacing w:line="400" w:lineRule="exact"/>
        <w:ind w:firstLine="480" w:firstLineChars="200"/>
        <w:rPr>
          <w:rFonts w:ascii="宋体" w:hAnsi="宋体" w:cs="方正仿宋_GBK"/>
          <w:color w:val="auto"/>
          <w:sz w:val="24"/>
          <w:szCs w:val="28"/>
          <w:highlight w:val="none"/>
        </w:rPr>
      </w:pPr>
    </w:p>
    <w:p w14:paraId="584C8A3D">
      <w:pPr>
        <w:spacing w:line="400" w:lineRule="exact"/>
        <w:ind w:firstLine="480" w:firstLineChars="200"/>
        <w:rPr>
          <w:rFonts w:ascii="宋体" w:hAnsi="宋体" w:cs="方正仿宋_GBK"/>
          <w:color w:val="auto"/>
          <w:sz w:val="24"/>
          <w:szCs w:val="28"/>
          <w:highlight w:val="none"/>
        </w:rPr>
      </w:pPr>
    </w:p>
    <w:p w14:paraId="6A46C905">
      <w:pPr>
        <w:spacing w:line="400" w:lineRule="exact"/>
        <w:ind w:firstLine="480" w:firstLineChars="200"/>
        <w:rPr>
          <w:rFonts w:ascii="宋体" w:hAnsi="宋体" w:cs="方正仿宋_GBK"/>
          <w:color w:val="auto"/>
          <w:sz w:val="24"/>
          <w:szCs w:val="28"/>
          <w:highlight w:val="none"/>
        </w:rPr>
      </w:pPr>
    </w:p>
    <w:p w14:paraId="01EE1B3F">
      <w:pPr>
        <w:spacing w:line="400" w:lineRule="exact"/>
        <w:ind w:firstLine="480" w:firstLineChars="200"/>
        <w:rPr>
          <w:rFonts w:ascii="宋体" w:hAnsi="宋体" w:cs="方正仿宋_GBK"/>
          <w:color w:val="auto"/>
          <w:sz w:val="24"/>
          <w:szCs w:val="28"/>
          <w:highlight w:val="none"/>
        </w:rPr>
      </w:pPr>
    </w:p>
    <w:p w14:paraId="4B27455D">
      <w:pPr>
        <w:spacing w:line="400" w:lineRule="exact"/>
        <w:ind w:firstLine="240" w:firstLineChars="100"/>
        <w:rPr>
          <w:rFonts w:ascii="宋体" w:hAnsi="宋体" w:cs="方正仿宋_GBK"/>
          <w:color w:val="auto"/>
          <w:sz w:val="24"/>
          <w:szCs w:val="28"/>
          <w:highlight w:val="none"/>
        </w:rPr>
      </w:pPr>
      <w:r>
        <w:rPr>
          <w:rFonts w:hint="eastAsia" w:ascii="宋体" w:hAnsi="宋体" w:cs="方正仿宋_GBK"/>
          <w:color w:val="auto"/>
          <w:sz w:val="24"/>
          <w:szCs w:val="28"/>
          <w:highlight w:val="none"/>
        </w:rPr>
        <w:t>（四）其他与项目有关的资料（自附）</w:t>
      </w:r>
    </w:p>
    <w:p w14:paraId="22404E15">
      <w:pPr>
        <w:spacing w:line="400" w:lineRule="exact"/>
        <w:ind w:firstLine="480" w:firstLineChars="200"/>
        <w:rPr>
          <w:rFonts w:cs="方正仿宋_GBK" w:asciiTheme="minorEastAsia" w:hAnsiTheme="minorEastAsia" w:eastAsiaTheme="minorEastAsia"/>
          <w:color w:val="auto"/>
          <w:sz w:val="24"/>
          <w:szCs w:val="28"/>
          <w:highlight w:val="none"/>
        </w:rPr>
      </w:pPr>
    </w:p>
    <w:p w14:paraId="4CEDD2EC">
      <w:pPr>
        <w:pStyle w:val="3"/>
        <w:pageBreakBefore/>
        <w:spacing w:line="500" w:lineRule="exact"/>
        <w:ind w:firstLine="562" w:firstLineChars="200"/>
        <w:rPr>
          <w:rFonts w:cs="方正仿宋_GBK" w:asciiTheme="minorEastAsia" w:hAnsiTheme="minorEastAsia" w:eastAsiaTheme="minorEastAsia"/>
          <w:b/>
          <w:color w:val="auto"/>
          <w:szCs w:val="28"/>
          <w:highlight w:val="none"/>
        </w:rPr>
      </w:pPr>
      <w:bookmarkStart w:id="711" w:name="_Toc28432"/>
      <w:bookmarkStart w:id="712" w:name="_Toc6108"/>
      <w:bookmarkStart w:id="713" w:name="_Toc13249"/>
      <w:bookmarkStart w:id="714" w:name="_Toc18416"/>
      <w:bookmarkStart w:id="715" w:name="_Toc11324"/>
      <w:bookmarkStart w:id="716" w:name="_Toc4000"/>
      <w:bookmarkStart w:id="717" w:name="_Toc75793544"/>
      <w:bookmarkStart w:id="718" w:name="_Toc12509"/>
      <w:bookmarkStart w:id="719" w:name="_Toc26381"/>
      <w:bookmarkStart w:id="720" w:name="_Toc17829"/>
      <w:bookmarkStart w:id="721" w:name="_Toc493178793"/>
      <w:bookmarkStart w:id="722" w:name="_Toc16577"/>
      <w:bookmarkStart w:id="723" w:name="_Toc17848"/>
      <w:bookmarkStart w:id="724" w:name="_Toc492721038"/>
      <w:bookmarkStart w:id="725" w:name="_Toc30988"/>
      <w:bookmarkStart w:id="726" w:name="_Toc21121"/>
      <w:bookmarkStart w:id="727" w:name="_Toc204345248"/>
      <w:bookmarkStart w:id="728" w:name="_Toc23187"/>
      <w:bookmarkStart w:id="729" w:name="_Toc30818"/>
      <w:r>
        <w:rPr>
          <w:rFonts w:hint="eastAsia" w:cs="方正仿宋_GBK" w:asciiTheme="minorEastAsia" w:hAnsiTheme="minorEastAsia" w:eastAsiaTheme="minorEastAsia"/>
          <w:b/>
          <w:color w:val="auto"/>
          <w:szCs w:val="28"/>
          <w:highlight w:val="none"/>
        </w:rPr>
        <w:t>五、资格文件</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14:paraId="1A27D81A">
      <w:pPr>
        <w:spacing w:line="4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（一）法人营业执照（副本）或事业单位法人证书（副本）或个体工商户营业执照或有效的自然人身份证明或社会团体法人登记证书复印件</w:t>
      </w:r>
    </w:p>
    <w:p w14:paraId="41558197">
      <w:pPr>
        <w:tabs>
          <w:tab w:val="left" w:pos="6300"/>
        </w:tabs>
        <w:snapToGrid w:val="0"/>
        <w:spacing w:line="500" w:lineRule="exact"/>
        <w:ind w:firstLine="570"/>
        <w:rPr>
          <w:rFonts w:cs="方正仿宋_GBK" w:asciiTheme="minorEastAsia" w:hAnsiTheme="minorEastAsia" w:eastAsiaTheme="minorEastAsia"/>
          <w:color w:val="auto"/>
          <w:highlight w:val="none"/>
        </w:rPr>
      </w:pPr>
    </w:p>
    <w:p w14:paraId="663D953F">
      <w:pPr>
        <w:tabs>
          <w:tab w:val="left" w:pos="6300"/>
        </w:tabs>
        <w:snapToGrid w:val="0"/>
        <w:spacing w:line="500" w:lineRule="exact"/>
        <w:ind w:firstLine="570"/>
        <w:rPr>
          <w:rFonts w:cs="方正仿宋_GBK" w:asciiTheme="minorEastAsia" w:hAnsiTheme="minorEastAsia" w:eastAsiaTheme="minorEastAsia"/>
          <w:color w:val="auto"/>
          <w:highlight w:val="none"/>
        </w:rPr>
      </w:pPr>
    </w:p>
    <w:p w14:paraId="475CCD87">
      <w:pPr>
        <w:tabs>
          <w:tab w:val="left" w:pos="6300"/>
        </w:tabs>
        <w:snapToGrid w:val="0"/>
        <w:spacing w:line="500" w:lineRule="exact"/>
        <w:ind w:firstLine="570"/>
        <w:rPr>
          <w:rFonts w:cs="方正仿宋_GBK" w:asciiTheme="minorEastAsia" w:hAnsiTheme="minorEastAsia" w:eastAsiaTheme="minorEastAsia"/>
          <w:color w:val="auto"/>
          <w:highlight w:val="none"/>
        </w:rPr>
      </w:pPr>
    </w:p>
    <w:p w14:paraId="4F604694">
      <w:pPr>
        <w:tabs>
          <w:tab w:val="left" w:pos="6300"/>
        </w:tabs>
        <w:snapToGrid w:val="0"/>
        <w:spacing w:line="500" w:lineRule="exact"/>
        <w:ind w:firstLine="570"/>
        <w:rPr>
          <w:rFonts w:cs="方正仿宋_GBK" w:asciiTheme="minorEastAsia" w:hAnsiTheme="minorEastAsia" w:eastAsiaTheme="minorEastAsia"/>
          <w:color w:val="auto"/>
          <w:highlight w:val="none"/>
        </w:rPr>
      </w:pPr>
    </w:p>
    <w:p w14:paraId="2E0638BD">
      <w:pPr>
        <w:tabs>
          <w:tab w:val="left" w:pos="6300"/>
        </w:tabs>
        <w:snapToGrid w:val="0"/>
        <w:spacing w:line="500" w:lineRule="exact"/>
        <w:ind w:firstLine="570"/>
        <w:rPr>
          <w:rFonts w:cs="方正仿宋_GBK" w:asciiTheme="minorEastAsia" w:hAnsiTheme="minorEastAsia" w:eastAsiaTheme="minorEastAsia"/>
          <w:color w:val="auto"/>
          <w:highlight w:val="none"/>
        </w:rPr>
      </w:pPr>
    </w:p>
    <w:p w14:paraId="7D9E10EE">
      <w:pPr>
        <w:spacing w:line="400" w:lineRule="exact"/>
        <w:ind w:firstLine="56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highlight w:val="none"/>
        </w:rPr>
        <w:br w:type="page"/>
      </w:r>
      <w:r>
        <w:rPr>
          <w:rFonts w:hint="eastAsia" w:cs="方正仿宋_GBK" w:asciiTheme="minorEastAsia" w:hAnsiTheme="minorEastAsia" w:eastAsiaTheme="minorEastAsia"/>
          <w:color w:val="auto"/>
          <w:sz w:val="24"/>
          <w:szCs w:val="28"/>
          <w:highlight w:val="none"/>
        </w:rPr>
        <w:t>（二）法定代表人身份证明书（格式）</w:t>
      </w:r>
    </w:p>
    <w:p w14:paraId="32F9EF82">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65B2707D">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招标项目名称：</w:t>
      </w:r>
      <w:r>
        <w:rPr>
          <w:rFonts w:hint="eastAsia" w:cs="方正仿宋_GBK" w:asciiTheme="minorEastAsia" w:hAnsiTheme="minorEastAsia" w:eastAsiaTheme="minorEastAsia"/>
          <w:color w:val="auto"/>
          <w:sz w:val="24"/>
          <w:highlight w:val="none"/>
          <w:u w:val="single"/>
        </w:rPr>
        <w:t xml:space="preserve">                                                </w:t>
      </w:r>
    </w:p>
    <w:p w14:paraId="715D3761">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03C2D9D7">
      <w:pPr>
        <w:tabs>
          <w:tab w:val="left" w:pos="6300"/>
        </w:tabs>
        <w:snapToGrid w:val="0"/>
        <w:spacing w:line="500" w:lineRule="exact"/>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致：</w:t>
      </w:r>
      <w:r>
        <w:rPr>
          <w:rFonts w:hint="eastAsia" w:cs="方正仿宋_GBK" w:asciiTheme="minorEastAsia" w:hAnsiTheme="minorEastAsia" w:eastAsiaTheme="minorEastAsia"/>
          <w:color w:val="auto"/>
          <w:sz w:val="24"/>
          <w:highlight w:val="none"/>
          <w:u w:val="single"/>
        </w:rPr>
        <w:t xml:space="preserve">                     </w:t>
      </w:r>
      <w:r>
        <w:rPr>
          <w:rFonts w:hint="eastAsia" w:cs="方正仿宋_GBK" w:asciiTheme="minorEastAsia" w:hAnsiTheme="minorEastAsia" w:eastAsiaTheme="minorEastAsia"/>
          <w:color w:val="auto"/>
          <w:sz w:val="24"/>
          <w:highlight w:val="none"/>
        </w:rPr>
        <w:t>（采购代理机构名称）：</w:t>
      </w:r>
    </w:p>
    <w:p w14:paraId="472B909C">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u w:val="single"/>
        </w:rPr>
        <w:t xml:space="preserve">        </w:t>
      </w:r>
      <w:r>
        <w:rPr>
          <w:rFonts w:hint="eastAsia" w:cs="方正仿宋_GBK" w:asciiTheme="minorEastAsia" w:hAnsiTheme="minorEastAsia" w:eastAsiaTheme="minorEastAsia"/>
          <w:color w:val="auto"/>
          <w:sz w:val="24"/>
          <w:highlight w:val="none"/>
        </w:rPr>
        <w:t>（法定代表人姓名）</w:t>
      </w:r>
      <w:r>
        <w:rPr>
          <w:rFonts w:hint="eastAsia" w:cs="方正仿宋_GBK" w:asciiTheme="minorEastAsia" w:hAnsiTheme="minorEastAsia" w:eastAsiaTheme="minorEastAsia"/>
          <w:color w:val="auto"/>
          <w:sz w:val="24"/>
          <w:highlight w:val="none"/>
          <w:u w:val="single"/>
        </w:rPr>
        <w:t xml:space="preserve">     </w:t>
      </w:r>
      <w:r>
        <w:rPr>
          <w:rFonts w:hint="eastAsia" w:cs="方正仿宋_GBK" w:asciiTheme="minorEastAsia" w:hAnsiTheme="minorEastAsia" w:eastAsiaTheme="minorEastAsia"/>
          <w:color w:val="auto"/>
          <w:sz w:val="24"/>
          <w:highlight w:val="none"/>
        </w:rPr>
        <w:t>（性别）在</w:t>
      </w:r>
      <w:r>
        <w:rPr>
          <w:rFonts w:hint="eastAsia" w:cs="方正仿宋_GBK" w:asciiTheme="minorEastAsia" w:hAnsiTheme="minorEastAsia" w:eastAsiaTheme="minorEastAsia"/>
          <w:color w:val="auto"/>
          <w:sz w:val="24"/>
          <w:highlight w:val="none"/>
          <w:u w:val="single"/>
        </w:rPr>
        <w:t xml:space="preserve">                       </w:t>
      </w:r>
      <w:r>
        <w:rPr>
          <w:rFonts w:hint="eastAsia" w:cs="方正仿宋_GBK" w:asciiTheme="minorEastAsia" w:hAnsiTheme="minorEastAsia" w:eastAsiaTheme="minorEastAsia"/>
          <w:color w:val="auto"/>
          <w:sz w:val="24"/>
          <w:highlight w:val="none"/>
        </w:rPr>
        <w:t>（投标人名称）任</w:t>
      </w:r>
      <w:r>
        <w:rPr>
          <w:rFonts w:hint="eastAsia" w:cs="方正仿宋_GBK" w:asciiTheme="minorEastAsia" w:hAnsiTheme="minorEastAsia" w:eastAsiaTheme="minorEastAsia"/>
          <w:color w:val="auto"/>
          <w:sz w:val="24"/>
          <w:highlight w:val="none"/>
          <w:u w:val="single"/>
        </w:rPr>
        <w:t xml:space="preserve">    </w:t>
      </w:r>
      <w:r>
        <w:rPr>
          <w:rFonts w:hint="eastAsia" w:cs="方正仿宋_GBK" w:asciiTheme="minorEastAsia" w:hAnsiTheme="minorEastAsia" w:eastAsiaTheme="minorEastAsia"/>
          <w:color w:val="auto"/>
          <w:sz w:val="24"/>
          <w:highlight w:val="none"/>
        </w:rPr>
        <w:t>（职务名称）职务，是（投标人名称）</w:t>
      </w:r>
      <w:r>
        <w:rPr>
          <w:rFonts w:hint="eastAsia" w:cs="方正仿宋_GBK" w:asciiTheme="minorEastAsia" w:hAnsiTheme="minorEastAsia" w:eastAsiaTheme="minorEastAsia"/>
          <w:color w:val="auto"/>
          <w:sz w:val="24"/>
          <w:highlight w:val="none"/>
          <w:u w:val="single"/>
        </w:rPr>
        <w:t xml:space="preserve">              </w:t>
      </w:r>
      <w:r>
        <w:rPr>
          <w:rFonts w:hint="eastAsia" w:cs="方正仿宋_GBK" w:asciiTheme="minorEastAsia" w:hAnsiTheme="minorEastAsia" w:eastAsiaTheme="minorEastAsia"/>
          <w:color w:val="auto"/>
          <w:sz w:val="24"/>
          <w:highlight w:val="none"/>
        </w:rPr>
        <w:t>的法定代表人。</w:t>
      </w:r>
    </w:p>
    <w:p w14:paraId="39F5C974">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2B64D28D">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特此证明。</w:t>
      </w:r>
    </w:p>
    <w:p w14:paraId="4ACBD496">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64057F0B">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5FBB4F29">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 xml:space="preserve">                                             投标人：</w:t>
      </w:r>
    </w:p>
    <w:p w14:paraId="039D2A15">
      <w:pPr>
        <w:tabs>
          <w:tab w:val="left" w:pos="6300"/>
        </w:tabs>
        <w:snapToGrid w:val="0"/>
        <w:spacing w:line="500" w:lineRule="exact"/>
        <w:ind w:firstLine="5848" w:firstLineChars="2437"/>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（投标人公章）</w:t>
      </w:r>
    </w:p>
    <w:p w14:paraId="1F5A9A16">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7DE03E7A">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 xml:space="preserve">                                             年   月   日</w:t>
      </w:r>
    </w:p>
    <w:p w14:paraId="39A7A86B">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法定代表人电话：XXXXXXX      电子邮箱：XXXXXX@XXXXX（若授权他人办理并签署投标文件的可不填写）</w:t>
      </w:r>
    </w:p>
    <w:p w14:paraId="4FE96492">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（附：法定代表人身份证正反面复印件）</w:t>
      </w:r>
    </w:p>
    <w:p w14:paraId="71B95FDD">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4433CF86">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71D2099D">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18B57CB5">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34979008">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4CFFCB4D">
      <w:pPr>
        <w:spacing w:line="400" w:lineRule="exact"/>
        <w:ind w:firstLine="56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highlight w:val="none"/>
        </w:rPr>
        <w:br w:type="column"/>
      </w:r>
      <w:r>
        <w:rPr>
          <w:rFonts w:hint="eastAsia" w:cs="方正仿宋_GBK" w:asciiTheme="minorEastAsia" w:hAnsiTheme="minorEastAsia" w:eastAsiaTheme="minorEastAsia"/>
          <w:color w:val="auto"/>
          <w:sz w:val="24"/>
          <w:szCs w:val="28"/>
          <w:highlight w:val="none"/>
        </w:rPr>
        <w:t>（三）法定代表人授权委托书（格式）</w:t>
      </w:r>
    </w:p>
    <w:p w14:paraId="3C101826">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 xml:space="preserve">    </w:t>
      </w:r>
    </w:p>
    <w:p w14:paraId="44F7E562">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szCs w:val="28"/>
          <w:highlight w:val="none"/>
        </w:rPr>
        <w:t>招标项目名称</w:t>
      </w:r>
      <w:r>
        <w:rPr>
          <w:rFonts w:hint="eastAsia" w:cs="方正仿宋_GBK" w:asciiTheme="minorEastAsia" w:hAnsiTheme="minorEastAsia" w:eastAsiaTheme="minorEastAsia"/>
          <w:color w:val="auto"/>
          <w:sz w:val="24"/>
          <w:highlight w:val="none"/>
        </w:rPr>
        <w:t>：</w:t>
      </w:r>
      <w:r>
        <w:rPr>
          <w:rFonts w:hint="eastAsia" w:cs="方正仿宋_GBK" w:asciiTheme="minorEastAsia" w:hAnsiTheme="minorEastAsia" w:eastAsiaTheme="minorEastAsia"/>
          <w:color w:val="auto"/>
          <w:sz w:val="24"/>
          <w:highlight w:val="none"/>
          <w:u w:val="single"/>
        </w:rPr>
        <w:t xml:space="preserve">                                                </w:t>
      </w:r>
    </w:p>
    <w:p w14:paraId="2FE8048C">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311EACA2">
      <w:pPr>
        <w:tabs>
          <w:tab w:val="left" w:pos="6300"/>
        </w:tabs>
        <w:snapToGrid w:val="0"/>
        <w:spacing w:line="500" w:lineRule="exact"/>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致：</w:t>
      </w:r>
      <w:r>
        <w:rPr>
          <w:rFonts w:hint="eastAsia" w:cs="方正仿宋_GBK" w:asciiTheme="minorEastAsia" w:hAnsiTheme="minorEastAsia" w:eastAsiaTheme="minorEastAsia"/>
          <w:color w:val="auto"/>
          <w:sz w:val="24"/>
          <w:highlight w:val="none"/>
          <w:u w:val="single"/>
        </w:rPr>
        <w:t xml:space="preserve">                     </w:t>
      </w:r>
      <w:r>
        <w:rPr>
          <w:rFonts w:hint="eastAsia" w:cs="方正仿宋_GBK" w:asciiTheme="minorEastAsia" w:hAnsiTheme="minorEastAsia" w:eastAsiaTheme="minorEastAsia"/>
          <w:color w:val="auto"/>
          <w:sz w:val="24"/>
          <w:highlight w:val="none"/>
        </w:rPr>
        <w:t>（采购代理机构名称）：</w:t>
      </w:r>
    </w:p>
    <w:p w14:paraId="68AD28D6">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u w:val="single"/>
        </w:rPr>
        <w:t xml:space="preserve">            </w:t>
      </w:r>
      <w:r>
        <w:rPr>
          <w:rFonts w:hint="eastAsia" w:cs="方正仿宋_GBK" w:asciiTheme="minorEastAsia" w:hAnsiTheme="minorEastAsia" w:eastAsiaTheme="minorEastAsia"/>
          <w:color w:val="auto"/>
          <w:sz w:val="24"/>
          <w:highlight w:val="none"/>
        </w:rPr>
        <w:t>（投标人法定代表人名称）是</w:t>
      </w:r>
      <w:r>
        <w:rPr>
          <w:rFonts w:hint="eastAsia" w:cs="方正仿宋_GBK" w:asciiTheme="minorEastAsia" w:hAnsiTheme="minorEastAsia" w:eastAsiaTheme="minorEastAsia"/>
          <w:color w:val="auto"/>
          <w:sz w:val="24"/>
          <w:highlight w:val="none"/>
          <w:u w:val="single"/>
        </w:rPr>
        <w:t xml:space="preserve">                    </w:t>
      </w:r>
      <w:r>
        <w:rPr>
          <w:rFonts w:hint="eastAsia" w:cs="方正仿宋_GBK" w:asciiTheme="minorEastAsia" w:hAnsiTheme="minorEastAsia" w:eastAsiaTheme="minorEastAsia"/>
          <w:color w:val="auto"/>
          <w:sz w:val="24"/>
          <w:highlight w:val="none"/>
        </w:rPr>
        <w:t>（投标人名称）的法定代表人，特授权</w:t>
      </w:r>
      <w:r>
        <w:rPr>
          <w:rFonts w:hint="eastAsia" w:cs="方正仿宋_GBK" w:asciiTheme="minorEastAsia" w:hAnsiTheme="minorEastAsia" w:eastAsiaTheme="minorEastAsia"/>
          <w:color w:val="auto"/>
          <w:sz w:val="24"/>
          <w:highlight w:val="none"/>
          <w:u w:val="single"/>
        </w:rPr>
        <w:t xml:space="preserve">          </w:t>
      </w:r>
      <w:r>
        <w:rPr>
          <w:rFonts w:hint="eastAsia" w:cs="方正仿宋_GBK" w:asciiTheme="minorEastAsia" w:hAnsiTheme="minorEastAsia" w:eastAsiaTheme="minorEastAsia"/>
          <w:color w:val="auto"/>
          <w:sz w:val="24"/>
          <w:highlight w:val="none"/>
        </w:rPr>
        <w:t>（被授权人姓名及身份证代码）代表我单位全权办理上述项目的投标、谈判、签约等具体工作，并签署全部有关文件、协议及合同。</w:t>
      </w:r>
    </w:p>
    <w:p w14:paraId="4F7A42A9">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我单位对被授权人的签署负全部责任。</w:t>
      </w:r>
    </w:p>
    <w:p w14:paraId="5990595C">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在撤销授权的书面通知以前，本授权书一直有效。被授权人在授权书有效期内签署的所有文件不因授权的撤销而失效。</w:t>
      </w:r>
    </w:p>
    <w:p w14:paraId="0EDB4C96">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5133D60B">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519F2F6D">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被授权人：                                 投标人法定代表人：</w:t>
      </w:r>
    </w:p>
    <w:p w14:paraId="6D76E54F">
      <w:pPr>
        <w:tabs>
          <w:tab w:val="left" w:pos="6300"/>
        </w:tabs>
        <w:snapToGrid w:val="0"/>
        <w:spacing w:line="500" w:lineRule="exact"/>
        <w:ind w:firstLine="57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（签署或盖章）                                （签署或盖章）</w:t>
      </w:r>
    </w:p>
    <w:p w14:paraId="7FD95DEA">
      <w:pPr>
        <w:tabs>
          <w:tab w:val="left" w:pos="6300"/>
        </w:tabs>
        <w:snapToGrid w:val="0"/>
        <w:spacing w:line="500" w:lineRule="exact"/>
        <w:ind w:firstLine="570"/>
        <w:rPr>
          <w:rFonts w:cs="方正仿宋_GBK" w:asciiTheme="minorEastAsia" w:hAnsiTheme="minorEastAsia" w:eastAsiaTheme="minorEastAsia"/>
          <w:color w:val="auto"/>
          <w:sz w:val="24"/>
          <w:szCs w:val="28"/>
          <w:highlight w:val="none"/>
        </w:rPr>
      </w:pPr>
    </w:p>
    <w:p w14:paraId="5A540C6F">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7810706F">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（附：被授权人身份证正反面复印件）</w:t>
      </w:r>
    </w:p>
    <w:p w14:paraId="793FFCC8">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 xml:space="preserve">                                          </w:t>
      </w:r>
    </w:p>
    <w:p w14:paraId="28A1D36C">
      <w:pPr>
        <w:tabs>
          <w:tab w:val="left" w:pos="6300"/>
        </w:tabs>
        <w:snapToGrid w:val="0"/>
        <w:spacing w:line="500" w:lineRule="exact"/>
        <w:ind w:firstLine="570"/>
        <w:rPr>
          <w:rFonts w:cs="方正仿宋_GBK" w:asciiTheme="minorEastAsia" w:hAnsiTheme="minorEastAsia" w:eastAsiaTheme="minorEastAsia"/>
          <w:color w:val="auto"/>
          <w:sz w:val="24"/>
          <w:highlight w:val="none"/>
        </w:rPr>
      </w:pPr>
    </w:p>
    <w:p w14:paraId="7433316F">
      <w:pPr>
        <w:tabs>
          <w:tab w:val="left" w:pos="6300"/>
        </w:tabs>
        <w:snapToGrid w:val="0"/>
        <w:spacing w:line="500" w:lineRule="exact"/>
        <w:ind w:right="480" w:firstLine="570"/>
        <w:jc w:val="right"/>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（投标人公章）</w:t>
      </w:r>
    </w:p>
    <w:p w14:paraId="503E7CF1">
      <w:pPr>
        <w:tabs>
          <w:tab w:val="left" w:pos="6300"/>
        </w:tabs>
        <w:snapToGrid w:val="0"/>
        <w:spacing w:line="500" w:lineRule="exact"/>
        <w:ind w:right="480" w:firstLine="570"/>
        <w:jc w:val="right"/>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年   月   日</w:t>
      </w:r>
    </w:p>
    <w:p w14:paraId="44D116F1">
      <w:pPr>
        <w:tabs>
          <w:tab w:val="left" w:pos="6300"/>
        </w:tabs>
        <w:snapToGrid w:val="0"/>
        <w:spacing w:line="500" w:lineRule="exact"/>
        <w:ind w:right="720" w:firstLine="570"/>
        <w:jc w:val="right"/>
        <w:rPr>
          <w:rFonts w:cs="方正仿宋_GBK" w:asciiTheme="minorEastAsia" w:hAnsiTheme="minorEastAsia" w:eastAsiaTheme="minorEastAsia"/>
          <w:color w:val="auto"/>
          <w:sz w:val="24"/>
          <w:highlight w:val="none"/>
        </w:rPr>
      </w:pPr>
    </w:p>
    <w:p w14:paraId="6C0CC11F">
      <w:pPr>
        <w:tabs>
          <w:tab w:val="left" w:pos="6300"/>
        </w:tabs>
        <w:snapToGrid w:val="0"/>
        <w:spacing w:line="500" w:lineRule="exact"/>
        <w:ind w:right="480" w:firstLine="570"/>
        <w:jc w:val="left"/>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被授权人电话：XXXXXXX     电子邮箱：XXXXXX@XXXXX（若法定代表人办理并签署投标文件的可不填写）</w:t>
      </w:r>
    </w:p>
    <w:p w14:paraId="40418198">
      <w:pPr>
        <w:tabs>
          <w:tab w:val="left" w:pos="6300"/>
        </w:tabs>
        <w:snapToGrid w:val="0"/>
        <w:spacing w:line="500" w:lineRule="exact"/>
        <w:ind w:right="480" w:firstLine="570"/>
        <w:jc w:val="left"/>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注：</w:t>
      </w:r>
    </w:p>
    <w:p w14:paraId="286DA851">
      <w:pPr>
        <w:tabs>
          <w:tab w:val="left" w:pos="6300"/>
        </w:tabs>
        <w:snapToGrid w:val="0"/>
        <w:spacing w:line="500" w:lineRule="exact"/>
        <w:ind w:right="480" w:firstLine="570"/>
        <w:jc w:val="left"/>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1.若为法定代表人办理并签署投标文件的，不提供此文件。</w:t>
      </w:r>
    </w:p>
    <w:p w14:paraId="6FF8AF9D">
      <w:pPr>
        <w:spacing w:line="400" w:lineRule="exact"/>
        <w:ind w:firstLine="560" w:firstLineChars="200"/>
        <w:jc w:val="left"/>
        <w:rPr>
          <w:rFonts w:cs="方正仿宋_GBK" w:asciiTheme="minorEastAsia" w:hAnsiTheme="minorEastAsia" w:eastAsiaTheme="minorEastAsia"/>
          <w:color w:val="auto"/>
          <w:sz w:val="24"/>
          <w:szCs w:val="24"/>
          <w:highlight w:val="none"/>
        </w:rPr>
      </w:pPr>
      <w:r>
        <w:rPr>
          <w:rFonts w:hint="eastAsia" w:cs="方正仿宋_GBK" w:asciiTheme="minorEastAsia" w:hAnsiTheme="minorEastAsia" w:eastAsiaTheme="minorEastAsia"/>
          <w:color w:val="auto"/>
          <w:highlight w:val="none"/>
        </w:rPr>
        <w:br w:type="column"/>
      </w:r>
      <w:r>
        <w:rPr>
          <w:rFonts w:hint="eastAsia" w:cs="方正仿宋_GBK" w:asciiTheme="minorEastAsia" w:hAnsiTheme="minorEastAsia" w:eastAsiaTheme="minorEastAsia"/>
          <w:color w:val="auto"/>
          <w:sz w:val="24"/>
          <w:szCs w:val="28"/>
          <w:highlight w:val="none"/>
        </w:rPr>
        <w:t>（四）基本资格条件承诺函</w:t>
      </w:r>
    </w:p>
    <w:p w14:paraId="6F0B1E23">
      <w:pPr>
        <w:jc w:val="center"/>
        <w:rPr>
          <w:rFonts w:cs="方正仿宋_GBK" w:asciiTheme="minorEastAsia" w:hAnsiTheme="minorEastAsia" w:eastAsiaTheme="minorEastAsia"/>
          <w:b/>
          <w:color w:val="auto"/>
          <w:sz w:val="32"/>
          <w:highlight w:val="none"/>
        </w:rPr>
      </w:pPr>
    </w:p>
    <w:p w14:paraId="0ECA8D36">
      <w:pPr>
        <w:jc w:val="center"/>
        <w:rPr>
          <w:rFonts w:cs="方正仿宋_GBK" w:asciiTheme="minorEastAsia" w:hAnsiTheme="minorEastAsia" w:eastAsiaTheme="minorEastAsia"/>
          <w:b/>
          <w:color w:val="auto"/>
          <w:sz w:val="32"/>
          <w:highlight w:val="none"/>
        </w:rPr>
      </w:pPr>
      <w:r>
        <w:rPr>
          <w:rFonts w:hint="eastAsia" w:cs="方正仿宋_GBK" w:asciiTheme="minorEastAsia" w:hAnsiTheme="minorEastAsia" w:eastAsiaTheme="minorEastAsia"/>
          <w:b/>
          <w:color w:val="auto"/>
          <w:sz w:val="32"/>
          <w:highlight w:val="none"/>
        </w:rPr>
        <w:t>基本资格条件承诺函</w:t>
      </w:r>
    </w:p>
    <w:p w14:paraId="1D64D9B2">
      <w:pPr>
        <w:tabs>
          <w:tab w:val="left" w:pos="6300"/>
        </w:tabs>
        <w:snapToGrid w:val="0"/>
        <w:spacing w:line="530" w:lineRule="exact"/>
        <w:rPr>
          <w:rFonts w:cs="方正仿宋_GBK" w:asciiTheme="minorEastAsia" w:hAnsiTheme="minorEastAsia" w:eastAsiaTheme="minorEastAsia"/>
          <w:color w:val="auto"/>
          <w:sz w:val="24"/>
          <w:highlight w:val="none"/>
        </w:rPr>
      </w:pPr>
    </w:p>
    <w:p w14:paraId="0BEC8537">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致</w:t>
      </w:r>
      <w:r>
        <w:rPr>
          <w:rFonts w:hint="eastAsia" w:cs="方正仿宋_GBK" w:asciiTheme="minorEastAsia" w:hAnsiTheme="minorEastAsia" w:eastAsiaTheme="minorEastAsia"/>
          <w:color w:val="auto"/>
          <w:sz w:val="24"/>
          <w:highlight w:val="none"/>
          <w:u w:val="single"/>
        </w:rPr>
        <w:t xml:space="preserve">                   </w:t>
      </w:r>
      <w:r>
        <w:rPr>
          <w:rFonts w:hint="eastAsia" w:cs="方正仿宋_GBK" w:asciiTheme="minorEastAsia" w:hAnsiTheme="minorEastAsia" w:eastAsiaTheme="minorEastAsia"/>
          <w:color w:val="auto"/>
          <w:sz w:val="24"/>
          <w:highlight w:val="none"/>
        </w:rPr>
        <w:t>（采购代理机构名称）：</w:t>
      </w:r>
    </w:p>
    <w:p w14:paraId="1E1F5B7B">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 xml:space="preserve">    </w:t>
      </w:r>
      <w:r>
        <w:rPr>
          <w:rFonts w:hint="eastAsia" w:cs="方正仿宋_GBK" w:asciiTheme="minorEastAsia" w:hAnsiTheme="minorEastAsia" w:eastAsiaTheme="minorEastAsia"/>
          <w:color w:val="auto"/>
          <w:sz w:val="24"/>
          <w:highlight w:val="none"/>
          <w:u w:val="single"/>
        </w:rPr>
        <w:t xml:space="preserve">              </w:t>
      </w:r>
      <w:r>
        <w:rPr>
          <w:rFonts w:hint="eastAsia" w:cs="方正仿宋_GBK" w:asciiTheme="minorEastAsia" w:hAnsiTheme="minorEastAsia" w:eastAsiaTheme="minorEastAsia"/>
          <w:color w:val="auto"/>
          <w:sz w:val="24"/>
          <w:highlight w:val="none"/>
        </w:rPr>
        <w:t>（投标人名称）郑重承诺：</w:t>
      </w:r>
    </w:p>
    <w:p w14:paraId="5DFD9948">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1.我方具有良好的商业信誉和健全的财务会计制度，具有履行合同所必需的设备和专业技术能力，具</w:t>
      </w:r>
      <w:r>
        <w:rPr>
          <w:rFonts w:hint="eastAsia" w:cs="方正仿宋_GBK" w:asciiTheme="minorEastAsia" w:hAnsiTheme="minorEastAsia" w:eastAsiaTheme="minorEastAsia"/>
          <w:color w:val="auto"/>
          <w:sz w:val="24"/>
          <w:highlight w:val="none"/>
          <w:lang w:val="zh-CN"/>
        </w:rPr>
        <w:t>有依法缴纳税收和社会保障金的良好记录</w:t>
      </w:r>
      <w:r>
        <w:rPr>
          <w:rFonts w:hint="eastAsia" w:cs="方正仿宋_GBK" w:asciiTheme="minorEastAsia" w:hAnsiTheme="minorEastAsia" w:eastAsiaTheme="minorEastAsia"/>
          <w:color w:val="auto"/>
          <w:sz w:val="24"/>
          <w:highlight w:val="none"/>
        </w:rPr>
        <w:t>，参加本项目采购活动前三年内无重大违法活动记录。</w:t>
      </w:r>
    </w:p>
    <w:p w14:paraId="107FD421">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2.我方未列入在信用中国网站（www.creditchina.gov.cn）“失信被执行人”、“重大税收违法案件当事人名单”中，也未列入中国政府采购网（www.ccgp.gov.cn）“政府采购严重违法失信行为记录名单”中。</w:t>
      </w:r>
    </w:p>
    <w:p w14:paraId="4A5425B2">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3.我方在采购项目评审（评标）环节结束后，随时接受采购人、采购代理机构的检查验证，配合提供相关证明材料，证明符合《中华人民共和国政府采购法》规定的投标人基本资格条件。</w:t>
      </w:r>
    </w:p>
    <w:p w14:paraId="0A0F5E7C">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我方对以上承诺负全部法律责任。</w:t>
      </w:r>
    </w:p>
    <w:p w14:paraId="78BB8447">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特此承诺。</w:t>
      </w:r>
    </w:p>
    <w:p w14:paraId="67C4AFFF">
      <w:pPr>
        <w:tabs>
          <w:tab w:val="left" w:pos="6300"/>
        </w:tabs>
        <w:snapToGrid w:val="0"/>
        <w:spacing w:line="500" w:lineRule="exact"/>
        <w:ind w:firstLine="480" w:firstLineChars="200"/>
        <w:rPr>
          <w:rFonts w:cs="方正仿宋_GBK" w:asciiTheme="minorEastAsia" w:hAnsiTheme="minorEastAsia" w:eastAsiaTheme="minorEastAsia"/>
          <w:color w:val="auto"/>
          <w:sz w:val="24"/>
          <w:highlight w:val="none"/>
        </w:rPr>
      </w:pPr>
    </w:p>
    <w:p w14:paraId="1AADF2CA">
      <w:pPr>
        <w:tabs>
          <w:tab w:val="left" w:pos="6300"/>
        </w:tabs>
        <w:snapToGrid w:val="0"/>
        <w:spacing w:line="500" w:lineRule="exact"/>
        <w:ind w:firstLine="480" w:firstLineChars="200"/>
        <w:jc w:val="right"/>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（投标人公章）</w:t>
      </w:r>
    </w:p>
    <w:p w14:paraId="57D1D80A">
      <w:pPr>
        <w:tabs>
          <w:tab w:val="left" w:pos="6300"/>
        </w:tabs>
        <w:snapToGrid w:val="0"/>
        <w:spacing w:line="500" w:lineRule="exact"/>
        <w:ind w:firstLine="480" w:firstLineChars="200"/>
        <w:jc w:val="right"/>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年   月   日</w:t>
      </w:r>
    </w:p>
    <w:p w14:paraId="775FC8C5">
      <w:pPr>
        <w:snapToGrid w:val="0"/>
        <w:spacing w:line="440" w:lineRule="exact"/>
        <w:ind w:firstLine="480" w:firstLineChars="200"/>
        <w:rPr>
          <w:rFonts w:cs="方正仿宋_GBK" w:asciiTheme="minorEastAsia" w:hAnsiTheme="minorEastAsia" w:eastAsiaTheme="minorEastAsia"/>
          <w:color w:val="auto"/>
          <w:sz w:val="24"/>
          <w:szCs w:val="24"/>
          <w:highlight w:val="none"/>
        </w:rPr>
      </w:pPr>
    </w:p>
    <w:p w14:paraId="5EE90AFE">
      <w:pPr>
        <w:spacing w:line="400" w:lineRule="exact"/>
        <w:rPr>
          <w:rFonts w:cs="方正仿宋_GBK" w:asciiTheme="minorEastAsia" w:hAnsiTheme="minorEastAsia" w:eastAsiaTheme="minorEastAsia"/>
          <w:color w:val="auto"/>
          <w:highlight w:val="none"/>
        </w:rPr>
      </w:pPr>
    </w:p>
    <w:p w14:paraId="47CC7711">
      <w:pPr>
        <w:spacing w:line="400" w:lineRule="exact"/>
        <w:rPr>
          <w:rFonts w:cs="方正仿宋_GBK" w:asciiTheme="minorEastAsia" w:hAnsiTheme="minorEastAsia" w:eastAsiaTheme="minorEastAsia"/>
          <w:color w:val="auto"/>
          <w:highlight w:val="none"/>
        </w:rPr>
      </w:pPr>
    </w:p>
    <w:p w14:paraId="30C227FC">
      <w:pPr>
        <w:spacing w:line="400" w:lineRule="exact"/>
        <w:rPr>
          <w:rFonts w:cs="方正仿宋_GBK" w:asciiTheme="minorEastAsia" w:hAnsiTheme="minorEastAsia" w:eastAsiaTheme="minorEastAsia"/>
          <w:color w:val="auto"/>
          <w:highlight w:val="none"/>
        </w:rPr>
      </w:pPr>
    </w:p>
    <w:p w14:paraId="728C6F14">
      <w:pPr>
        <w:spacing w:line="400" w:lineRule="exact"/>
        <w:rPr>
          <w:rFonts w:cs="方正仿宋_GBK" w:asciiTheme="minorEastAsia" w:hAnsiTheme="minorEastAsia" w:eastAsiaTheme="minorEastAsia"/>
          <w:color w:val="auto"/>
          <w:highlight w:val="none"/>
        </w:rPr>
      </w:pPr>
    </w:p>
    <w:p w14:paraId="3D73B00C">
      <w:pPr>
        <w:spacing w:line="400" w:lineRule="exact"/>
        <w:rPr>
          <w:rFonts w:cs="方正仿宋_GBK" w:asciiTheme="minorEastAsia" w:hAnsiTheme="minorEastAsia" w:eastAsiaTheme="minorEastAsia"/>
          <w:color w:val="auto"/>
          <w:highlight w:val="none"/>
        </w:rPr>
      </w:pPr>
    </w:p>
    <w:p w14:paraId="34309EE1">
      <w:pPr>
        <w:spacing w:line="400" w:lineRule="exact"/>
        <w:rPr>
          <w:rFonts w:cs="方正仿宋_GBK" w:asciiTheme="minorEastAsia" w:hAnsiTheme="minorEastAsia" w:eastAsiaTheme="minorEastAsia"/>
          <w:color w:val="auto"/>
          <w:highlight w:val="none"/>
        </w:rPr>
      </w:pPr>
    </w:p>
    <w:p w14:paraId="4A716A69">
      <w:pPr>
        <w:spacing w:line="400" w:lineRule="exact"/>
        <w:rPr>
          <w:rFonts w:cs="方正仿宋_GBK" w:asciiTheme="minorEastAsia" w:hAnsiTheme="minorEastAsia" w:eastAsiaTheme="minorEastAsia"/>
          <w:color w:val="auto"/>
          <w:highlight w:val="none"/>
        </w:rPr>
      </w:pPr>
    </w:p>
    <w:p w14:paraId="670128BA">
      <w:pPr>
        <w:spacing w:line="400" w:lineRule="exact"/>
        <w:rPr>
          <w:rFonts w:cs="方正仿宋_GBK" w:asciiTheme="minorEastAsia" w:hAnsiTheme="minorEastAsia" w:eastAsiaTheme="minorEastAsia"/>
          <w:color w:val="auto"/>
          <w:highlight w:val="none"/>
        </w:rPr>
      </w:pPr>
    </w:p>
    <w:p w14:paraId="370F246E">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p>
    <w:p w14:paraId="40F0D606">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（五）特定资格条件证书或证明文件（如有）</w:t>
      </w:r>
    </w:p>
    <w:p w14:paraId="05D7B6D2">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50B3CD7A">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05054DB2">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224072A6">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4F805A7C">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1E189C82">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1CB2D8D6">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4765BA47">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103CBFCC">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5AA3CE26">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07B126BD">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65E464D3">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76AABFC2">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5486917E">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481CD451">
      <w:pPr>
        <w:tabs>
          <w:tab w:val="left" w:pos="6300"/>
        </w:tabs>
        <w:snapToGrid w:val="0"/>
        <w:spacing w:line="500" w:lineRule="exact"/>
        <w:ind w:firstLine="570"/>
        <w:jc w:val="left"/>
        <w:rPr>
          <w:rFonts w:cs="方正仿宋_GBK" w:asciiTheme="minorEastAsia" w:hAnsiTheme="minorEastAsia" w:eastAsiaTheme="minorEastAsia"/>
          <w:color w:val="auto"/>
          <w:sz w:val="24"/>
          <w:highlight w:val="none"/>
        </w:rPr>
      </w:pPr>
    </w:p>
    <w:p w14:paraId="6A998BF6">
      <w:pPr>
        <w:snapToGrid w:val="0"/>
        <w:spacing w:line="360" w:lineRule="auto"/>
        <w:ind w:firstLine="480" w:firstLineChars="200"/>
        <w:jc w:val="left"/>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highlight w:val="none"/>
        </w:rPr>
        <w:br w:type="page"/>
      </w:r>
      <w:r>
        <w:rPr>
          <w:rFonts w:hint="eastAsia" w:cs="方正仿宋_GBK" w:asciiTheme="minorEastAsia" w:hAnsiTheme="minorEastAsia" w:eastAsiaTheme="minorEastAsia"/>
          <w:color w:val="auto"/>
          <w:sz w:val="24"/>
          <w:szCs w:val="28"/>
          <w:highlight w:val="none"/>
        </w:rPr>
        <w:t>（六）投标保证金和招标文件购买费</w:t>
      </w:r>
    </w:p>
    <w:p w14:paraId="0FD564BF">
      <w:pPr>
        <w:snapToGrid w:val="0"/>
        <w:spacing w:line="360" w:lineRule="auto"/>
        <w:ind w:firstLine="480" w:firstLineChars="200"/>
        <w:jc w:val="left"/>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1.招标文件购买费、投标保证金缴纳凭据</w:t>
      </w:r>
    </w:p>
    <w:p w14:paraId="7BBF5F45">
      <w:pPr>
        <w:snapToGrid w:val="0"/>
        <w:spacing w:line="360" w:lineRule="auto"/>
        <w:ind w:firstLine="480" w:firstLineChars="200"/>
        <w:jc w:val="left"/>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2.投标人提供招标文件购买费发票信息表。</w:t>
      </w:r>
    </w:p>
    <w:p w14:paraId="4AE87032">
      <w:pPr>
        <w:snapToGrid w:val="0"/>
        <w:spacing w:line="360" w:lineRule="auto"/>
        <w:ind w:firstLine="480" w:firstLineChars="200"/>
        <w:jc w:val="left"/>
        <w:rPr>
          <w:rFonts w:cs="方正仿宋_GBK" w:asciiTheme="minorEastAsia" w:hAnsiTheme="minorEastAsia" w:eastAsiaTheme="minorEastAsia"/>
          <w:color w:val="auto"/>
          <w:sz w:val="24"/>
          <w:szCs w:val="28"/>
          <w:highlight w:val="none"/>
        </w:rPr>
      </w:pPr>
    </w:p>
    <w:p w14:paraId="7A162232">
      <w:pPr>
        <w:snapToGrid w:val="0"/>
        <w:spacing w:line="360" w:lineRule="auto"/>
        <w:ind w:firstLine="480" w:firstLineChars="200"/>
        <w:jc w:val="left"/>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招标文件购买费发票开票信息如下</w:t>
      </w:r>
    </w:p>
    <w:tbl>
      <w:tblPr>
        <w:tblStyle w:val="16"/>
        <w:tblW w:w="9921" w:type="dxa"/>
        <w:tblInd w:w="-599" w:type="dxa"/>
        <w:tblLayout w:type="autofit"/>
        <w:tblCellMar>
          <w:top w:w="0" w:type="dxa"/>
          <w:left w:w="108" w:type="dxa"/>
          <w:bottom w:w="0" w:type="dxa"/>
          <w:right w:w="108" w:type="dxa"/>
        </w:tblCellMar>
      </w:tblPr>
      <w:tblGrid>
        <w:gridCol w:w="859"/>
        <w:gridCol w:w="1582"/>
        <w:gridCol w:w="1965"/>
        <w:gridCol w:w="1688"/>
        <w:gridCol w:w="1636"/>
        <w:gridCol w:w="2191"/>
      </w:tblGrid>
      <w:tr w14:paraId="0DB09A07">
        <w:tblPrEx>
          <w:tblCellMar>
            <w:top w:w="0" w:type="dxa"/>
            <w:left w:w="108" w:type="dxa"/>
            <w:bottom w:w="0" w:type="dxa"/>
            <w:right w:w="108" w:type="dxa"/>
          </w:tblCellMar>
        </w:tblPrEx>
        <w:trPr>
          <w:trHeight w:val="634" w:hRule="atLeast"/>
        </w:trPr>
        <w:tc>
          <w:tcPr>
            <w:tcW w:w="859" w:type="dxa"/>
            <w:tcBorders>
              <w:top w:val="single" w:color="auto" w:sz="4" w:space="0"/>
              <w:left w:val="single" w:color="auto" w:sz="4" w:space="0"/>
              <w:bottom w:val="single" w:color="auto" w:sz="4" w:space="0"/>
              <w:right w:val="single" w:color="auto" w:sz="4" w:space="0"/>
            </w:tcBorders>
            <w:vAlign w:val="center"/>
          </w:tcPr>
          <w:p w14:paraId="7F695409">
            <w:pPr>
              <w:tabs>
                <w:tab w:val="left" w:pos="6300"/>
              </w:tabs>
              <w:snapToGrid w:val="0"/>
              <w:spacing w:line="360" w:lineRule="auto"/>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序号</w:t>
            </w:r>
          </w:p>
        </w:tc>
        <w:tc>
          <w:tcPr>
            <w:tcW w:w="1582" w:type="dxa"/>
            <w:tcBorders>
              <w:top w:val="single" w:color="auto" w:sz="4" w:space="0"/>
              <w:left w:val="nil"/>
              <w:bottom w:val="single" w:color="auto" w:sz="4" w:space="0"/>
              <w:right w:val="single" w:color="auto" w:sz="4" w:space="0"/>
            </w:tcBorders>
            <w:vAlign w:val="center"/>
          </w:tcPr>
          <w:p w14:paraId="0F2AB6FE">
            <w:pPr>
              <w:tabs>
                <w:tab w:val="left" w:pos="6300"/>
              </w:tabs>
              <w:snapToGrid w:val="0"/>
              <w:spacing w:line="360" w:lineRule="auto"/>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投标人名称</w:t>
            </w:r>
          </w:p>
        </w:tc>
        <w:tc>
          <w:tcPr>
            <w:tcW w:w="1965" w:type="dxa"/>
            <w:tcBorders>
              <w:top w:val="single" w:color="auto" w:sz="4" w:space="0"/>
              <w:left w:val="nil"/>
              <w:bottom w:val="single" w:color="auto" w:sz="4" w:space="0"/>
              <w:right w:val="single" w:color="auto" w:sz="4" w:space="0"/>
            </w:tcBorders>
            <w:vAlign w:val="center"/>
          </w:tcPr>
          <w:p w14:paraId="64DACDD5">
            <w:pPr>
              <w:tabs>
                <w:tab w:val="left" w:pos="6300"/>
              </w:tabs>
              <w:snapToGrid w:val="0"/>
              <w:spacing w:line="360" w:lineRule="auto"/>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基本账户开户行</w:t>
            </w:r>
          </w:p>
        </w:tc>
        <w:tc>
          <w:tcPr>
            <w:tcW w:w="1688" w:type="dxa"/>
            <w:tcBorders>
              <w:top w:val="single" w:color="auto" w:sz="4" w:space="0"/>
              <w:left w:val="nil"/>
              <w:bottom w:val="single" w:color="auto" w:sz="4" w:space="0"/>
              <w:right w:val="single" w:color="auto" w:sz="4" w:space="0"/>
            </w:tcBorders>
            <w:vAlign w:val="center"/>
          </w:tcPr>
          <w:p w14:paraId="4CD9385D">
            <w:pPr>
              <w:tabs>
                <w:tab w:val="left" w:pos="6300"/>
              </w:tabs>
              <w:snapToGrid w:val="0"/>
              <w:spacing w:line="360" w:lineRule="auto"/>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基本账户账号（卡号）</w:t>
            </w:r>
          </w:p>
        </w:tc>
        <w:tc>
          <w:tcPr>
            <w:tcW w:w="1636" w:type="dxa"/>
            <w:tcBorders>
              <w:top w:val="single" w:color="auto" w:sz="4" w:space="0"/>
              <w:left w:val="nil"/>
              <w:bottom w:val="single" w:color="auto" w:sz="4" w:space="0"/>
              <w:right w:val="single" w:color="auto" w:sz="4" w:space="0"/>
            </w:tcBorders>
            <w:vAlign w:val="center"/>
          </w:tcPr>
          <w:p w14:paraId="6DB8F953">
            <w:pPr>
              <w:tabs>
                <w:tab w:val="left" w:pos="6300"/>
              </w:tabs>
              <w:snapToGrid w:val="0"/>
              <w:spacing w:line="360" w:lineRule="auto"/>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统一社会信用代码</w:t>
            </w:r>
          </w:p>
        </w:tc>
        <w:tc>
          <w:tcPr>
            <w:tcW w:w="2191" w:type="dxa"/>
            <w:tcBorders>
              <w:top w:val="single" w:color="auto" w:sz="4" w:space="0"/>
              <w:left w:val="single" w:color="auto" w:sz="4" w:space="0"/>
              <w:bottom w:val="single" w:color="auto" w:sz="4" w:space="0"/>
              <w:right w:val="single" w:color="auto" w:sz="4" w:space="0"/>
            </w:tcBorders>
            <w:vAlign w:val="center"/>
          </w:tcPr>
          <w:p w14:paraId="2B2C3E43">
            <w:pPr>
              <w:tabs>
                <w:tab w:val="left" w:pos="6300"/>
              </w:tabs>
              <w:snapToGrid w:val="0"/>
              <w:spacing w:line="360" w:lineRule="auto"/>
              <w:jc w:val="center"/>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授权委托人联系电话（须为手机号）</w:t>
            </w:r>
          </w:p>
        </w:tc>
      </w:tr>
      <w:tr w14:paraId="08397771">
        <w:tblPrEx>
          <w:tblCellMar>
            <w:top w:w="0" w:type="dxa"/>
            <w:left w:w="108" w:type="dxa"/>
            <w:bottom w:w="0" w:type="dxa"/>
            <w:right w:w="108" w:type="dxa"/>
          </w:tblCellMar>
        </w:tblPrEx>
        <w:trPr>
          <w:trHeight w:val="600" w:hRule="atLeast"/>
        </w:trPr>
        <w:tc>
          <w:tcPr>
            <w:tcW w:w="859" w:type="dxa"/>
            <w:tcBorders>
              <w:top w:val="nil"/>
              <w:left w:val="single" w:color="auto" w:sz="4" w:space="0"/>
              <w:bottom w:val="single" w:color="auto" w:sz="4" w:space="0"/>
              <w:right w:val="single" w:color="auto" w:sz="4" w:space="0"/>
            </w:tcBorders>
            <w:vAlign w:val="center"/>
          </w:tcPr>
          <w:p w14:paraId="22982435">
            <w:pPr>
              <w:tabs>
                <w:tab w:val="left" w:pos="6300"/>
              </w:tabs>
              <w:snapToGrid w:val="0"/>
              <w:spacing w:line="360" w:lineRule="auto"/>
              <w:jc w:val="center"/>
              <w:rPr>
                <w:rFonts w:cs="方正仿宋_GBK" w:asciiTheme="minorEastAsia" w:hAnsiTheme="minorEastAsia" w:eastAsiaTheme="minorEastAsia"/>
                <w:color w:val="auto"/>
                <w:sz w:val="24"/>
                <w:highlight w:val="none"/>
              </w:rPr>
            </w:pPr>
          </w:p>
        </w:tc>
        <w:tc>
          <w:tcPr>
            <w:tcW w:w="1582" w:type="dxa"/>
            <w:tcBorders>
              <w:top w:val="nil"/>
              <w:left w:val="nil"/>
              <w:bottom w:val="single" w:color="auto" w:sz="4" w:space="0"/>
              <w:right w:val="single" w:color="auto" w:sz="4" w:space="0"/>
            </w:tcBorders>
            <w:vAlign w:val="center"/>
          </w:tcPr>
          <w:p w14:paraId="22EC248F">
            <w:pPr>
              <w:tabs>
                <w:tab w:val="left" w:pos="6300"/>
              </w:tabs>
              <w:snapToGrid w:val="0"/>
              <w:spacing w:line="360" w:lineRule="auto"/>
              <w:ind w:firstLine="570"/>
              <w:jc w:val="center"/>
              <w:rPr>
                <w:rFonts w:cs="方正仿宋_GBK" w:asciiTheme="minorEastAsia" w:hAnsiTheme="minorEastAsia" w:eastAsiaTheme="minorEastAsia"/>
                <w:color w:val="auto"/>
                <w:sz w:val="24"/>
                <w:highlight w:val="none"/>
              </w:rPr>
            </w:pPr>
          </w:p>
        </w:tc>
        <w:tc>
          <w:tcPr>
            <w:tcW w:w="1965" w:type="dxa"/>
            <w:tcBorders>
              <w:top w:val="nil"/>
              <w:left w:val="nil"/>
              <w:bottom w:val="single" w:color="auto" w:sz="4" w:space="0"/>
              <w:right w:val="single" w:color="auto" w:sz="4" w:space="0"/>
            </w:tcBorders>
            <w:vAlign w:val="center"/>
          </w:tcPr>
          <w:p w14:paraId="2CC2DB0D">
            <w:pPr>
              <w:tabs>
                <w:tab w:val="left" w:pos="6300"/>
              </w:tabs>
              <w:snapToGrid w:val="0"/>
              <w:spacing w:line="360" w:lineRule="auto"/>
              <w:ind w:firstLine="570"/>
              <w:jc w:val="center"/>
              <w:rPr>
                <w:rFonts w:cs="方正仿宋_GBK" w:asciiTheme="minorEastAsia" w:hAnsiTheme="minorEastAsia" w:eastAsiaTheme="minorEastAsia"/>
                <w:color w:val="auto"/>
                <w:sz w:val="24"/>
                <w:highlight w:val="none"/>
              </w:rPr>
            </w:pPr>
          </w:p>
        </w:tc>
        <w:tc>
          <w:tcPr>
            <w:tcW w:w="1688" w:type="dxa"/>
            <w:tcBorders>
              <w:top w:val="nil"/>
              <w:left w:val="nil"/>
              <w:bottom w:val="single" w:color="auto" w:sz="4" w:space="0"/>
              <w:right w:val="single" w:color="auto" w:sz="4" w:space="0"/>
            </w:tcBorders>
            <w:vAlign w:val="center"/>
          </w:tcPr>
          <w:p w14:paraId="10281003">
            <w:pPr>
              <w:tabs>
                <w:tab w:val="left" w:pos="6300"/>
              </w:tabs>
              <w:snapToGrid w:val="0"/>
              <w:spacing w:line="360" w:lineRule="auto"/>
              <w:ind w:firstLine="570"/>
              <w:jc w:val="center"/>
              <w:rPr>
                <w:rFonts w:cs="方正仿宋_GBK" w:asciiTheme="minorEastAsia" w:hAnsiTheme="minorEastAsia" w:eastAsiaTheme="minorEastAsia"/>
                <w:color w:val="auto"/>
                <w:sz w:val="24"/>
                <w:highlight w:val="none"/>
              </w:rPr>
            </w:pPr>
          </w:p>
        </w:tc>
        <w:tc>
          <w:tcPr>
            <w:tcW w:w="1636" w:type="dxa"/>
            <w:tcBorders>
              <w:top w:val="single" w:color="auto" w:sz="4" w:space="0"/>
              <w:left w:val="nil"/>
              <w:bottom w:val="single" w:color="auto" w:sz="4" w:space="0"/>
              <w:right w:val="single" w:color="auto" w:sz="4" w:space="0"/>
            </w:tcBorders>
            <w:vAlign w:val="center"/>
          </w:tcPr>
          <w:p w14:paraId="5BBE5571">
            <w:pPr>
              <w:tabs>
                <w:tab w:val="left" w:pos="6300"/>
              </w:tabs>
              <w:snapToGrid w:val="0"/>
              <w:spacing w:line="360" w:lineRule="auto"/>
              <w:ind w:firstLine="570"/>
              <w:jc w:val="center"/>
              <w:rPr>
                <w:rFonts w:cs="方正仿宋_GBK" w:asciiTheme="minorEastAsia" w:hAnsiTheme="minorEastAsia" w:eastAsiaTheme="minorEastAsia"/>
                <w:color w:val="auto"/>
                <w:sz w:val="24"/>
                <w:highlight w:val="none"/>
              </w:rPr>
            </w:pPr>
          </w:p>
        </w:tc>
        <w:tc>
          <w:tcPr>
            <w:tcW w:w="2191" w:type="dxa"/>
            <w:tcBorders>
              <w:top w:val="nil"/>
              <w:left w:val="single" w:color="auto" w:sz="4" w:space="0"/>
              <w:bottom w:val="single" w:color="auto" w:sz="4" w:space="0"/>
              <w:right w:val="single" w:color="auto" w:sz="4" w:space="0"/>
            </w:tcBorders>
            <w:vAlign w:val="center"/>
          </w:tcPr>
          <w:p w14:paraId="5EFABC64">
            <w:pPr>
              <w:tabs>
                <w:tab w:val="left" w:pos="6300"/>
              </w:tabs>
              <w:snapToGrid w:val="0"/>
              <w:spacing w:line="360" w:lineRule="auto"/>
              <w:ind w:firstLine="570"/>
              <w:jc w:val="center"/>
              <w:rPr>
                <w:rFonts w:cs="方正仿宋_GBK" w:asciiTheme="minorEastAsia" w:hAnsiTheme="minorEastAsia" w:eastAsiaTheme="minorEastAsia"/>
                <w:color w:val="auto"/>
                <w:sz w:val="24"/>
                <w:highlight w:val="none"/>
              </w:rPr>
            </w:pPr>
          </w:p>
        </w:tc>
      </w:tr>
    </w:tbl>
    <w:p w14:paraId="58F3F004">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45E4115B">
      <w:pPr>
        <w:tabs>
          <w:tab w:val="left" w:pos="6300"/>
        </w:tabs>
        <w:snapToGrid w:val="0"/>
        <w:spacing w:line="360" w:lineRule="auto"/>
        <w:ind w:firstLine="570"/>
        <w:jc w:val="left"/>
        <w:rPr>
          <w:rFonts w:cs="方正仿宋_GBK" w:asciiTheme="minorEastAsia" w:hAnsiTheme="minorEastAsia" w:eastAsiaTheme="minorEastAsia"/>
          <w:color w:val="auto"/>
          <w:sz w:val="24"/>
          <w:highlight w:val="none"/>
        </w:rPr>
      </w:pPr>
    </w:p>
    <w:p w14:paraId="0CFC3A1F">
      <w:pPr>
        <w:tabs>
          <w:tab w:val="left" w:pos="6300"/>
        </w:tabs>
        <w:snapToGrid w:val="0"/>
        <w:spacing w:line="360" w:lineRule="auto"/>
        <w:ind w:firstLine="570"/>
        <w:jc w:val="left"/>
        <w:rPr>
          <w:rFonts w:cs="方正仿宋_GBK" w:asciiTheme="minorEastAsia" w:hAnsiTheme="minorEastAsia" w:eastAsiaTheme="minorEastAsia"/>
          <w:color w:val="auto"/>
          <w:sz w:val="24"/>
          <w:highlight w:val="none"/>
        </w:rPr>
      </w:pPr>
    </w:p>
    <w:p w14:paraId="62241503">
      <w:pPr>
        <w:wordWrap w:val="0"/>
        <w:snapToGrid w:val="0"/>
        <w:spacing w:line="360" w:lineRule="auto"/>
        <w:ind w:firstLine="480" w:firstLineChars="200"/>
        <w:jc w:val="right"/>
        <w:rPr>
          <w:rFonts w:cs="方正仿宋_GBK" w:asciiTheme="minorEastAsia" w:hAnsiTheme="minorEastAsia" w:eastAsiaTheme="minorEastAsia"/>
          <w:color w:val="auto"/>
          <w:sz w:val="24"/>
          <w:szCs w:val="28"/>
          <w:highlight w:val="none"/>
        </w:rPr>
      </w:pPr>
      <w:r>
        <w:rPr>
          <w:rFonts w:hint="eastAsia" w:cs="方正仿宋_GBK" w:asciiTheme="minorEastAsia" w:hAnsiTheme="minorEastAsia" w:eastAsiaTheme="minorEastAsia"/>
          <w:color w:val="auto"/>
          <w:sz w:val="24"/>
          <w:szCs w:val="28"/>
          <w:highlight w:val="none"/>
        </w:rPr>
        <w:t xml:space="preserve">投标人名称（盖章）：                  </w:t>
      </w:r>
    </w:p>
    <w:p w14:paraId="1ECBA2D1">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66A03FE8">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0D16FE0B">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06EBEB82">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78E4911A">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395D6F40">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408294E2">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02548E94">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2C682516">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22E0F122">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35278008">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7FF1FC13">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15DAD23E">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0776E802">
      <w:pPr>
        <w:snapToGrid w:val="0"/>
        <w:spacing w:line="360" w:lineRule="auto"/>
        <w:ind w:firstLine="480" w:firstLineChars="200"/>
        <w:jc w:val="left"/>
        <w:rPr>
          <w:rFonts w:cs="方正仿宋_GBK" w:asciiTheme="minorEastAsia" w:hAnsiTheme="minorEastAsia" w:eastAsiaTheme="minorEastAsia"/>
          <w:color w:val="auto"/>
          <w:sz w:val="24"/>
          <w:highlight w:val="none"/>
        </w:rPr>
      </w:pPr>
    </w:p>
    <w:p w14:paraId="3423B4FF">
      <w:pPr>
        <w:tabs>
          <w:tab w:val="left" w:pos="6300"/>
        </w:tabs>
        <w:snapToGrid w:val="0"/>
        <w:spacing w:line="500" w:lineRule="exact"/>
        <w:jc w:val="center"/>
        <w:outlineLvl w:val="0"/>
        <w:rPr>
          <w:rFonts w:cs="方正仿宋_GBK" w:asciiTheme="minorEastAsia" w:hAnsiTheme="minorEastAsia" w:eastAsiaTheme="minorEastAsia"/>
          <w:color w:val="auto"/>
          <w:sz w:val="24"/>
          <w:highlight w:val="none"/>
        </w:rPr>
      </w:pPr>
      <w:r>
        <w:rPr>
          <w:rFonts w:hint="eastAsia" w:cs="方正仿宋_GBK" w:asciiTheme="minorEastAsia" w:hAnsiTheme="minorEastAsia" w:eastAsiaTheme="minorEastAsia"/>
          <w:color w:val="auto"/>
          <w:sz w:val="24"/>
          <w:highlight w:val="none"/>
        </w:rPr>
        <w:t>（结束）</w:t>
      </w:r>
    </w:p>
    <w:p w14:paraId="31867C37">
      <w:pPr>
        <w:rPr>
          <w:rFonts w:cs="方正仿宋_GBK" w:asciiTheme="minorEastAsia" w:hAnsiTheme="minorEastAsia" w:eastAsiaTheme="minorEastAsia"/>
          <w:color w:val="auto"/>
          <w:highlight w:val="none"/>
        </w:rPr>
      </w:pPr>
    </w:p>
    <w:p w14:paraId="218B4EAB">
      <w:pPr>
        <w:rPr>
          <w:color w:val="auto"/>
          <w:highlight w:val="none"/>
        </w:rPr>
      </w:pPr>
    </w:p>
    <w:sectPr>
      <w:footerReference r:id="rId10" w:type="default"/>
      <w:type w:val="nextColumn"/>
      <w:pgSz w:w="11907" w:h="16840"/>
      <w:pgMar w:top="1134" w:right="1191" w:bottom="1134" w:left="1304"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方正仿宋_GBK">
    <w:panose1 w:val="03000509000000000000"/>
    <w:charset w:val="86"/>
    <w:family w:val="script"/>
    <w:pitch w:val="default"/>
    <w:sig w:usb0="00000001" w:usb1="080E0000" w:usb2="00000000" w:usb3="00000000" w:csb0="00040000" w:csb1="00000000"/>
    <w:embedRegular r:id="rId1" w:fontKey="{6908FA6F-E6B6-43BE-9F8B-620A348B78C9}"/>
  </w:font>
  <w:font w:name="PMingLiU">
    <w:panose1 w:val="02020500000000000000"/>
    <w:charset w:val="88"/>
    <w:family w:val="roman"/>
    <w:pitch w:val="default"/>
    <w:sig w:usb0="A00002FF" w:usb1="28CFFCFA" w:usb2="00000016" w:usb3="00000000" w:csb0="00100001" w:csb1="00000000"/>
    <w:embedRegular r:id="rId2" w:fontKey="{D2173DB4-21F0-4B11-B850-6D3DD36CBABB}"/>
  </w:font>
  <w:font w:name="WPSEMBED1">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5132D">
    <w:pPr>
      <w:pStyle w:val="11"/>
      <w:jc w:val="center"/>
      <w:rPr>
        <w:sz w:val="24"/>
      </w:rPr>
    </w:pPr>
    <w:r>
      <w:rPr>
        <w:sz w:val="24"/>
      </w:rPr>
      <w:fldChar w:fldCharType="begin"/>
    </w:r>
    <w:r>
      <w:rPr>
        <w:rStyle w:val="19"/>
        <w:sz w:val="24"/>
      </w:rPr>
      <w:instrText xml:space="preserve"> PAGE </w:instrText>
    </w:r>
    <w:r>
      <w:rPr>
        <w:sz w:val="24"/>
      </w:rPr>
      <w:fldChar w:fldCharType="separate"/>
    </w:r>
    <w:r>
      <w:rPr>
        <w:rStyle w:val="19"/>
        <w:sz w:val="24"/>
      </w:rPr>
      <w:t>- 2 -</w:t>
    </w:r>
    <w:r>
      <w:rPr>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94AC8">
    <w:pPr>
      <w:pStyle w:val="11"/>
      <w:framePr w:wrap="around" w:vAnchor="text" w:hAnchor="margin" w:xAlign="center" w:y="1"/>
      <w:rPr>
        <w:rStyle w:val="19"/>
      </w:rPr>
    </w:pPr>
    <w:r>
      <w:fldChar w:fldCharType="begin"/>
    </w:r>
    <w:r>
      <w:rPr>
        <w:rStyle w:val="19"/>
      </w:rPr>
      <w:instrText xml:space="preserve">PAGE  </w:instrText>
    </w:r>
    <w:r>
      <w:fldChar w:fldCharType="end"/>
    </w:r>
  </w:p>
  <w:p w14:paraId="475F4BF1">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CF340">
    <w:pPr>
      <w:pStyle w:val="11"/>
      <w:ind w:right="360"/>
      <w:jc w:val="center"/>
    </w:pPr>
    <w:r>
      <w:fldChar w:fldCharType="begin"/>
    </w:r>
    <w:r>
      <w:rPr>
        <w:rStyle w:val="19"/>
      </w:rPr>
      <w:instrText xml:space="preserve"> PAGE </w:instrText>
    </w:r>
    <w:r>
      <w:fldChar w:fldCharType="separate"/>
    </w:r>
    <w:r>
      <w:rPr>
        <w:rStyle w:val="19"/>
      </w:rPr>
      <w:t>- 11 -</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AC4B1">
    <w:pPr>
      <w:pStyle w:val="11"/>
      <w:framePr w:wrap="around" w:vAnchor="text" w:hAnchor="margin" w:xAlign="right" w:y="1"/>
      <w:rPr>
        <w:rStyle w:val="19"/>
      </w:rPr>
    </w:pPr>
    <w:r>
      <w:fldChar w:fldCharType="begin"/>
    </w:r>
    <w:r>
      <w:rPr>
        <w:rStyle w:val="19"/>
      </w:rPr>
      <w:instrText xml:space="preserve">PAGE  </w:instrText>
    </w:r>
    <w:r>
      <w:fldChar w:fldCharType="end"/>
    </w:r>
  </w:p>
  <w:p w14:paraId="62F0B790">
    <w:pPr>
      <w:pStyle w:val="11"/>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31CC7">
    <w:pPr>
      <w:pStyle w:val="11"/>
      <w:jc w:val="center"/>
      <w:rPr>
        <w:sz w:val="24"/>
      </w:rPr>
    </w:pPr>
    <w:r>
      <w:rPr>
        <w:sz w:val="24"/>
      </w:rPr>
      <w:fldChar w:fldCharType="begin"/>
    </w:r>
    <w:r>
      <w:rPr>
        <w:rStyle w:val="19"/>
        <w:sz w:val="24"/>
      </w:rPr>
      <w:instrText xml:space="preserve"> PAGE </w:instrText>
    </w:r>
    <w:r>
      <w:rPr>
        <w:sz w:val="24"/>
      </w:rPr>
      <w:fldChar w:fldCharType="separate"/>
    </w:r>
    <w:r>
      <w:rPr>
        <w:rStyle w:val="19"/>
        <w:sz w:val="24"/>
      </w:rPr>
      <w:t>- 18 -</w:t>
    </w:r>
    <w:r>
      <w:rPr>
        <w:sz w:val="24"/>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BF610">
    <w:pPr>
      <w:pStyle w:val="11"/>
      <w:jc w:val="center"/>
      <w:rPr>
        <w:sz w:val="24"/>
      </w:rPr>
    </w:pPr>
    <w:r>
      <w:rPr>
        <w:sz w:val="24"/>
      </w:rPr>
      <w:fldChar w:fldCharType="begin"/>
    </w:r>
    <w:r>
      <w:rPr>
        <w:rStyle w:val="19"/>
        <w:sz w:val="24"/>
      </w:rPr>
      <w:instrText xml:space="preserve"> PAGE </w:instrText>
    </w:r>
    <w:r>
      <w:rPr>
        <w:sz w:val="24"/>
      </w:rPr>
      <w:fldChar w:fldCharType="separate"/>
    </w:r>
    <w:r>
      <w:rPr>
        <w:rStyle w:val="19"/>
        <w:sz w:val="24"/>
      </w:rPr>
      <w:t>- 21 -</w:t>
    </w:r>
    <w:r>
      <w:rPr>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1909B">
    <w:pPr>
      <w:pStyle w:val="12"/>
      <w:pBdr>
        <w:bottom w:val="single" w:color="auto" w:sz="4" w:space="1"/>
      </w:pBdr>
      <w:jc w:val="both"/>
      <w:rPr>
        <w:rFonts w:ascii="方正仿宋_GBK" w:eastAsia="方正仿宋_GBK"/>
        <w:sz w:val="21"/>
        <w:szCs w:val="24"/>
      </w:rPr>
    </w:pPr>
    <w:r>
      <w:rPr>
        <w:rFonts w:hint="eastAsia" w:ascii="方正仿宋_GBK" w:eastAsia="方正仿宋_GBK"/>
        <w:sz w:val="21"/>
        <w:szCs w:val="24"/>
      </w:rPr>
      <w:t xml:space="preserve">重庆工商大学                            </w:t>
    </w:r>
    <w:r>
      <w:rPr>
        <w:rFonts w:ascii="方正仿宋_GBK" w:eastAsia="方正仿宋_GBK"/>
        <w:sz w:val="21"/>
        <w:szCs w:val="24"/>
      </w:rPr>
      <w:t xml:space="preserve">       </w:t>
    </w:r>
    <w:r>
      <w:rPr>
        <w:rFonts w:hint="eastAsia" w:ascii="方正仿宋_GBK" w:eastAsia="方正仿宋_GBK"/>
        <w:sz w:val="21"/>
        <w:szCs w:val="24"/>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F8CF4">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612A06"/>
    <w:multiLevelType w:val="singleLevel"/>
    <w:tmpl w:val="DD612A06"/>
    <w:lvl w:ilvl="0" w:tentative="0">
      <w:start w:val="3"/>
      <w:numFmt w:val="chineseCounting"/>
      <w:suff w:val="nothing"/>
      <w:lvlText w:val="（%1）"/>
      <w:lvlJc w:val="left"/>
      <w:rPr>
        <w:rFonts w:hint="eastAsia"/>
      </w:rPr>
    </w:lvl>
  </w:abstractNum>
  <w:abstractNum w:abstractNumId="1">
    <w:nsid w:val="080B9B8B"/>
    <w:multiLevelType w:val="singleLevel"/>
    <w:tmpl w:val="080B9B8B"/>
    <w:lvl w:ilvl="0" w:tentative="0">
      <w:start w:val="2"/>
      <w:numFmt w:val="chineseCounting"/>
      <w:suff w:val="nothing"/>
      <w:lvlText w:val="%1、"/>
      <w:lvlJc w:val="left"/>
      <w:rPr>
        <w:rFonts w:hint="eastAsia"/>
      </w:rPr>
    </w:lvl>
  </w:abstractNum>
  <w:abstractNum w:abstractNumId="2">
    <w:nsid w:val="620E74EB"/>
    <w:multiLevelType w:val="multilevel"/>
    <w:tmpl w:val="620E74EB"/>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784B4906"/>
    <w:multiLevelType w:val="singleLevel"/>
    <w:tmpl w:val="784B4906"/>
    <w:lvl w:ilvl="0" w:tentative="0">
      <w:start w:val="14"/>
      <w:numFmt w:val="decimal"/>
      <w:suff w:val="space"/>
      <w:lvlText w:val="%1."/>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8C79A7"/>
    <w:rsid w:val="004060CC"/>
    <w:rsid w:val="00506E04"/>
    <w:rsid w:val="0082225B"/>
    <w:rsid w:val="0082435C"/>
    <w:rsid w:val="00AA20BE"/>
    <w:rsid w:val="00B011EE"/>
    <w:rsid w:val="00B2418E"/>
    <w:rsid w:val="00D37F0F"/>
    <w:rsid w:val="00DD10D4"/>
    <w:rsid w:val="00E660C6"/>
    <w:rsid w:val="00F4067B"/>
    <w:rsid w:val="00FF7F6E"/>
    <w:rsid w:val="021216C3"/>
    <w:rsid w:val="092551C6"/>
    <w:rsid w:val="0CAB1FF0"/>
    <w:rsid w:val="0E522708"/>
    <w:rsid w:val="12146CDD"/>
    <w:rsid w:val="13CC00BB"/>
    <w:rsid w:val="159C7557"/>
    <w:rsid w:val="15AC1072"/>
    <w:rsid w:val="178B124B"/>
    <w:rsid w:val="18CA5005"/>
    <w:rsid w:val="19FD695E"/>
    <w:rsid w:val="1D6E31DE"/>
    <w:rsid w:val="20AD64EE"/>
    <w:rsid w:val="21117C2F"/>
    <w:rsid w:val="221B4D5E"/>
    <w:rsid w:val="228C79A7"/>
    <w:rsid w:val="233B028C"/>
    <w:rsid w:val="24903AA5"/>
    <w:rsid w:val="25075470"/>
    <w:rsid w:val="26507A63"/>
    <w:rsid w:val="287578D6"/>
    <w:rsid w:val="287700A8"/>
    <w:rsid w:val="2904348B"/>
    <w:rsid w:val="2BE912BD"/>
    <w:rsid w:val="2FB105DB"/>
    <w:rsid w:val="33C42178"/>
    <w:rsid w:val="358F2DF4"/>
    <w:rsid w:val="364A2958"/>
    <w:rsid w:val="375D5D15"/>
    <w:rsid w:val="38C8483F"/>
    <w:rsid w:val="39D74F98"/>
    <w:rsid w:val="40CC4723"/>
    <w:rsid w:val="40D4197F"/>
    <w:rsid w:val="417D68E6"/>
    <w:rsid w:val="43546216"/>
    <w:rsid w:val="45B81CE0"/>
    <w:rsid w:val="4BDC68F8"/>
    <w:rsid w:val="4E4B6F52"/>
    <w:rsid w:val="4F193B65"/>
    <w:rsid w:val="50563203"/>
    <w:rsid w:val="5191200D"/>
    <w:rsid w:val="54F00A5F"/>
    <w:rsid w:val="552D54C7"/>
    <w:rsid w:val="562C577D"/>
    <w:rsid w:val="5F883923"/>
    <w:rsid w:val="5FAA2D32"/>
    <w:rsid w:val="61704F04"/>
    <w:rsid w:val="650F7F13"/>
    <w:rsid w:val="666A593D"/>
    <w:rsid w:val="6A047731"/>
    <w:rsid w:val="6BB5544F"/>
    <w:rsid w:val="6EB10340"/>
    <w:rsid w:val="6F77153E"/>
    <w:rsid w:val="706011EA"/>
    <w:rsid w:val="709E3C06"/>
    <w:rsid w:val="71C2570D"/>
    <w:rsid w:val="735A7977"/>
    <w:rsid w:val="739B08F5"/>
    <w:rsid w:val="73E067B1"/>
    <w:rsid w:val="744F0B85"/>
    <w:rsid w:val="76860B4B"/>
    <w:rsid w:val="79AB4E96"/>
    <w:rsid w:val="7AEB4F73"/>
    <w:rsid w:val="7AF60767"/>
    <w:rsid w:val="7C6B04FF"/>
    <w:rsid w:val="7D8E32E0"/>
    <w:rsid w:val="7DD71A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9"/>
    <w:pPr>
      <w:keepNext/>
      <w:tabs>
        <w:tab w:val="left" w:pos="3360"/>
      </w:tabs>
      <w:snapToGrid w:val="0"/>
      <w:spacing w:before="312" w:beforeLines="100" w:after="156" w:afterLines="50" w:line="800" w:lineRule="atLeast"/>
      <w:jc w:val="center"/>
      <w:outlineLvl w:val="0"/>
    </w:pPr>
    <w:rPr>
      <w:rFonts w:eastAsia="黑体"/>
      <w:sz w:val="44"/>
    </w:rPr>
  </w:style>
  <w:style w:type="paragraph" w:styleId="3">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djustRightInd w:val="0"/>
      <w:snapToGrid w:val="0"/>
      <w:spacing w:line="360" w:lineRule="auto"/>
      <w:ind w:firstLine="420"/>
    </w:pPr>
    <w:rPr>
      <w:sz w:val="24"/>
    </w:rPr>
  </w:style>
  <w:style w:type="paragraph" w:styleId="5">
    <w:name w:val="annotation text"/>
    <w:basedOn w:val="1"/>
    <w:qFormat/>
    <w:uiPriority w:val="0"/>
    <w:pPr>
      <w:jc w:val="left"/>
    </w:pPr>
  </w:style>
  <w:style w:type="paragraph" w:styleId="6">
    <w:name w:val="Body Text"/>
    <w:basedOn w:val="1"/>
    <w:qFormat/>
    <w:uiPriority w:val="0"/>
    <w:rPr>
      <w:rFonts w:ascii="仿宋_GB2312" w:eastAsia="仿宋_GB2312"/>
      <w:sz w:val="32"/>
    </w:rPr>
  </w:style>
  <w:style w:type="paragraph" w:styleId="7">
    <w:name w:val="Body Text Indent"/>
    <w:basedOn w:val="1"/>
    <w:qFormat/>
    <w:uiPriority w:val="0"/>
    <w:pPr>
      <w:spacing w:line="700" w:lineRule="exact"/>
      <w:ind w:left="960"/>
    </w:pPr>
    <w:rPr>
      <w:sz w:val="44"/>
    </w:rPr>
  </w:style>
  <w:style w:type="paragraph" w:styleId="8">
    <w:name w:val="Plain Text"/>
    <w:basedOn w:val="1"/>
    <w:qFormat/>
    <w:uiPriority w:val="0"/>
    <w:pPr>
      <w:adjustRightInd w:val="0"/>
      <w:snapToGrid w:val="0"/>
      <w:spacing w:line="360" w:lineRule="auto"/>
    </w:pPr>
    <w:rPr>
      <w:rFonts w:ascii="宋体" w:hAnsi="Courier New"/>
      <w:sz w:val="21"/>
    </w:rPr>
  </w:style>
  <w:style w:type="paragraph" w:styleId="9">
    <w:name w:val="Date"/>
    <w:basedOn w:val="1"/>
    <w:next w:val="1"/>
    <w:qFormat/>
    <w:uiPriority w:val="0"/>
  </w:style>
  <w:style w:type="paragraph" w:styleId="10">
    <w:name w:val="Balloon Text"/>
    <w:basedOn w:val="1"/>
    <w:link w:val="24"/>
    <w:qFormat/>
    <w:uiPriority w:val="0"/>
    <w:rPr>
      <w:sz w:val="18"/>
      <w:szCs w:val="18"/>
    </w:rPr>
  </w:style>
  <w:style w:type="paragraph" w:styleId="11">
    <w:name w:val="footer"/>
    <w:basedOn w:val="1"/>
    <w:qFormat/>
    <w:uiPriority w:val="99"/>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rPr>
  </w:style>
  <w:style w:type="paragraph" w:styleId="13">
    <w:name w:val="toc 1"/>
    <w:basedOn w:val="1"/>
    <w:next w:val="1"/>
    <w:qFormat/>
    <w:uiPriority w:val="39"/>
    <w:pPr>
      <w:tabs>
        <w:tab w:val="left" w:pos="1260"/>
        <w:tab w:val="left" w:pos="1685"/>
        <w:tab w:val="right" w:leader="dot" w:pos="8400"/>
      </w:tabs>
      <w:spacing w:line="320" w:lineRule="exact"/>
      <w:ind w:firstLine="280" w:firstLineChars="100"/>
    </w:pPr>
    <w:rPr>
      <w:b/>
    </w:rPr>
  </w:style>
  <w:style w:type="paragraph" w:styleId="14">
    <w:name w:val="toc 2"/>
    <w:basedOn w:val="1"/>
    <w:next w:val="1"/>
    <w:qFormat/>
    <w:uiPriority w:val="39"/>
    <w:pPr>
      <w:tabs>
        <w:tab w:val="right" w:leader="dot" w:pos="8400"/>
      </w:tabs>
      <w:spacing w:line="440" w:lineRule="exact"/>
      <w:ind w:left="280" w:leftChars="100" w:right="-91" w:rightChars="-91"/>
    </w:pPr>
  </w:style>
  <w:style w:type="paragraph" w:styleId="15">
    <w:name w:val="Normal (Web)"/>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character" w:styleId="18">
    <w:name w:val="Strong"/>
    <w:qFormat/>
    <w:uiPriority w:val="22"/>
    <w:rPr>
      <w:b/>
    </w:rPr>
  </w:style>
  <w:style w:type="character" w:styleId="19">
    <w:name w:val="page number"/>
    <w:qFormat/>
    <w:uiPriority w:val="0"/>
  </w:style>
  <w:style w:type="character" w:styleId="20">
    <w:name w:val="Emphasis"/>
    <w:qFormat/>
    <w:uiPriority w:val="0"/>
    <w:rPr>
      <w:i/>
    </w:rPr>
  </w:style>
  <w:style w:type="character" w:styleId="21">
    <w:name w:val="Hyperlink"/>
    <w:qFormat/>
    <w:uiPriority w:val="99"/>
    <w:rPr>
      <w:color w:val="0000FF"/>
      <w:u w:val="single"/>
    </w:rPr>
  </w:style>
  <w:style w:type="paragraph" w:styleId="22">
    <w:name w:val="List Paragraph"/>
    <w:basedOn w:val="1"/>
    <w:qFormat/>
    <w:uiPriority w:val="99"/>
    <w:pPr>
      <w:ind w:firstLine="420" w:firstLineChars="200"/>
    </w:pPr>
    <w:rPr>
      <w:sz w:val="21"/>
    </w:rPr>
  </w:style>
  <w:style w:type="character" w:customStyle="1" w:styleId="23">
    <w:name w:val="trnone1"/>
    <w:basedOn w:val="17"/>
    <w:qFormat/>
    <w:uiPriority w:val="0"/>
  </w:style>
  <w:style w:type="character" w:customStyle="1" w:styleId="24">
    <w:name w:val="批注框文本 字符"/>
    <w:basedOn w:val="17"/>
    <w:link w:val="10"/>
    <w:qFormat/>
    <w:uiPriority w:val="0"/>
    <w:rPr>
      <w:kern w:val="2"/>
      <w:sz w:val="18"/>
      <w:szCs w:val="18"/>
    </w:rPr>
  </w:style>
  <w:style w:type="paragraph" w:customStyle="1" w:styleId="25">
    <w:name w:val="Revision"/>
    <w:hidden/>
    <w:semiHidden/>
    <w:qFormat/>
    <w:uiPriority w:val="99"/>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64</Pages>
  <Words>863</Words>
  <Characters>929</Characters>
  <Lines>329</Lines>
  <Paragraphs>92</Paragraphs>
  <TotalTime>7</TotalTime>
  <ScaleCrop>false</ScaleCrop>
  <LinksUpToDate>false</LinksUpToDate>
  <CharactersWithSpaces>1113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2026-01-16T08:12:00Z</dcterms:created>
  <dc:creator>WPS_1689322806</dc:creator>
  <cp:lastModifiedBy>招标代理</cp:lastModifiedBy>
  <dcterms:modified xsi:type="dcterms:W3CDTF">2026-05-09T11:23:04Z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CEE3E94654174B41BD5C17D7F12A440A_13</vt:lpwstr>
  </property>
  <property fmtid="{D5CDD505-2E9C-101B-9397-08002B2CF9AE}" pid="4" name="KSOTemplateDocerSaveRecord">
    <vt:lpwstr>eyJoZGlkIjoiYzcyZDNhNDUyZDBhOTAzN2JhYjQ2ZWZmMThmMmYxNjQiLCJ1c2VySWQiOiIxMzE1MDMwNTI2In0=</vt:lpwstr>
  </property>
</Properties>
</file>