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891E41">
      <w:pPr>
        <w:pStyle w:val="2"/>
        <w:rPr>
          <w:color w:val="auto"/>
          <w:highlight w:val="none"/>
        </w:rPr>
      </w:pPr>
    </w:p>
    <w:p w14:paraId="095A730A">
      <w:pPr>
        <w:spacing w:line="276" w:lineRule="auto"/>
        <w:jc w:val="center"/>
        <w:outlineLvl w:val="0"/>
        <w:rPr>
          <w:rFonts w:ascii="方正黑体_GBK" w:hAnsi="宋体" w:eastAsia="方正黑体_GBK"/>
          <w:color w:val="auto"/>
          <w:sz w:val="100"/>
          <w:szCs w:val="100"/>
          <w:highlight w:val="none"/>
        </w:rPr>
      </w:pPr>
    </w:p>
    <w:p w14:paraId="6DFC0EC9">
      <w:pPr>
        <w:spacing w:line="276" w:lineRule="auto"/>
        <w:jc w:val="center"/>
        <w:outlineLvl w:val="0"/>
        <w:rPr>
          <w:rFonts w:ascii="方正黑体_GBK" w:hAnsi="宋体" w:eastAsia="方正黑体_GBK"/>
          <w:color w:val="auto"/>
          <w:sz w:val="130"/>
          <w:szCs w:val="130"/>
          <w:highlight w:val="none"/>
        </w:rPr>
      </w:pPr>
      <w:r>
        <w:rPr>
          <w:rFonts w:hint="eastAsia" w:ascii="方正黑体_GBK" w:hAnsi="宋体" w:eastAsia="方正黑体_GBK"/>
          <w:color w:val="auto"/>
          <w:sz w:val="130"/>
          <w:szCs w:val="130"/>
          <w:highlight w:val="none"/>
        </w:rPr>
        <w:t>招 标 文 件</w:t>
      </w:r>
    </w:p>
    <w:p w14:paraId="79D03226">
      <w:pPr>
        <w:pStyle w:val="10"/>
        <w:spacing w:line="276" w:lineRule="auto"/>
        <w:ind w:left="0"/>
        <w:jc w:val="center"/>
        <w:rPr>
          <w:rFonts w:ascii="方正仿宋_GBK" w:hAnsi="宋体" w:eastAsia="方正仿宋_GBK"/>
          <w:b/>
          <w:color w:val="auto"/>
          <w:sz w:val="24"/>
          <w:szCs w:val="24"/>
          <w:highlight w:val="none"/>
        </w:rPr>
      </w:pPr>
    </w:p>
    <w:p w14:paraId="4320C2D5">
      <w:pPr>
        <w:pStyle w:val="10"/>
        <w:spacing w:line="276" w:lineRule="auto"/>
        <w:ind w:left="0"/>
        <w:jc w:val="center"/>
        <w:rPr>
          <w:rFonts w:ascii="方正仿宋_GBK" w:hAnsi="宋体" w:eastAsia="方正仿宋_GBK"/>
          <w:b/>
          <w:color w:val="auto"/>
          <w:sz w:val="24"/>
          <w:szCs w:val="24"/>
          <w:highlight w:val="none"/>
        </w:rPr>
      </w:pPr>
    </w:p>
    <w:p w14:paraId="5ADF35ED">
      <w:pPr>
        <w:pStyle w:val="10"/>
        <w:spacing w:line="276" w:lineRule="auto"/>
        <w:ind w:left="0"/>
        <w:jc w:val="center"/>
        <w:rPr>
          <w:rFonts w:ascii="方正仿宋_GBK" w:hAnsi="宋体" w:eastAsia="方正仿宋_GBK"/>
          <w:b/>
          <w:color w:val="auto"/>
          <w:sz w:val="24"/>
          <w:szCs w:val="24"/>
          <w:highlight w:val="none"/>
        </w:rPr>
      </w:pPr>
    </w:p>
    <w:p w14:paraId="4024A90D">
      <w:pPr>
        <w:pStyle w:val="10"/>
        <w:spacing w:line="276" w:lineRule="auto"/>
        <w:ind w:left="0"/>
        <w:jc w:val="center"/>
        <w:rPr>
          <w:rFonts w:ascii="方正仿宋_GBK" w:hAnsi="宋体" w:eastAsia="方正仿宋_GBK"/>
          <w:b/>
          <w:color w:val="auto"/>
          <w:sz w:val="24"/>
          <w:szCs w:val="24"/>
          <w:highlight w:val="none"/>
        </w:rPr>
      </w:pPr>
    </w:p>
    <w:p w14:paraId="59763D66">
      <w:pPr>
        <w:pStyle w:val="10"/>
        <w:spacing w:line="276" w:lineRule="auto"/>
        <w:ind w:left="4200" w:leftChars="600" w:hanging="2520" w:hangingChars="700"/>
        <w:jc w:val="left"/>
        <w:rPr>
          <w:rFonts w:ascii="方正小标宋_GBK" w:hAnsi="宋体" w:eastAsia="方正小标宋_GBK"/>
          <w:color w:val="auto"/>
          <w:kern w:val="0"/>
          <w:sz w:val="36"/>
          <w:szCs w:val="36"/>
          <w:highlight w:val="none"/>
        </w:rPr>
      </w:pPr>
    </w:p>
    <w:p w14:paraId="281E5E8D">
      <w:pPr>
        <w:pStyle w:val="10"/>
        <w:spacing w:line="276" w:lineRule="auto"/>
        <w:ind w:left="4200" w:leftChars="600" w:hanging="2520" w:hangingChars="700"/>
        <w:jc w:val="left"/>
        <w:rPr>
          <w:rFonts w:ascii="方正小标宋_GBK" w:hAnsi="宋体" w:eastAsia="方正小标宋_GBK"/>
          <w:color w:val="auto"/>
          <w:kern w:val="0"/>
          <w:sz w:val="36"/>
          <w:szCs w:val="36"/>
          <w:highlight w:val="none"/>
        </w:rPr>
      </w:pPr>
    </w:p>
    <w:p w14:paraId="301E21AA">
      <w:pPr>
        <w:pStyle w:val="10"/>
        <w:spacing w:line="276" w:lineRule="auto"/>
        <w:ind w:left="4200" w:leftChars="600" w:hanging="2520" w:hangingChars="700"/>
        <w:jc w:val="left"/>
        <w:rPr>
          <w:rFonts w:ascii="方正小标宋_GBK" w:hAnsi="宋体" w:eastAsia="方正小标宋_GBK"/>
          <w:color w:val="auto"/>
          <w:kern w:val="0"/>
          <w:sz w:val="36"/>
          <w:szCs w:val="36"/>
          <w:highlight w:val="none"/>
        </w:rPr>
      </w:pPr>
      <w:r>
        <w:rPr>
          <w:rFonts w:hint="eastAsia" w:ascii="方正小标宋_GBK" w:hAnsi="宋体" w:eastAsia="方正小标宋_GBK"/>
          <w:color w:val="auto"/>
          <w:kern w:val="0"/>
          <w:sz w:val="36"/>
          <w:szCs w:val="36"/>
          <w:highlight w:val="none"/>
        </w:rPr>
        <w:t>采购项目编号：CTBU-JZ2025XXX</w:t>
      </w:r>
    </w:p>
    <w:p w14:paraId="0EFE3374">
      <w:pPr>
        <w:pStyle w:val="10"/>
        <w:spacing w:line="276" w:lineRule="auto"/>
        <w:ind w:left="4200" w:leftChars="600" w:hanging="2520" w:hangingChars="700"/>
        <w:jc w:val="left"/>
        <w:rPr>
          <w:rFonts w:hint="eastAsia" w:ascii="方正仿宋_GBK" w:hAnsi="宋体" w:eastAsia="方正小标宋_GBK"/>
          <w:b/>
          <w:color w:val="auto"/>
          <w:sz w:val="24"/>
          <w:szCs w:val="24"/>
          <w:highlight w:val="none"/>
          <w:lang w:eastAsia="zh-CN"/>
        </w:rPr>
      </w:pPr>
      <w:r>
        <w:rPr>
          <w:rFonts w:hint="eastAsia" w:ascii="方正小标宋_GBK" w:hAnsi="宋体" w:eastAsia="方正小标宋_GBK"/>
          <w:color w:val="auto"/>
          <w:kern w:val="0"/>
          <w:sz w:val="36"/>
          <w:szCs w:val="36"/>
          <w:highlight w:val="none"/>
        </w:rPr>
        <w:t>采购项目名称</w:t>
      </w:r>
      <w:bookmarkStart w:id="0" w:name="_Hlk68076217"/>
      <w:r>
        <w:rPr>
          <w:rFonts w:hint="eastAsia" w:ascii="方正小标宋_GBK" w:hAnsi="宋体" w:eastAsia="方正小标宋_GBK"/>
          <w:color w:val="auto"/>
          <w:kern w:val="0"/>
          <w:sz w:val="36"/>
          <w:szCs w:val="36"/>
          <w:highlight w:val="none"/>
        </w:rPr>
        <w:t>：重庆工商大学</w:t>
      </w:r>
      <w:bookmarkEnd w:id="0"/>
      <w:r>
        <w:rPr>
          <w:rFonts w:hint="eastAsia" w:ascii="方正小标宋_GBK" w:hAnsi="宋体" w:eastAsia="方正小标宋_GBK"/>
          <w:color w:val="auto"/>
          <w:kern w:val="0"/>
          <w:sz w:val="36"/>
          <w:szCs w:val="36"/>
          <w:highlight w:val="none"/>
        </w:rPr>
        <w:t>自营食堂大米面粉、食用油、鲜猪肉供应商采购项目</w:t>
      </w:r>
      <w:r>
        <w:rPr>
          <w:rFonts w:hint="eastAsia" w:ascii="方正小标宋_GBK" w:hAnsi="宋体" w:eastAsia="方正小标宋_GBK"/>
          <w:color w:val="auto"/>
          <w:kern w:val="0"/>
          <w:sz w:val="36"/>
          <w:szCs w:val="36"/>
          <w:highlight w:val="none"/>
          <w:lang w:eastAsia="zh-CN"/>
        </w:rPr>
        <w:t>（</w:t>
      </w:r>
      <w:r>
        <w:rPr>
          <w:rFonts w:hint="eastAsia" w:ascii="方正小标宋_GBK" w:hAnsi="宋体" w:eastAsia="方正小标宋_GBK"/>
          <w:color w:val="auto"/>
          <w:kern w:val="0"/>
          <w:sz w:val="36"/>
          <w:szCs w:val="36"/>
          <w:highlight w:val="none"/>
          <w:lang w:val="en-US" w:eastAsia="zh-CN"/>
        </w:rPr>
        <w:t>补遗版</w:t>
      </w:r>
      <w:r>
        <w:rPr>
          <w:rFonts w:hint="eastAsia" w:ascii="方正小标宋_GBK" w:hAnsi="宋体" w:eastAsia="方正小标宋_GBK"/>
          <w:color w:val="auto"/>
          <w:kern w:val="0"/>
          <w:sz w:val="36"/>
          <w:szCs w:val="36"/>
          <w:highlight w:val="none"/>
          <w:lang w:eastAsia="zh-CN"/>
        </w:rPr>
        <w:t>）</w:t>
      </w:r>
    </w:p>
    <w:p w14:paraId="4908A190">
      <w:pPr>
        <w:spacing w:line="276" w:lineRule="auto"/>
        <w:jc w:val="center"/>
        <w:rPr>
          <w:rFonts w:ascii="方正仿宋_GBK" w:hAnsi="宋体" w:eastAsia="方正仿宋_GBK"/>
          <w:b/>
          <w:color w:val="auto"/>
          <w:sz w:val="24"/>
          <w:szCs w:val="24"/>
          <w:highlight w:val="none"/>
        </w:rPr>
      </w:pPr>
    </w:p>
    <w:p w14:paraId="6B2AE288">
      <w:pPr>
        <w:pStyle w:val="14"/>
        <w:spacing w:line="276" w:lineRule="auto"/>
        <w:rPr>
          <w:rFonts w:ascii="方正仿宋_GBK" w:hAnsi="宋体" w:eastAsia="方正仿宋_GBK"/>
          <w:b/>
          <w:color w:val="auto"/>
          <w:sz w:val="24"/>
          <w:szCs w:val="24"/>
          <w:highlight w:val="none"/>
        </w:rPr>
      </w:pPr>
    </w:p>
    <w:p w14:paraId="674177B6">
      <w:pPr>
        <w:pStyle w:val="15"/>
        <w:spacing w:line="276" w:lineRule="auto"/>
        <w:rPr>
          <w:rFonts w:ascii="方正仿宋_GBK" w:hAnsi="宋体" w:eastAsia="方正仿宋_GBK"/>
          <w:b/>
          <w:color w:val="auto"/>
          <w:sz w:val="24"/>
          <w:szCs w:val="24"/>
          <w:highlight w:val="none"/>
        </w:rPr>
      </w:pPr>
    </w:p>
    <w:p w14:paraId="559A6825">
      <w:pPr>
        <w:spacing w:line="276" w:lineRule="auto"/>
        <w:rPr>
          <w:rFonts w:ascii="方正仿宋_GBK" w:hAnsi="宋体" w:eastAsia="方正仿宋_GBK"/>
          <w:b/>
          <w:color w:val="auto"/>
          <w:sz w:val="24"/>
          <w:szCs w:val="24"/>
          <w:highlight w:val="none"/>
        </w:rPr>
      </w:pPr>
    </w:p>
    <w:p w14:paraId="1F9A23EB">
      <w:pPr>
        <w:pStyle w:val="14"/>
        <w:spacing w:line="276" w:lineRule="auto"/>
        <w:rPr>
          <w:rFonts w:ascii="方正仿宋_GBK" w:hAnsi="宋体" w:eastAsia="方正仿宋_GBK"/>
          <w:b/>
          <w:color w:val="auto"/>
          <w:sz w:val="24"/>
          <w:szCs w:val="24"/>
          <w:highlight w:val="none"/>
        </w:rPr>
      </w:pPr>
    </w:p>
    <w:p w14:paraId="7760A4FE">
      <w:pPr>
        <w:pStyle w:val="15"/>
        <w:spacing w:line="276" w:lineRule="auto"/>
        <w:rPr>
          <w:rFonts w:ascii="方正仿宋_GBK" w:hAnsi="宋体" w:eastAsia="方正仿宋_GBK"/>
          <w:b/>
          <w:color w:val="auto"/>
          <w:sz w:val="24"/>
          <w:szCs w:val="24"/>
          <w:highlight w:val="none"/>
        </w:rPr>
      </w:pPr>
    </w:p>
    <w:p w14:paraId="51A68E12">
      <w:pPr>
        <w:rPr>
          <w:color w:val="auto"/>
          <w:highlight w:val="none"/>
        </w:rPr>
      </w:pPr>
    </w:p>
    <w:p w14:paraId="7DA534A8">
      <w:pPr>
        <w:spacing w:line="276" w:lineRule="auto"/>
        <w:ind w:firstLine="2880" w:firstLineChars="800"/>
        <w:outlineLvl w:val="0"/>
        <w:rPr>
          <w:rFonts w:ascii="方正小标宋_GBK" w:hAnsi="宋体" w:eastAsia="方正小标宋_GBK"/>
          <w:bCs/>
          <w:color w:val="auto"/>
          <w:kern w:val="0"/>
          <w:sz w:val="36"/>
          <w:szCs w:val="36"/>
          <w:highlight w:val="none"/>
        </w:rPr>
      </w:pPr>
    </w:p>
    <w:p w14:paraId="45E2155B">
      <w:pPr>
        <w:spacing w:line="276" w:lineRule="auto"/>
        <w:ind w:firstLine="2880" w:firstLineChars="800"/>
        <w:outlineLvl w:val="0"/>
        <w:rPr>
          <w:rFonts w:ascii="方正小标宋_GBK" w:hAnsi="宋体" w:eastAsia="方正小标宋_GBK"/>
          <w:bCs/>
          <w:color w:val="auto"/>
          <w:kern w:val="0"/>
          <w:sz w:val="36"/>
          <w:szCs w:val="36"/>
          <w:highlight w:val="none"/>
        </w:rPr>
      </w:pPr>
      <w:r>
        <w:rPr>
          <w:rFonts w:hint="eastAsia" w:ascii="方正小标宋_GBK" w:hAnsi="宋体" w:eastAsia="方正小标宋_GBK"/>
          <w:bCs/>
          <w:color w:val="auto"/>
          <w:kern w:val="0"/>
          <w:sz w:val="36"/>
          <w:szCs w:val="36"/>
          <w:highlight w:val="none"/>
        </w:rPr>
        <w:t>采购人：重庆工商大学</w:t>
      </w:r>
    </w:p>
    <w:p w14:paraId="0D5A1582">
      <w:pPr>
        <w:snapToGrid w:val="0"/>
        <w:spacing w:line="276" w:lineRule="auto"/>
        <w:jc w:val="center"/>
        <w:rPr>
          <w:rFonts w:ascii="方正小标宋_GBK" w:hAnsi="宋体" w:eastAsia="方正小标宋_GBK"/>
          <w:b/>
          <w:color w:val="auto"/>
          <w:kern w:val="0"/>
          <w:sz w:val="36"/>
          <w:szCs w:val="36"/>
          <w:highlight w:val="none"/>
        </w:rPr>
      </w:pPr>
      <w:r>
        <w:rPr>
          <w:rFonts w:hint="eastAsia" w:ascii="方正小标宋_GBK" w:hAnsi="宋体" w:eastAsia="方正小标宋_GBK"/>
          <w:bCs/>
          <w:color w:val="auto"/>
          <w:kern w:val="0"/>
          <w:sz w:val="36"/>
          <w:szCs w:val="36"/>
          <w:highlight w:val="none"/>
        </w:rPr>
        <w:t>二○二五年七月</w:t>
      </w:r>
    </w:p>
    <w:p w14:paraId="7B0D0D87">
      <w:pPr>
        <w:snapToGrid w:val="0"/>
        <w:spacing w:line="276" w:lineRule="auto"/>
        <w:rPr>
          <w:rFonts w:ascii="方正仿宋_GBK" w:hAnsi="宋体" w:eastAsia="方正仿宋_GBK"/>
          <w:color w:val="auto"/>
          <w:sz w:val="24"/>
          <w:szCs w:val="24"/>
          <w:highlight w:val="none"/>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677480B4">
      <w:pPr>
        <w:snapToGrid w:val="0"/>
        <w:spacing w:line="276" w:lineRule="auto"/>
        <w:jc w:val="center"/>
        <w:rPr>
          <w:rFonts w:ascii="方正仿宋_GBK" w:hAnsi="宋体" w:eastAsia="方正仿宋_GBK"/>
          <w:b/>
          <w:color w:val="auto"/>
          <w:szCs w:val="28"/>
          <w:highlight w:val="none"/>
        </w:rPr>
      </w:pPr>
      <w:r>
        <w:rPr>
          <w:rFonts w:hint="eastAsia" w:ascii="方正仿宋_GBK" w:hAnsi="宋体" w:eastAsia="方正仿宋_GBK"/>
          <w:b/>
          <w:color w:val="auto"/>
          <w:szCs w:val="28"/>
          <w:highlight w:val="none"/>
        </w:rPr>
        <w:t>目  录</w:t>
      </w:r>
    </w:p>
    <w:p w14:paraId="25F58150">
      <w:pPr>
        <w:pStyle w:val="17"/>
        <w:tabs>
          <w:tab w:val="right" w:leader="dot" w:pos="9412"/>
          <w:tab w:val="clear" w:pos="1260"/>
          <w:tab w:val="clear" w:pos="1685"/>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color w:val="auto"/>
          <w:szCs w:val="28"/>
          <w:highlight w:val="none"/>
        </w:rPr>
        <w:instrText xml:space="preserve"> TOC \o "1-2" \h \z </w:instrText>
      </w:r>
      <w:r>
        <w:rPr>
          <w:rFonts w:hint="eastAsia" w:ascii="方正仿宋_GBK" w:hAnsi="宋体" w:eastAsia="方正仿宋_GBK"/>
          <w:color w:val="auto"/>
          <w:szCs w:val="28"/>
          <w:highlight w:val="none"/>
        </w:rPr>
        <w:fldChar w:fldCharType="separate"/>
      </w: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_Toc29614 </w:instrText>
      </w:r>
      <w:r>
        <w:rPr>
          <w:rFonts w:hint="eastAsia" w:ascii="方正仿宋_GBK" w:hAnsi="宋体" w:eastAsia="方正仿宋_GBK"/>
          <w:szCs w:val="28"/>
          <w:highlight w:val="none"/>
        </w:rPr>
        <w:fldChar w:fldCharType="separate"/>
      </w:r>
      <w:r>
        <w:rPr>
          <w:rFonts w:hint="eastAsia" w:ascii="方正仿宋_GBK" w:hAnsi="宋体" w:eastAsia="方正仿宋_GBK"/>
          <w:szCs w:val="44"/>
          <w:highlight w:val="none"/>
        </w:rPr>
        <w:t>第一篇  投标邀请书</w:t>
      </w:r>
      <w:r>
        <w:tab/>
      </w:r>
      <w:r>
        <w:fldChar w:fldCharType="begin"/>
      </w:r>
      <w:r>
        <w:instrText xml:space="preserve"> PAGEREF _Toc29614 \h </w:instrText>
      </w:r>
      <w:r>
        <w:fldChar w:fldCharType="separate"/>
      </w:r>
      <w:r>
        <w:t>- 3 -</w:t>
      </w:r>
      <w:r>
        <w:fldChar w:fldCharType="end"/>
      </w:r>
      <w:r>
        <w:rPr>
          <w:rFonts w:hint="eastAsia" w:ascii="方正仿宋_GBK" w:hAnsi="宋体" w:eastAsia="方正仿宋_GBK"/>
          <w:color w:val="auto"/>
          <w:szCs w:val="28"/>
          <w:highlight w:val="none"/>
        </w:rPr>
        <w:fldChar w:fldCharType="end"/>
      </w:r>
    </w:p>
    <w:p w14:paraId="796DB183">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_Toc26446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一、招标项目内容</w:t>
      </w:r>
      <w:r>
        <w:tab/>
      </w:r>
      <w:r>
        <w:fldChar w:fldCharType="begin"/>
      </w:r>
      <w:r>
        <w:instrText xml:space="preserve"> PAGEREF _Toc26446 \h </w:instrText>
      </w:r>
      <w:r>
        <w:fldChar w:fldCharType="separate"/>
      </w:r>
      <w:r>
        <w:t>- 3 -</w:t>
      </w:r>
      <w:r>
        <w:fldChar w:fldCharType="end"/>
      </w:r>
      <w:r>
        <w:rPr>
          <w:rFonts w:hint="eastAsia" w:ascii="方正仿宋_GBK" w:hAnsi="宋体" w:eastAsia="方正仿宋_GBK"/>
          <w:color w:val="auto"/>
          <w:szCs w:val="28"/>
          <w:highlight w:val="none"/>
        </w:rPr>
        <w:fldChar w:fldCharType="end"/>
      </w:r>
    </w:p>
    <w:p w14:paraId="6B714DA3">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_Toc25174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二、资金来源</w:t>
      </w:r>
      <w:r>
        <w:tab/>
      </w:r>
      <w:r>
        <w:fldChar w:fldCharType="begin"/>
      </w:r>
      <w:r>
        <w:instrText xml:space="preserve"> PAGEREF _Toc25174 \h </w:instrText>
      </w:r>
      <w:r>
        <w:fldChar w:fldCharType="separate"/>
      </w:r>
      <w:r>
        <w:t>- 3 -</w:t>
      </w:r>
      <w:r>
        <w:fldChar w:fldCharType="end"/>
      </w:r>
      <w:r>
        <w:rPr>
          <w:rFonts w:hint="eastAsia" w:ascii="方正仿宋_GBK" w:hAnsi="宋体" w:eastAsia="方正仿宋_GBK"/>
          <w:color w:val="auto"/>
          <w:szCs w:val="28"/>
          <w:highlight w:val="none"/>
        </w:rPr>
        <w:fldChar w:fldCharType="end"/>
      </w:r>
    </w:p>
    <w:p w14:paraId="00FF5CB8">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_Toc22710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三、供应商资格要求</w:t>
      </w:r>
      <w:r>
        <w:tab/>
      </w:r>
      <w:r>
        <w:fldChar w:fldCharType="begin"/>
      </w:r>
      <w:r>
        <w:instrText xml:space="preserve"> PAGEREF _Toc22710 \h </w:instrText>
      </w:r>
      <w:r>
        <w:fldChar w:fldCharType="separate"/>
      </w:r>
      <w:r>
        <w:t>- 3 -</w:t>
      </w:r>
      <w:r>
        <w:fldChar w:fldCharType="end"/>
      </w:r>
      <w:r>
        <w:rPr>
          <w:rFonts w:hint="eastAsia" w:ascii="方正仿宋_GBK" w:hAnsi="宋体" w:eastAsia="方正仿宋_GBK"/>
          <w:color w:val="auto"/>
          <w:szCs w:val="28"/>
          <w:highlight w:val="none"/>
        </w:rPr>
        <w:fldChar w:fldCharType="end"/>
      </w:r>
    </w:p>
    <w:p w14:paraId="7478193E">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_Toc17314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五、招标文件购买费、投标保证金</w:t>
      </w:r>
      <w:r>
        <w:tab/>
      </w:r>
      <w:r>
        <w:fldChar w:fldCharType="begin"/>
      </w:r>
      <w:r>
        <w:instrText xml:space="preserve"> PAGEREF _Toc17314 \h </w:instrText>
      </w:r>
      <w:r>
        <w:fldChar w:fldCharType="separate"/>
      </w:r>
      <w:r>
        <w:t>- 4 -</w:t>
      </w:r>
      <w:r>
        <w:fldChar w:fldCharType="end"/>
      </w:r>
      <w:r>
        <w:rPr>
          <w:rFonts w:hint="eastAsia" w:ascii="方正仿宋_GBK" w:hAnsi="宋体" w:eastAsia="方正仿宋_GBK"/>
          <w:color w:val="auto"/>
          <w:szCs w:val="28"/>
          <w:highlight w:val="none"/>
        </w:rPr>
        <w:fldChar w:fldCharType="end"/>
      </w:r>
    </w:p>
    <w:p w14:paraId="6BC7B71D">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_Toc19304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六、投标有关规定</w:t>
      </w:r>
      <w:r>
        <w:tab/>
      </w:r>
      <w:r>
        <w:fldChar w:fldCharType="begin"/>
      </w:r>
      <w:r>
        <w:instrText xml:space="preserve"> PAGEREF _Toc19304 \h </w:instrText>
      </w:r>
      <w:r>
        <w:fldChar w:fldCharType="separate"/>
      </w:r>
      <w:r>
        <w:t>- 5 -</w:t>
      </w:r>
      <w:r>
        <w:fldChar w:fldCharType="end"/>
      </w:r>
      <w:r>
        <w:rPr>
          <w:rFonts w:hint="eastAsia" w:ascii="方正仿宋_GBK" w:hAnsi="宋体" w:eastAsia="方正仿宋_GBK"/>
          <w:color w:val="auto"/>
          <w:szCs w:val="28"/>
          <w:highlight w:val="none"/>
        </w:rPr>
        <w:fldChar w:fldCharType="end"/>
      </w:r>
    </w:p>
    <w:p w14:paraId="061D830C">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_Toc618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七、联系方式</w:t>
      </w:r>
      <w:r>
        <w:tab/>
      </w:r>
      <w:r>
        <w:fldChar w:fldCharType="begin"/>
      </w:r>
      <w:r>
        <w:instrText xml:space="preserve"> PAGEREF _Toc618 \h </w:instrText>
      </w:r>
      <w:r>
        <w:fldChar w:fldCharType="separate"/>
      </w:r>
      <w:r>
        <w:t>- 5 -</w:t>
      </w:r>
      <w:r>
        <w:fldChar w:fldCharType="end"/>
      </w:r>
      <w:r>
        <w:rPr>
          <w:rFonts w:hint="eastAsia" w:ascii="方正仿宋_GBK" w:hAnsi="宋体" w:eastAsia="方正仿宋_GBK"/>
          <w:color w:val="auto"/>
          <w:szCs w:val="28"/>
          <w:highlight w:val="none"/>
        </w:rPr>
        <w:fldChar w:fldCharType="end"/>
      </w:r>
    </w:p>
    <w:p w14:paraId="56B3E323">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_Toc14999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八、现场踏勘</w:t>
      </w:r>
      <w:r>
        <w:tab/>
      </w:r>
      <w:r>
        <w:fldChar w:fldCharType="begin"/>
      </w:r>
      <w:r>
        <w:instrText xml:space="preserve"> PAGEREF _Toc14999 \h </w:instrText>
      </w:r>
      <w:r>
        <w:fldChar w:fldCharType="separate"/>
      </w:r>
      <w:r>
        <w:t>- 5 -</w:t>
      </w:r>
      <w:r>
        <w:fldChar w:fldCharType="end"/>
      </w:r>
      <w:r>
        <w:rPr>
          <w:rFonts w:hint="eastAsia" w:ascii="方正仿宋_GBK" w:hAnsi="宋体" w:eastAsia="方正仿宋_GBK"/>
          <w:color w:val="auto"/>
          <w:szCs w:val="28"/>
          <w:highlight w:val="none"/>
        </w:rPr>
        <w:fldChar w:fldCharType="end"/>
      </w:r>
    </w:p>
    <w:p w14:paraId="4F51ECD0">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_Toc25063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九、其他要求</w:t>
      </w:r>
      <w:r>
        <w:tab/>
      </w:r>
      <w:r>
        <w:fldChar w:fldCharType="begin"/>
      </w:r>
      <w:r>
        <w:instrText xml:space="preserve"> PAGEREF _Toc25063 \h </w:instrText>
      </w:r>
      <w:r>
        <w:fldChar w:fldCharType="separate"/>
      </w:r>
      <w:r>
        <w:t>- 6 -</w:t>
      </w:r>
      <w:r>
        <w:fldChar w:fldCharType="end"/>
      </w:r>
      <w:r>
        <w:rPr>
          <w:rFonts w:hint="eastAsia" w:ascii="方正仿宋_GBK" w:hAnsi="宋体" w:eastAsia="方正仿宋_GBK"/>
          <w:color w:val="auto"/>
          <w:szCs w:val="28"/>
          <w:highlight w:val="none"/>
        </w:rPr>
        <w:fldChar w:fldCharType="end"/>
      </w:r>
    </w:p>
    <w:p w14:paraId="43D8E569">
      <w:pPr>
        <w:pStyle w:val="17"/>
        <w:tabs>
          <w:tab w:val="right" w:leader="dot" w:pos="9412"/>
          <w:tab w:val="clear" w:pos="1260"/>
          <w:tab w:val="clear" w:pos="1685"/>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_Toc1570 </w:instrText>
      </w:r>
      <w:r>
        <w:rPr>
          <w:rFonts w:hint="eastAsia" w:ascii="方正仿宋_GBK" w:hAnsi="宋体" w:eastAsia="方正仿宋_GBK"/>
          <w:szCs w:val="28"/>
          <w:highlight w:val="none"/>
        </w:rPr>
        <w:fldChar w:fldCharType="separate"/>
      </w:r>
      <w:r>
        <w:rPr>
          <w:rFonts w:hint="eastAsia" w:ascii="方正仿宋_GBK" w:hAnsi="宋体" w:eastAsia="方正仿宋_GBK"/>
          <w:szCs w:val="44"/>
          <w:highlight w:val="none"/>
        </w:rPr>
        <w:t>第二篇  项目服务要求</w:t>
      </w:r>
      <w:r>
        <w:tab/>
      </w:r>
      <w:r>
        <w:fldChar w:fldCharType="begin"/>
      </w:r>
      <w:r>
        <w:instrText xml:space="preserve"> PAGEREF _Toc1570 \h </w:instrText>
      </w:r>
      <w:r>
        <w:fldChar w:fldCharType="separate"/>
      </w:r>
      <w:r>
        <w:t>- 7 -</w:t>
      </w:r>
      <w:r>
        <w:fldChar w:fldCharType="end"/>
      </w:r>
      <w:r>
        <w:rPr>
          <w:rFonts w:hint="eastAsia" w:ascii="方正仿宋_GBK" w:hAnsi="宋体" w:eastAsia="方正仿宋_GBK"/>
          <w:color w:val="auto"/>
          <w:szCs w:val="28"/>
          <w:highlight w:val="none"/>
        </w:rPr>
        <w:fldChar w:fldCharType="end"/>
      </w:r>
    </w:p>
    <w:p w14:paraId="2287B6CC">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_Toc28125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一、招标项目一览表</w:t>
      </w:r>
      <w:r>
        <w:tab/>
      </w:r>
      <w:r>
        <w:fldChar w:fldCharType="begin"/>
      </w:r>
      <w:r>
        <w:instrText xml:space="preserve"> PAGEREF _Toc28125 \h </w:instrText>
      </w:r>
      <w:r>
        <w:fldChar w:fldCharType="separate"/>
      </w:r>
      <w:r>
        <w:t>- 7 -</w:t>
      </w:r>
      <w:r>
        <w:fldChar w:fldCharType="end"/>
      </w:r>
      <w:r>
        <w:rPr>
          <w:rFonts w:hint="eastAsia" w:ascii="方正仿宋_GBK" w:hAnsi="宋体" w:eastAsia="方正仿宋_GBK"/>
          <w:color w:val="auto"/>
          <w:szCs w:val="28"/>
          <w:highlight w:val="none"/>
        </w:rPr>
        <w:fldChar w:fldCharType="end"/>
      </w:r>
    </w:p>
    <w:p w14:paraId="6B4412D6">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_Toc4249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二、包1品质要求</w:t>
      </w:r>
      <w:r>
        <w:tab/>
      </w:r>
      <w:r>
        <w:fldChar w:fldCharType="begin"/>
      </w:r>
      <w:r>
        <w:instrText xml:space="preserve"> PAGEREF _Toc4249 \h </w:instrText>
      </w:r>
      <w:r>
        <w:fldChar w:fldCharType="separate"/>
      </w:r>
      <w:r>
        <w:t>- 9 -</w:t>
      </w:r>
      <w:r>
        <w:fldChar w:fldCharType="end"/>
      </w:r>
      <w:r>
        <w:rPr>
          <w:rFonts w:hint="eastAsia" w:ascii="方正仿宋_GBK" w:hAnsi="宋体" w:eastAsia="方正仿宋_GBK"/>
          <w:color w:val="auto"/>
          <w:szCs w:val="28"/>
          <w:highlight w:val="none"/>
        </w:rPr>
        <w:fldChar w:fldCharType="end"/>
      </w:r>
    </w:p>
    <w:p w14:paraId="3A16916C">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_Toc21776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三、包2</w:t>
      </w:r>
      <w:r>
        <w:rPr>
          <w:rFonts w:hint="eastAsia" w:ascii="方正仿宋_GBK" w:eastAsia="方正仿宋_GBK"/>
          <w:bCs/>
          <w:szCs w:val="24"/>
          <w:highlight w:val="none"/>
        </w:rPr>
        <w:t>产品质量</w:t>
      </w:r>
      <w:r>
        <w:rPr>
          <w:rFonts w:hint="eastAsia" w:ascii="方正仿宋_GBK" w:eastAsia="方正仿宋_GBK"/>
          <w:szCs w:val="24"/>
          <w:highlight w:val="none"/>
        </w:rPr>
        <w:t>要求</w:t>
      </w:r>
      <w:r>
        <w:tab/>
      </w:r>
      <w:r>
        <w:fldChar w:fldCharType="begin"/>
      </w:r>
      <w:r>
        <w:instrText xml:space="preserve"> PAGEREF _Toc21776 \h </w:instrText>
      </w:r>
      <w:r>
        <w:fldChar w:fldCharType="separate"/>
      </w:r>
      <w:r>
        <w:t>- 9 -</w:t>
      </w:r>
      <w:r>
        <w:fldChar w:fldCharType="end"/>
      </w:r>
      <w:r>
        <w:rPr>
          <w:rFonts w:hint="eastAsia" w:ascii="方正仿宋_GBK" w:hAnsi="宋体" w:eastAsia="方正仿宋_GBK"/>
          <w:color w:val="auto"/>
          <w:szCs w:val="28"/>
          <w:highlight w:val="none"/>
        </w:rPr>
        <w:fldChar w:fldCharType="end"/>
      </w:r>
    </w:p>
    <w:p w14:paraId="06BE388E">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_Toc4694 </w:instrText>
      </w:r>
      <w:r>
        <w:rPr>
          <w:rFonts w:hint="eastAsia" w:ascii="方正仿宋_GBK" w:hAnsi="宋体" w:eastAsia="方正仿宋_GBK"/>
          <w:szCs w:val="28"/>
          <w:highlight w:val="none"/>
        </w:rPr>
        <w:fldChar w:fldCharType="separate"/>
      </w:r>
      <w:r>
        <w:rPr>
          <w:rFonts w:hint="eastAsia" w:ascii="方正仿宋_GBK" w:eastAsia="方正仿宋_GBK"/>
          <w:bCs/>
          <w:szCs w:val="24"/>
          <w:highlight w:val="none"/>
        </w:rPr>
        <w:t>四、包3产品质量</w:t>
      </w:r>
      <w:r>
        <w:rPr>
          <w:rFonts w:hint="eastAsia" w:ascii="方正仿宋_GBK" w:eastAsia="方正仿宋_GBK"/>
          <w:szCs w:val="24"/>
          <w:highlight w:val="none"/>
        </w:rPr>
        <w:t>要求</w:t>
      </w:r>
      <w:r>
        <w:tab/>
      </w:r>
      <w:r>
        <w:fldChar w:fldCharType="begin"/>
      </w:r>
      <w:r>
        <w:instrText xml:space="preserve"> PAGEREF _Toc4694 \h </w:instrText>
      </w:r>
      <w:r>
        <w:fldChar w:fldCharType="separate"/>
      </w:r>
      <w:r>
        <w:t>- 9 -</w:t>
      </w:r>
      <w:r>
        <w:fldChar w:fldCharType="end"/>
      </w:r>
      <w:r>
        <w:rPr>
          <w:rFonts w:hint="eastAsia" w:ascii="方正仿宋_GBK" w:hAnsi="宋体" w:eastAsia="方正仿宋_GBK"/>
          <w:color w:val="auto"/>
          <w:szCs w:val="28"/>
          <w:highlight w:val="none"/>
        </w:rPr>
        <w:fldChar w:fldCharType="end"/>
      </w:r>
    </w:p>
    <w:p w14:paraId="7D067A91">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_Toc18547 </w:instrText>
      </w:r>
      <w:r>
        <w:rPr>
          <w:rFonts w:hint="eastAsia" w:ascii="方正仿宋_GBK" w:hAnsi="宋体" w:eastAsia="方正仿宋_GBK"/>
          <w:szCs w:val="28"/>
          <w:highlight w:val="none"/>
        </w:rPr>
        <w:fldChar w:fldCharType="separate"/>
      </w:r>
      <w:r>
        <w:rPr>
          <w:rFonts w:hint="eastAsia" w:ascii="方正仿宋_GBK" w:eastAsia="方正仿宋_GBK"/>
          <w:bCs/>
          <w:szCs w:val="24"/>
          <w:highlight w:val="none"/>
        </w:rPr>
        <w:t>五、其他要求</w:t>
      </w:r>
      <w:r>
        <w:tab/>
      </w:r>
      <w:r>
        <w:fldChar w:fldCharType="begin"/>
      </w:r>
      <w:r>
        <w:instrText xml:space="preserve"> PAGEREF _Toc18547 \h </w:instrText>
      </w:r>
      <w:r>
        <w:fldChar w:fldCharType="separate"/>
      </w:r>
      <w:r>
        <w:t>- 10 -</w:t>
      </w:r>
      <w:r>
        <w:fldChar w:fldCharType="end"/>
      </w:r>
      <w:r>
        <w:rPr>
          <w:rFonts w:hint="eastAsia" w:ascii="方正仿宋_GBK" w:hAnsi="宋体" w:eastAsia="方正仿宋_GBK"/>
          <w:color w:val="auto"/>
          <w:szCs w:val="28"/>
          <w:highlight w:val="none"/>
        </w:rPr>
        <w:fldChar w:fldCharType="end"/>
      </w:r>
    </w:p>
    <w:p w14:paraId="1614036D">
      <w:pPr>
        <w:pStyle w:val="17"/>
        <w:tabs>
          <w:tab w:val="right" w:leader="dot" w:pos="9412"/>
          <w:tab w:val="clear" w:pos="1260"/>
          <w:tab w:val="clear" w:pos="1685"/>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_Toc29309 </w:instrText>
      </w:r>
      <w:r>
        <w:rPr>
          <w:rFonts w:hint="eastAsia" w:ascii="方正仿宋_GBK" w:hAnsi="宋体" w:eastAsia="方正仿宋_GBK"/>
          <w:szCs w:val="28"/>
          <w:highlight w:val="none"/>
        </w:rPr>
        <w:fldChar w:fldCharType="separate"/>
      </w:r>
      <w:r>
        <w:rPr>
          <w:rFonts w:hint="eastAsia" w:ascii="方正仿宋_GBK" w:hAnsi="宋体" w:eastAsia="方正仿宋_GBK"/>
          <w:szCs w:val="44"/>
          <w:highlight w:val="none"/>
        </w:rPr>
        <w:t>第三篇  项目商务要求</w:t>
      </w:r>
      <w:r>
        <w:tab/>
      </w:r>
      <w:r>
        <w:fldChar w:fldCharType="begin"/>
      </w:r>
      <w:r>
        <w:instrText xml:space="preserve"> PAGEREF _Toc29309 \h </w:instrText>
      </w:r>
      <w:r>
        <w:fldChar w:fldCharType="separate"/>
      </w:r>
      <w:r>
        <w:t>- 11 -</w:t>
      </w:r>
      <w:r>
        <w:fldChar w:fldCharType="end"/>
      </w:r>
      <w:r>
        <w:rPr>
          <w:rFonts w:hint="eastAsia" w:ascii="方正仿宋_GBK" w:hAnsi="宋体" w:eastAsia="方正仿宋_GBK"/>
          <w:color w:val="auto"/>
          <w:szCs w:val="28"/>
          <w:highlight w:val="none"/>
        </w:rPr>
        <w:fldChar w:fldCharType="end"/>
      </w:r>
    </w:p>
    <w:p w14:paraId="4A0D541B">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_Toc3246 </w:instrText>
      </w:r>
      <w:r>
        <w:rPr>
          <w:rFonts w:hint="eastAsia" w:ascii="方正仿宋_GBK" w:hAnsi="宋体" w:eastAsia="方正仿宋_GBK"/>
          <w:szCs w:val="28"/>
          <w:highlight w:val="none"/>
        </w:rPr>
        <w:fldChar w:fldCharType="separate"/>
      </w:r>
      <w:r>
        <w:rPr>
          <w:rFonts w:hint="eastAsia" w:ascii="方正仿宋_GBK" w:hAnsi="方正仿宋_GBK" w:eastAsia="方正仿宋_GBK" w:cs="方正仿宋_GBK"/>
          <w:szCs w:val="24"/>
          <w:highlight w:val="none"/>
        </w:rPr>
        <w:t>一、供货期、供货时间、供货地点及验收方式</w:t>
      </w:r>
      <w:r>
        <w:tab/>
      </w:r>
      <w:r>
        <w:fldChar w:fldCharType="begin"/>
      </w:r>
      <w:r>
        <w:instrText xml:space="preserve"> PAGEREF _Toc3246 \h </w:instrText>
      </w:r>
      <w:r>
        <w:fldChar w:fldCharType="separate"/>
      </w:r>
      <w:r>
        <w:t>- 11 -</w:t>
      </w:r>
      <w:r>
        <w:fldChar w:fldCharType="end"/>
      </w:r>
      <w:r>
        <w:rPr>
          <w:rFonts w:hint="eastAsia" w:ascii="方正仿宋_GBK" w:hAnsi="宋体" w:eastAsia="方正仿宋_GBK"/>
          <w:color w:val="auto"/>
          <w:szCs w:val="28"/>
          <w:highlight w:val="none"/>
        </w:rPr>
        <w:fldChar w:fldCharType="end"/>
      </w:r>
    </w:p>
    <w:p w14:paraId="3522BEB5">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_Toc15583 </w:instrText>
      </w:r>
      <w:r>
        <w:rPr>
          <w:rFonts w:hint="eastAsia" w:ascii="方正仿宋_GBK" w:hAnsi="宋体" w:eastAsia="方正仿宋_GBK"/>
          <w:szCs w:val="28"/>
          <w:highlight w:val="none"/>
        </w:rPr>
        <w:fldChar w:fldCharType="separate"/>
      </w:r>
      <w:r>
        <w:rPr>
          <w:rFonts w:hint="eastAsia" w:ascii="方正仿宋_GBK" w:hAnsi="方正仿宋_GBK" w:eastAsia="方正仿宋_GBK" w:cs="方正仿宋_GBK"/>
          <w:szCs w:val="24"/>
          <w:highlight w:val="none"/>
        </w:rPr>
        <w:t>二、报价要求</w:t>
      </w:r>
      <w:r>
        <w:tab/>
      </w:r>
      <w:r>
        <w:fldChar w:fldCharType="begin"/>
      </w:r>
      <w:r>
        <w:instrText xml:space="preserve"> PAGEREF _Toc15583 \h </w:instrText>
      </w:r>
      <w:r>
        <w:fldChar w:fldCharType="separate"/>
      </w:r>
      <w:r>
        <w:t>- 13 -</w:t>
      </w:r>
      <w:r>
        <w:fldChar w:fldCharType="end"/>
      </w:r>
      <w:r>
        <w:rPr>
          <w:rFonts w:hint="eastAsia" w:ascii="方正仿宋_GBK" w:hAnsi="宋体" w:eastAsia="方正仿宋_GBK"/>
          <w:color w:val="auto"/>
          <w:szCs w:val="28"/>
          <w:highlight w:val="none"/>
        </w:rPr>
        <w:fldChar w:fldCharType="end"/>
      </w:r>
    </w:p>
    <w:p w14:paraId="5EE833A2">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_Toc6381 </w:instrText>
      </w:r>
      <w:r>
        <w:rPr>
          <w:rFonts w:hint="eastAsia" w:ascii="方正仿宋_GBK" w:hAnsi="宋体" w:eastAsia="方正仿宋_GBK"/>
          <w:szCs w:val="28"/>
          <w:highlight w:val="none"/>
        </w:rPr>
        <w:fldChar w:fldCharType="separate"/>
      </w:r>
      <w:r>
        <w:rPr>
          <w:rFonts w:hint="eastAsia" w:ascii="方正仿宋_GBK" w:hAnsi="方正仿宋_GBK" w:eastAsia="方正仿宋_GBK" w:cs="方正仿宋_GBK"/>
          <w:szCs w:val="24"/>
          <w:highlight w:val="none"/>
        </w:rPr>
        <w:t>三、质量保证与服务要求</w:t>
      </w:r>
      <w:r>
        <w:tab/>
      </w:r>
      <w:r>
        <w:fldChar w:fldCharType="begin"/>
      </w:r>
      <w:r>
        <w:instrText xml:space="preserve"> PAGEREF _Toc6381 \h </w:instrText>
      </w:r>
      <w:r>
        <w:fldChar w:fldCharType="separate"/>
      </w:r>
      <w:r>
        <w:t>- 13 -</w:t>
      </w:r>
      <w:r>
        <w:fldChar w:fldCharType="end"/>
      </w:r>
      <w:r>
        <w:rPr>
          <w:rFonts w:hint="eastAsia" w:ascii="方正仿宋_GBK" w:hAnsi="宋体" w:eastAsia="方正仿宋_GBK"/>
          <w:color w:val="auto"/>
          <w:szCs w:val="28"/>
          <w:highlight w:val="none"/>
        </w:rPr>
        <w:fldChar w:fldCharType="end"/>
      </w:r>
    </w:p>
    <w:p w14:paraId="6E7234A9">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_Toc17429 </w:instrText>
      </w:r>
      <w:r>
        <w:rPr>
          <w:rFonts w:hint="eastAsia" w:ascii="方正仿宋_GBK" w:hAnsi="宋体" w:eastAsia="方正仿宋_GBK"/>
          <w:szCs w:val="28"/>
          <w:highlight w:val="none"/>
        </w:rPr>
        <w:fldChar w:fldCharType="separate"/>
      </w:r>
      <w:r>
        <w:rPr>
          <w:rFonts w:hint="eastAsia" w:ascii="方正仿宋_GBK" w:hAnsi="方正仿宋_GBK" w:eastAsia="方正仿宋_GBK" w:cs="方正仿宋_GBK"/>
          <w:szCs w:val="24"/>
          <w:highlight w:val="none"/>
        </w:rPr>
        <w:t>四、履约保证金</w:t>
      </w:r>
      <w:r>
        <w:tab/>
      </w:r>
      <w:r>
        <w:fldChar w:fldCharType="begin"/>
      </w:r>
      <w:r>
        <w:instrText xml:space="preserve"> PAGEREF _Toc17429 \h </w:instrText>
      </w:r>
      <w:r>
        <w:fldChar w:fldCharType="separate"/>
      </w:r>
      <w:r>
        <w:t>- 16 -</w:t>
      </w:r>
      <w:r>
        <w:fldChar w:fldCharType="end"/>
      </w:r>
      <w:r>
        <w:rPr>
          <w:rFonts w:hint="eastAsia" w:ascii="方正仿宋_GBK" w:hAnsi="宋体" w:eastAsia="方正仿宋_GBK"/>
          <w:color w:val="auto"/>
          <w:szCs w:val="28"/>
          <w:highlight w:val="none"/>
        </w:rPr>
        <w:fldChar w:fldCharType="end"/>
      </w:r>
    </w:p>
    <w:p w14:paraId="0DDFE44A">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_Toc13591 </w:instrText>
      </w:r>
      <w:r>
        <w:rPr>
          <w:rFonts w:hint="eastAsia" w:ascii="方正仿宋_GBK" w:hAnsi="宋体" w:eastAsia="方正仿宋_GBK"/>
          <w:szCs w:val="28"/>
          <w:highlight w:val="none"/>
        </w:rPr>
        <w:fldChar w:fldCharType="separate"/>
      </w:r>
      <w:r>
        <w:rPr>
          <w:rFonts w:hint="eastAsia" w:ascii="方正仿宋_GBK" w:hAnsi="方正仿宋_GBK" w:eastAsia="方正仿宋_GBK" w:cs="方正仿宋_GBK"/>
          <w:szCs w:val="24"/>
          <w:highlight w:val="none"/>
        </w:rPr>
        <w:t>五、付款方式</w:t>
      </w:r>
      <w:r>
        <w:tab/>
      </w:r>
      <w:r>
        <w:fldChar w:fldCharType="begin"/>
      </w:r>
      <w:r>
        <w:instrText xml:space="preserve"> PAGEREF _Toc13591 \h </w:instrText>
      </w:r>
      <w:r>
        <w:fldChar w:fldCharType="separate"/>
      </w:r>
      <w:r>
        <w:t>- 16 -</w:t>
      </w:r>
      <w:r>
        <w:fldChar w:fldCharType="end"/>
      </w:r>
      <w:r>
        <w:rPr>
          <w:rFonts w:hint="eastAsia" w:ascii="方正仿宋_GBK" w:hAnsi="宋体" w:eastAsia="方正仿宋_GBK"/>
          <w:color w:val="auto"/>
          <w:szCs w:val="28"/>
          <w:highlight w:val="none"/>
        </w:rPr>
        <w:fldChar w:fldCharType="end"/>
      </w:r>
    </w:p>
    <w:p w14:paraId="39DC5E1E">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_Toc14670 </w:instrText>
      </w:r>
      <w:r>
        <w:rPr>
          <w:rFonts w:hint="eastAsia" w:ascii="方正仿宋_GBK" w:hAnsi="宋体" w:eastAsia="方正仿宋_GBK"/>
          <w:szCs w:val="28"/>
          <w:highlight w:val="none"/>
        </w:rPr>
        <w:fldChar w:fldCharType="separate"/>
      </w:r>
      <w:r>
        <w:rPr>
          <w:rFonts w:hint="eastAsia" w:ascii="方正仿宋_GBK" w:hAnsi="方正仿宋_GBK" w:eastAsia="方正仿宋_GBK" w:cs="方正仿宋_GBK"/>
          <w:szCs w:val="24"/>
          <w:highlight w:val="none"/>
        </w:rPr>
        <w:t>六、结算方式</w:t>
      </w:r>
      <w:r>
        <w:tab/>
      </w:r>
      <w:r>
        <w:fldChar w:fldCharType="begin"/>
      </w:r>
      <w:r>
        <w:instrText xml:space="preserve"> PAGEREF _Toc14670 \h </w:instrText>
      </w:r>
      <w:r>
        <w:fldChar w:fldCharType="separate"/>
      </w:r>
      <w:r>
        <w:t>- 17 -</w:t>
      </w:r>
      <w:r>
        <w:fldChar w:fldCharType="end"/>
      </w:r>
      <w:r>
        <w:rPr>
          <w:rFonts w:hint="eastAsia" w:ascii="方正仿宋_GBK" w:hAnsi="宋体" w:eastAsia="方正仿宋_GBK"/>
          <w:color w:val="auto"/>
          <w:szCs w:val="28"/>
          <w:highlight w:val="none"/>
        </w:rPr>
        <w:fldChar w:fldCharType="end"/>
      </w:r>
    </w:p>
    <w:p w14:paraId="350C78C5">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_Toc23269 </w:instrText>
      </w:r>
      <w:r>
        <w:rPr>
          <w:rFonts w:hint="eastAsia" w:ascii="方正仿宋_GBK" w:hAnsi="宋体" w:eastAsia="方正仿宋_GBK"/>
          <w:szCs w:val="28"/>
          <w:highlight w:val="none"/>
        </w:rPr>
        <w:fldChar w:fldCharType="separate"/>
      </w:r>
      <w:r>
        <w:rPr>
          <w:rFonts w:hint="eastAsia" w:ascii="方正仿宋_GBK" w:hAnsi="方正仿宋_GBK" w:eastAsia="方正仿宋_GBK" w:cs="方正仿宋_GBK"/>
          <w:szCs w:val="24"/>
          <w:highlight w:val="none"/>
        </w:rPr>
        <w:t>七、违约责任</w:t>
      </w:r>
      <w:r>
        <w:tab/>
      </w:r>
      <w:r>
        <w:fldChar w:fldCharType="begin"/>
      </w:r>
      <w:r>
        <w:instrText xml:space="preserve"> PAGEREF _Toc23269 \h </w:instrText>
      </w:r>
      <w:r>
        <w:fldChar w:fldCharType="separate"/>
      </w:r>
      <w:r>
        <w:t>- 19 -</w:t>
      </w:r>
      <w:r>
        <w:fldChar w:fldCharType="end"/>
      </w:r>
      <w:r>
        <w:rPr>
          <w:rFonts w:hint="eastAsia" w:ascii="方正仿宋_GBK" w:hAnsi="宋体" w:eastAsia="方正仿宋_GBK"/>
          <w:color w:val="auto"/>
          <w:szCs w:val="28"/>
          <w:highlight w:val="none"/>
        </w:rPr>
        <w:fldChar w:fldCharType="end"/>
      </w:r>
    </w:p>
    <w:p w14:paraId="1B2A3B5D">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_Toc3999 </w:instrText>
      </w:r>
      <w:r>
        <w:rPr>
          <w:rFonts w:hint="eastAsia" w:ascii="方正仿宋_GBK" w:hAnsi="宋体" w:eastAsia="方正仿宋_GBK"/>
          <w:szCs w:val="28"/>
          <w:highlight w:val="none"/>
        </w:rPr>
        <w:fldChar w:fldCharType="separate"/>
      </w:r>
      <w:r>
        <w:rPr>
          <w:rFonts w:hint="eastAsia" w:ascii="方正仿宋_GBK" w:eastAsia="方正仿宋_GBK"/>
          <w:bCs/>
          <w:szCs w:val="24"/>
          <w:highlight w:val="none"/>
        </w:rPr>
        <w:t>八</w:t>
      </w:r>
      <w:r>
        <w:rPr>
          <w:rFonts w:hint="eastAsia" w:ascii="方正仿宋_GBK" w:eastAsia="方正仿宋_GBK"/>
          <w:szCs w:val="24"/>
          <w:highlight w:val="none"/>
        </w:rPr>
        <w:t>、</w:t>
      </w:r>
      <w:r>
        <w:rPr>
          <w:rFonts w:hint="eastAsia" w:ascii="方正仿宋_GBK" w:eastAsia="方正仿宋_GBK"/>
          <w:highlight w:val="none"/>
        </w:rPr>
        <w:t>考核要求及具体考核细则</w:t>
      </w:r>
      <w:r>
        <w:tab/>
      </w:r>
      <w:r>
        <w:fldChar w:fldCharType="begin"/>
      </w:r>
      <w:r>
        <w:instrText xml:space="preserve"> PAGEREF _Toc3999 \h </w:instrText>
      </w:r>
      <w:r>
        <w:fldChar w:fldCharType="separate"/>
      </w:r>
      <w:r>
        <w:t>- 21 -</w:t>
      </w:r>
      <w:r>
        <w:fldChar w:fldCharType="end"/>
      </w:r>
      <w:r>
        <w:rPr>
          <w:rFonts w:hint="eastAsia" w:ascii="方正仿宋_GBK" w:hAnsi="宋体" w:eastAsia="方正仿宋_GBK"/>
          <w:color w:val="auto"/>
          <w:szCs w:val="28"/>
          <w:highlight w:val="none"/>
        </w:rPr>
        <w:fldChar w:fldCharType="end"/>
      </w:r>
    </w:p>
    <w:p w14:paraId="678E5132">
      <w:pPr>
        <w:pStyle w:val="17"/>
        <w:tabs>
          <w:tab w:val="right" w:leader="dot" w:pos="9412"/>
          <w:tab w:val="clear" w:pos="1260"/>
          <w:tab w:val="clear" w:pos="1685"/>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_Toc30822 </w:instrText>
      </w:r>
      <w:r>
        <w:rPr>
          <w:rFonts w:hint="eastAsia" w:ascii="方正仿宋_GBK" w:hAnsi="宋体" w:eastAsia="方正仿宋_GBK"/>
          <w:szCs w:val="28"/>
          <w:highlight w:val="none"/>
        </w:rPr>
        <w:fldChar w:fldCharType="separate"/>
      </w:r>
      <w:r>
        <w:rPr>
          <w:rFonts w:hint="eastAsia" w:ascii="方正仿宋_GBK" w:hAnsi="宋体" w:eastAsia="方正仿宋_GBK"/>
          <w:szCs w:val="44"/>
          <w:highlight w:val="none"/>
        </w:rPr>
        <w:t>第四篇  资格审查及评标办法</w:t>
      </w:r>
      <w:r>
        <w:tab/>
      </w:r>
      <w:r>
        <w:fldChar w:fldCharType="begin"/>
      </w:r>
      <w:r>
        <w:instrText xml:space="preserve"> PAGEREF _Toc30822 \h </w:instrText>
      </w:r>
      <w:r>
        <w:fldChar w:fldCharType="separate"/>
      </w:r>
      <w:r>
        <w:t>- 27 -</w:t>
      </w:r>
      <w:r>
        <w:fldChar w:fldCharType="end"/>
      </w:r>
      <w:r>
        <w:rPr>
          <w:rFonts w:hint="eastAsia" w:ascii="方正仿宋_GBK" w:hAnsi="宋体" w:eastAsia="方正仿宋_GBK"/>
          <w:color w:val="auto"/>
          <w:szCs w:val="28"/>
          <w:highlight w:val="none"/>
        </w:rPr>
        <w:fldChar w:fldCharType="end"/>
      </w:r>
    </w:p>
    <w:p w14:paraId="69319F20">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_Toc28382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一、资格审查</w:t>
      </w:r>
      <w:r>
        <w:tab/>
      </w:r>
      <w:r>
        <w:fldChar w:fldCharType="begin"/>
      </w:r>
      <w:r>
        <w:instrText xml:space="preserve"> PAGEREF _Toc28382 \h </w:instrText>
      </w:r>
      <w:r>
        <w:fldChar w:fldCharType="separate"/>
      </w:r>
      <w:r>
        <w:t>- 27 -</w:t>
      </w:r>
      <w:r>
        <w:fldChar w:fldCharType="end"/>
      </w:r>
      <w:r>
        <w:rPr>
          <w:rFonts w:hint="eastAsia" w:ascii="方正仿宋_GBK" w:hAnsi="宋体" w:eastAsia="方正仿宋_GBK"/>
          <w:color w:val="auto"/>
          <w:szCs w:val="28"/>
          <w:highlight w:val="none"/>
        </w:rPr>
        <w:fldChar w:fldCharType="end"/>
      </w:r>
    </w:p>
    <w:p w14:paraId="7D7785FC">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_Toc26617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二、符合性审查</w:t>
      </w:r>
      <w:r>
        <w:tab/>
      </w:r>
      <w:r>
        <w:fldChar w:fldCharType="begin"/>
      </w:r>
      <w:r>
        <w:instrText xml:space="preserve"> PAGEREF _Toc26617 \h </w:instrText>
      </w:r>
      <w:r>
        <w:fldChar w:fldCharType="separate"/>
      </w:r>
      <w:r>
        <w:t>- 27 -</w:t>
      </w:r>
      <w:r>
        <w:fldChar w:fldCharType="end"/>
      </w:r>
      <w:r>
        <w:rPr>
          <w:rFonts w:hint="eastAsia" w:ascii="方正仿宋_GBK" w:hAnsi="宋体" w:eastAsia="方正仿宋_GBK"/>
          <w:color w:val="auto"/>
          <w:szCs w:val="28"/>
          <w:highlight w:val="none"/>
        </w:rPr>
        <w:fldChar w:fldCharType="end"/>
      </w:r>
    </w:p>
    <w:p w14:paraId="10EECEE6">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_Toc23121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三、评标方法</w:t>
      </w:r>
      <w:r>
        <w:tab/>
      </w:r>
      <w:r>
        <w:fldChar w:fldCharType="begin"/>
      </w:r>
      <w:r>
        <w:instrText xml:space="preserve"> PAGEREF _Toc23121 \h </w:instrText>
      </w:r>
      <w:r>
        <w:fldChar w:fldCharType="separate"/>
      </w:r>
      <w:r>
        <w:t>- 28 -</w:t>
      </w:r>
      <w:r>
        <w:fldChar w:fldCharType="end"/>
      </w:r>
      <w:r>
        <w:rPr>
          <w:rFonts w:hint="eastAsia" w:ascii="方正仿宋_GBK" w:hAnsi="宋体" w:eastAsia="方正仿宋_GBK"/>
          <w:color w:val="auto"/>
          <w:szCs w:val="28"/>
          <w:highlight w:val="none"/>
        </w:rPr>
        <w:fldChar w:fldCharType="end"/>
      </w:r>
    </w:p>
    <w:p w14:paraId="1C3F2C6F">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_Toc20675 </w:instrText>
      </w:r>
      <w:r>
        <w:rPr>
          <w:rFonts w:hint="eastAsia" w:ascii="方正仿宋_GBK" w:hAnsi="宋体" w:eastAsia="方正仿宋_GBK"/>
          <w:szCs w:val="28"/>
          <w:highlight w:val="none"/>
        </w:rPr>
        <w:fldChar w:fldCharType="separate"/>
      </w:r>
      <w:r>
        <w:rPr>
          <w:rFonts w:hint="eastAsia" w:ascii="方正仿宋_GBK" w:eastAsia="方正仿宋_GBK"/>
          <w:szCs w:val="24"/>
        </w:rPr>
        <w:t xml:space="preserve">四、 </w:t>
      </w:r>
      <w:r>
        <w:rPr>
          <w:rFonts w:hint="eastAsia" w:ascii="方正仿宋_GBK" w:eastAsia="方正仿宋_GBK"/>
          <w:szCs w:val="24"/>
          <w:highlight w:val="none"/>
        </w:rPr>
        <w:t>评标标准</w:t>
      </w:r>
      <w:r>
        <w:tab/>
      </w:r>
      <w:r>
        <w:fldChar w:fldCharType="begin"/>
      </w:r>
      <w:r>
        <w:instrText xml:space="preserve"> PAGEREF _Toc20675 \h </w:instrText>
      </w:r>
      <w:r>
        <w:fldChar w:fldCharType="separate"/>
      </w:r>
      <w:r>
        <w:t>- 29 -</w:t>
      </w:r>
      <w:r>
        <w:fldChar w:fldCharType="end"/>
      </w:r>
      <w:r>
        <w:rPr>
          <w:rFonts w:hint="eastAsia" w:ascii="方正仿宋_GBK" w:hAnsi="宋体" w:eastAsia="方正仿宋_GBK"/>
          <w:color w:val="auto"/>
          <w:szCs w:val="28"/>
          <w:highlight w:val="none"/>
        </w:rPr>
        <w:fldChar w:fldCharType="end"/>
      </w:r>
    </w:p>
    <w:p w14:paraId="64FFAF08">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_Toc4523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五、无效投标条款</w:t>
      </w:r>
      <w:r>
        <w:tab/>
      </w:r>
      <w:r>
        <w:fldChar w:fldCharType="begin"/>
      </w:r>
      <w:r>
        <w:instrText xml:space="preserve"> PAGEREF _Toc4523 \h </w:instrText>
      </w:r>
      <w:r>
        <w:fldChar w:fldCharType="separate"/>
      </w:r>
      <w:r>
        <w:t>- 31 -</w:t>
      </w:r>
      <w:r>
        <w:fldChar w:fldCharType="end"/>
      </w:r>
      <w:r>
        <w:rPr>
          <w:rFonts w:hint="eastAsia" w:ascii="方正仿宋_GBK" w:hAnsi="宋体" w:eastAsia="方正仿宋_GBK"/>
          <w:color w:val="auto"/>
          <w:szCs w:val="28"/>
          <w:highlight w:val="none"/>
        </w:rPr>
        <w:fldChar w:fldCharType="end"/>
      </w:r>
    </w:p>
    <w:p w14:paraId="143BB21E">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_Toc31787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六、废标条款</w:t>
      </w:r>
      <w:r>
        <w:tab/>
      </w:r>
      <w:r>
        <w:fldChar w:fldCharType="begin"/>
      </w:r>
      <w:r>
        <w:instrText xml:space="preserve"> PAGEREF _Toc31787 \h </w:instrText>
      </w:r>
      <w:r>
        <w:fldChar w:fldCharType="separate"/>
      </w:r>
      <w:r>
        <w:t>- 31 -</w:t>
      </w:r>
      <w:r>
        <w:fldChar w:fldCharType="end"/>
      </w:r>
      <w:r>
        <w:rPr>
          <w:rFonts w:hint="eastAsia" w:ascii="方正仿宋_GBK" w:hAnsi="宋体" w:eastAsia="方正仿宋_GBK"/>
          <w:color w:val="auto"/>
          <w:szCs w:val="28"/>
          <w:highlight w:val="none"/>
        </w:rPr>
        <w:fldChar w:fldCharType="end"/>
      </w:r>
    </w:p>
    <w:p w14:paraId="526FE1B2">
      <w:pPr>
        <w:pStyle w:val="17"/>
        <w:tabs>
          <w:tab w:val="right" w:leader="dot" w:pos="9412"/>
          <w:tab w:val="clear" w:pos="1260"/>
          <w:tab w:val="clear" w:pos="1685"/>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_Toc10037 </w:instrText>
      </w:r>
      <w:r>
        <w:rPr>
          <w:rFonts w:hint="eastAsia" w:ascii="方正仿宋_GBK" w:hAnsi="宋体" w:eastAsia="方正仿宋_GBK"/>
          <w:szCs w:val="28"/>
          <w:highlight w:val="none"/>
        </w:rPr>
        <w:fldChar w:fldCharType="separate"/>
      </w:r>
      <w:r>
        <w:rPr>
          <w:rFonts w:hint="eastAsia" w:ascii="方正仿宋_GBK" w:hAnsi="宋体" w:eastAsia="方正仿宋_GBK"/>
          <w:szCs w:val="44"/>
          <w:highlight w:val="none"/>
        </w:rPr>
        <w:t>第五篇  供应商须知</w:t>
      </w:r>
      <w:r>
        <w:tab/>
      </w:r>
      <w:r>
        <w:fldChar w:fldCharType="begin"/>
      </w:r>
      <w:r>
        <w:instrText xml:space="preserve"> PAGEREF _Toc10037 \h </w:instrText>
      </w:r>
      <w:r>
        <w:fldChar w:fldCharType="separate"/>
      </w:r>
      <w:r>
        <w:t>- 33 -</w:t>
      </w:r>
      <w:r>
        <w:fldChar w:fldCharType="end"/>
      </w:r>
      <w:r>
        <w:rPr>
          <w:rFonts w:hint="eastAsia" w:ascii="方正仿宋_GBK" w:hAnsi="宋体" w:eastAsia="方正仿宋_GBK"/>
          <w:color w:val="auto"/>
          <w:szCs w:val="28"/>
          <w:highlight w:val="none"/>
        </w:rPr>
        <w:fldChar w:fldCharType="end"/>
      </w:r>
    </w:p>
    <w:p w14:paraId="3E249286">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_Toc20453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一、供应商</w:t>
      </w:r>
      <w:r>
        <w:tab/>
      </w:r>
      <w:r>
        <w:fldChar w:fldCharType="begin"/>
      </w:r>
      <w:r>
        <w:instrText xml:space="preserve"> PAGEREF _Toc20453 \h </w:instrText>
      </w:r>
      <w:r>
        <w:fldChar w:fldCharType="separate"/>
      </w:r>
      <w:r>
        <w:t>- 33 -</w:t>
      </w:r>
      <w:r>
        <w:fldChar w:fldCharType="end"/>
      </w:r>
      <w:r>
        <w:rPr>
          <w:rFonts w:hint="eastAsia" w:ascii="方正仿宋_GBK" w:hAnsi="宋体" w:eastAsia="方正仿宋_GBK"/>
          <w:color w:val="auto"/>
          <w:szCs w:val="28"/>
          <w:highlight w:val="none"/>
        </w:rPr>
        <w:fldChar w:fldCharType="end"/>
      </w:r>
    </w:p>
    <w:p w14:paraId="1E6034A2">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_Toc23582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二、招标文件</w:t>
      </w:r>
      <w:r>
        <w:tab/>
      </w:r>
      <w:r>
        <w:fldChar w:fldCharType="begin"/>
      </w:r>
      <w:r>
        <w:instrText xml:space="preserve"> PAGEREF _Toc23582 \h </w:instrText>
      </w:r>
      <w:r>
        <w:fldChar w:fldCharType="separate"/>
      </w:r>
      <w:r>
        <w:t>- 33 -</w:t>
      </w:r>
      <w:r>
        <w:fldChar w:fldCharType="end"/>
      </w:r>
      <w:r>
        <w:rPr>
          <w:rFonts w:hint="eastAsia" w:ascii="方正仿宋_GBK" w:hAnsi="宋体" w:eastAsia="方正仿宋_GBK"/>
          <w:color w:val="auto"/>
          <w:szCs w:val="28"/>
          <w:highlight w:val="none"/>
        </w:rPr>
        <w:fldChar w:fldCharType="end"/>
      </w:r>
    </w:p>
    <w:p w14:paraId="18F64F5E">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_Toc22920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三、投标文件</w:t>
      </w:r>
      <w:r>
        <w:tab/>
      </w:r>
      <w:r>
        <w:fldChar w:fldCharType="begin"/>
      </w:r>
      <w:r>
        <w:instrText xml:space="preserve"> PAGEREF _Toc22920 \h </w:instrText>
      </w:r>
      <w:r>
        <w:fldChar w:fldCharType="separate"/>
      </w:r>
      <w:r>
        <w:t>- 33 -</w:t>
      </w:r>
      <w:r>
        <w:fldChar w:fldCharType="end"/>
      </w:r>
      <w:r>
        <w:rPr>
          <w:rFonts w:hint="eastAsia" w:ascii="方正仿宋_GBK" w:hAnsi="宋体" w:eastAsia="方正仿宋_GBK"/>
          <w:color w:val="auto"/>
          <w:szCs w:val="28"/>
          <w:highlight w:val="none"/>
        </w:rPr>
        <w:fldChar w:fldCharType="end"/>
      </w:r>
    </w:p>
    <w:p w14:paraId="2867920E">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_Toc7223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四、开标</w:t>
      </w:r>
      <w:r>
        <w:tab/>
      </w:r>
      <w:r>
        <w:fldChar w:fldCharType="begin"/>
      </w:r>
      <w:r>
        <w:instrText xml:space="preserve"> PAGEREF _Toc7223 \h </w:instrText>
      </w:r>
      <w:r>
        <w:fldChar w:fldCharType="separate"/>
      </w:r>
      <w:r>
        <w:t>- 35 -</w:t>
      </w:r>
      <w:r>
        <w:fldChar w:fldCharType="end"/>
      </w:r>
      <w:r>
        <w:rPr>
          <w:rFonts w:hint="eastAsia" w:ascii="方正仿宋_GBK" w:hAnsi="宋体" w:eastAsia="方正仿宋_GBK"/>
          <w:color w:val="auto"/>
          <w:szCs w:val="28"/>
          <w:highlight w:val="none"/>
        </w:rPr>
        <w:fldChar w:fldCharType="end"/>
      </w:r>
    </w:p>
    <w:p w14:paraId="59F2A4A0">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_Toc32724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五、评标</w:t>
      </w:r>
      <w:r>
        <w:tab/>
      </w:r>
      <w:r>
        <w:fldChar w:fldCharType="begin"/>
      </w:r>
      <w:r>
        <w:instrText xml:space="preserve"> PAGEREF _Toc32724 \h </w:instrText>
      </w:r>
      <w:r>
        <w:fldChar w:fldCharType="separate"/>
      </w:r>
      <w:r>
        <w:t>- 35 -</w:t>
      </w:r>
      <w:r>
        <w:fldChar w:fldCharType="end"/>
      </w:r>
      <w:r>
        <w:rPr>
          <w:rFonts w:hint="eastAsia" w:ascii="方正仿宋_GBK" w:hAnsi="宋体" w:eastAsia="方正仿宋_GBK"/>
          <w:color w:val="auto"/>
          <w:szCs w:val="28"/>
          <w:highlight w:val="none"/>
        </w:rPr>
        <w:fldChar w:fldCharType="end"/>
      </w:r>
    </w:p>
    <w:p w14:paraId="7D3FCA71">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_Toc31916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六、定标</w:t>
      </w:r>
      <w:r>
        <w:tab/>
      </w:r>
      <w:r>
        <w:fldChar w:fldCharType="begin"/>
      </w:r>
      <w:r>
        <w:instrText xml:space="preserve"> PAGEREF _Toc31916 \h </w:instrText>
      </w:r>
      <w:r>
        <w:fldChar w:fldCharType="separate"/>
      </w:r>
      <w:r>
        <w:t>- 35 -</w:t>
      </w:r>
      <w:r>
        <w:fldChar w:fldCharType="end"/>
      </w:r>
      <w:r>
        <w:rPr>
          <w:rFonts w:hint="eastAsia" w:ascii="方正仿宋_GBK" w:hAnsi="宋体" w:eastAsia="方正仿宋_GBK"/>
          <w:color w:val="auto"/>
          <w:szCs w:val="28"/>
          <w:highlight w:val="none"/>
        </w:rPr>
        <w:fldChar w:fldCharType="end"/>
      </w:r>
    </w:p>
    <w:p w14:paraId="11B31F28">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_Toc20232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七、中标</w:t>
      </w:r>
      <w:r>
        <w:tab/>
      </w:r>
      <w:r>
        <w:fldChar w:fldCharType="begin"/>
      </w:r>
      <w:r>
        <w:instrText xml:space="preserve"> PAGEREF _Toc20232 \h </w:instrText>
      </w:r>
      <w:r>
        <w:fldChar w:fldCharType="separate"/>
      </w:r>
      <w:r>
        <w:t>- 36 -</w:t>
      </w:r>
      <w:r>
        <w:fldChar w:fldCharType="end"/>
      </w:r>
      <w:r>
        <w:rPr>
          <w:rFonts w:hint="eastAsia" w:ascii="方正仿宋_GBK" w:hAnsi="宋体" w:eastAsia="方正仿宋_GBK"/>
          <w:color w:val="auto"/>
          <w:szCs w:val="28"/>
          <w:highlight w:val="none"/>
        </w:rPr>
        <w:fldChar w:fldCharType="end"/>
      </w:r>
    </w:p>
    <w:p w14:paraId="1619DE54">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_Toc32125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八、询问、质疑和投诉</w:t>
      </w:r>
      <w:r>
        <w:tab/>
      </w:r>
      <w:r>
        <w:fldChar w:fldCharType="begin"/>
      </w:r>
      <w:r>
        <w:instrText xml:space="preserve"> PAGEREF _Toc32125 \h </w:instrText>
      </w:r>
      <w:r>
        <w:fldChar w:fldCharType="separate"/>
      </w:r>
      <w:r>
        <w:t>- 36 -</w:t>
      </w:r>
      <w:r>
        <w:fldChar w:fldCharType="end"/>
      </w:r>
      <w:r>
        <w:rPr>
          <w:rFonts w:hint="eastAsia" w:ascii="方正仿宋_GBK" w:hAnsi="宋体" w:eastAsia="方正仿宋_GBK"/>
          <w:color w:val="auto"/>
          <w:szCs w:val="28"/>
          <w:highlight w:val="none"/>
        </w:rPr>
        <w:fldChar w:fldCharType="end"/>
      </w:r>
    </w:p>
    <w:p w14:paraId="53A3F6DF">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_Toc16628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九、交易服务费</w:t>
      </w:r>
      <w:r>
        <w:tab/>
      </w:r>
      <w:r>
        <w:fldChar w:fldCharType="begin"/>
      </w:r>
      <w:r>
        <w:instrText xml:space="preserve"> PAGEREF _Toc16628 \h </w:instrText>
      </w:r>
      <w:r>
        <w:fldChar w:fldCharType="separate"/>
      </w:r>
      <w:r>
        <w:t>- 37 -</w:t>
      </w:r>
      <w:r>
        <w:fldChar w:fldCharType="end"/>
      </w:r>
      <w:r>
        <w:rPr>
          <w:rFonts w:hint="eastAsia" w:ascii="方正仿宋_GBK" w:hAnsi="宋体" w:eastAsia="方正仿宋_GBK"/>
          <w:color w:val="auto"/>
          <w:szCs w:val="28"/>
          <w:highlight w:val="none"/>
        </w:rPr>
        <w:fldChar w:fldCharType="end"/>
      </w:r>
    </w:p>
    <w:p w14:paraId="17D3DF39">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_Toc3008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十、签订合同</w:t>
      </w:r>
      <w:r>
        <w:tab/>
      </w:r>
      <w:r>
        <w:fldChar w:fldCharType="begin"/>
      </w:r>
      <w:r>
        <w:instrText xml:space="preserve"> PAGEREF _Toc3008 \h </w:instrText>
      </w:r>
      <w:r>
        <w:fldChar w:fldCharType="separate"/>
      </w:r>
      <w:r>
        <w:t>- 38 -</w:t>
      </w:r>
      <w:r>
        <w:fldChar w:fldCharType="end"/>
      </w:r>
      <w:r>
        <w:rPr>
          <w:rFonts w:hint="eastAsia" w:ascii="方正仿宋_GBK" w:hAnsi="宋体" w:eastAsia="方正仿宋_GBK"/>
          <w:color w:val="auto"/>
          <w:szCs w:val="28"/>
          <w:highlight w:val="none"/>
        </w:rPr>
        <w:fldChar w:fldCharType="end"/>
      </w:r>
    </w:p>
    <w:p w14:paraId="09985468">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_Toc9910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十一、政府采购信用融资</w:t>
      </w:r>
      <w:r>
        <w:tab/>
      </w:r>
      <w:r>
        <w:fldChar w:fldCharType="begin"/>
      </w:r>
      <w:r>
        <w:instrText xml:space="preserve"> PAGEREF _Toc9910 \h </w:instrText>
      </w:r>
      <w:r>
        <w:fldChar w:fldCharType="separate"/>
      </w:r>
      <w:r>
        <w:t>- 38 -</w:t>
      </w:r>
      <w:r>
        <w:fldChar w:fldCharType="end"/>
      </w:r>
      <w:r>
        <w:rPr>
          <w:rFonts w:hint="eastAsia" w:ascii="方正仿宋_GBK" w:hAnsi="宋体" w:eastAsia="方正仿宋_GBK"/>
          <w:color w:val="auto"/>
          <w:szCs w:val="28"/>
          <w:highlight w:val="none"/>
        </w:rPr>
        <w:fldChar w:fldCharType="end"/>
      </w:r>
    </w:p>
    <w:p w14:paraId="2097DB43">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_Toc29430 </w:instrText>
      </w:r>
      <w:r>
        <w:rPr>
          <w:rFonts w:hint="eastAsia" w:ascii="方正仿宋_GBK" w:hAnsi="宋体" w:eastAsia="方正仿宋_GBK"/>
          <w:szCs w:val="28"/>
          <w:highlight w:val="none"/>
        </w:rPr>
        <w:fldChar w:fldCharType="separate"/>
      </w:r>
      <w:r>
        <w:rPr>
          <w:rFonts w:hint="eastAsia" w:ascii="方正仿宋_GBK" w:eastAsia="方正仿宋_GBK"/>
          <w:szCs w:val="24"/>
          <w:highlight w:val="none"/>
        </w:rPr>
        <w:t>十二、其他</w:t>
      </w:r>
      <w:r>
        <w:tab/>
      </w:r>
      <w:r>
        <w:fldChar w:fldCharType="begin"/>
      </w:r>
      <w:r>
        <w:instrText xml:space="preserve"> PAGEREF _Toc29430 \h </w:instrText>
      </w:r>
      <w:r>
        <w:fldChar w:fldCharType="separate"/>
      </w:r>
      <w:r>
        <w:t>- 38 -</w:t>
      </w:r>
      <w:r>
        <w:fldChar w:fldCharType="end"/>
      </w:r>
      <w:r>
        <w:rPr>
          <w:rFonts w:hint="eastAsia" w:ascii="方正仿宋_GBK" w:hAnsi="宋体" w:eastAsia="方正仿宋_GBK"/>
          <w:color w:val="auto"/>
          <w:szCs w:val="28"/>
          <w:highlight w:val="none"/>
        </w:rPr>
        <w:fldChar w:fldCharType="end"/>
      </w:r>
    </w:p>
    <w:p w14:paraId="089C7DE5">
      <w:pPr>
        <w:pStyle w:val="17"/>
        <w:tabs>
          <w:tab w:val="right" w:leader="dot" w:pos="9412"/>
          <w:tab w:val="clear" w:pos="1260"/>
          <w:tab w:val="clear" w:pos="1685"/>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_Toc18751 </w:instrText>
      </w:r>
      <w:r>
        <w:rPr>
          <w:rFonts w:hint="eastAsia" w:ascii="方正仿宋_GBK" w:hAnsi="宋体" w:eastAsia="方正仿宋_GBK"/>
          <w:szCs w:val="28"/>
          <w:highlight w:val="none"/>
        </w:rPr>
        <w:fldChar w:fldCharType="separate"/>
      </w:r>
      <w:r>
        <w:rPr>
          <w:rFonts w:hint="eastAsia" w:ascii="方正仿宋_GBK" w:hAnsi="宋体" w:eastAsia="方正仿宋_GBK"/>
          <w:szCs w:val="44"/>
          <w:highlight w:val="none"/>
        </w:rPr>
        <w:t>第六篇  合同主要条款和格式合同（样本）</w:t>
      </w:r>
      <w:r>
        <w:tab/>
      </w:r>
      <w:r>
        <w:fldChar w:fldCharType="begin"/>
      </w:r>
      <w:r>
        <w:instrText xml:space="preserve"> PAGEREF _Toc18751 \h </w:instrText>
      </w:r>
      <w:r>
        <w:fldChar w:fldCharType="separate"/>
      </w:r>
      <w:r>
        <w:t>- 39 -</w:t>
      </w:r>
      <w:r>
        <w:fldChar w:fldCharType="end"/>
      </w:r>
      <w:r>
        <w:rPr>
          <w:rFonts w:hint="eastAsia" w:ascii="方正仿宋_GBK" w:hAnsi="宋体" w:eastAsia="方正仿宋_GBK"/>
          <w:color w:val="auto"/>
          <w:szCs w:val="28"/>
          <w:highlight w:val="none"/>
        </w:rPr>
        <w:fldChar w:fldCharType="end"/>
      </w:r>
    </w:p>
    <w:p w14:paraId="4B0D0080">
      <w:pPr>
        <w:pStyle w:val="17"/>
        <w:tabs>
          <w:tab w:val="right" w:leader="dot" w:pos="9412"/>
          <w:tab w:val="clear" w:pos="1260"/>
          <w:tab w:val="clear" w:pos="1685"/>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_Toc16144 </w:instrText>
      </w:r>
      <w:r>
        <w:rPr>
          <w:rFonts w:hint="eastAsia" w:ascii="方正仿宋_GBK" w:hAnsi="宋体" w:eastAsia="方正仿宋_GBK"/>
          <w:szCs w:val="28"/>
          <w:highlight w:val="none"/>
        </w:rPr>
        <w:fldChar w:fldCharType="separate"/>
      </w:r>
      <w:r>
        <w:rPr>
          <w:rFonts w:hint="eastAsia" w:ascii="方正仿宋_GBK" w:hAnsi="宋体" w:eastAsia="方正仿宋_GBK"/>
          <w:szCs w:val="44"/>
          <w:highlight w:val="none"/>
        </w:rPr>
        <w:t>第七篇  投标文件格式</w:t>
      </w:r>
      <w:r>
        <w:tab/>
      </w:r>
      <w:r>
        <w:fldChar w:fldCharType="begin"/>
      </w:r>
      <w:r>
        <w:instrText xml:space="preserve"> PAGEREF _Toc16144 \h </w:instrText>
      </w:r>
      <w:r>
        <w:fldChar w:fldCharType="separate"/>
      </w:r>
      <w:r>
        <w:t>- 43 -</w:t>
      </w:r>
      <w:r>
        <w:fldChar w:fldCharType="end"/>
      </w:r>
      <w:r>
        <w:rPr>
          <w:rFonts w:hint="eastAsia" w:ascii="方正仿宋_GBK" w:hAnsi="宋体" w:eastAsia="方正仿宋_GBK"/>
          <w:color w:val="auto"/>
          <w:szCs w:val="28"/>
          <w:highlight w:val="none"/>
        </w:rPr>
        <w:fldChar w:fldCharType="end"/>
      </w:r>
    </w:p>
    <w:p w14:paraId="1E967F96">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_Toc19510 </w:instrText>
      </w:r>
      <w:r>
        <w:rPr>
          <w:rFonts w:hint="eastAsia" w:ascii="方正仿宋_GBK" w:hAnsi="宋体" w:eastAsia="方正仿宋_GBK"/>
          <w:szCs w:val="28"/>
          <w:highlight w:val="none"/>
        </w:rPr>
        <w:fldChar w:fldCharType="separate"/>
      </w:r>
      <w:r>
        <w:rPr>
          <w:rFonts w:hint="eastAsia" w:ascii="方正仿宋_GBK" w:eastAsia="方正仿宋_GBK" w:cs="宋体"/>
          <w:szCs w:val="24"/>
          <w:highlight w:val="none"/>
        </w:rPr>
        <w:t>一、经济文件</w:t>
      </w:r>
      <w:r>
        <w:tab/>
      </w:r>
      <w:r>
        <w:fldChar w:fldCharType="begin"/>
      </w:r>
      <w:r>
        <w:instrText xml:space="preserve"> PAGEREF _Toc19510 \h </w:instrText>
      </w:r>
      <w:r>
        <w:fldChar w:fldCharType="separate"/>
      </w:r>
      <w:r>
        <w:t>- 43 -</w:t>
      </w:r>
      <w:r>
        <w:fldChar w:fldCharType="end"/>
      </w:r>
      <w:r>
        <w:rPr>
          <w:rFonts w:hint="eastAsia" w:ascii="方正仿宋_GBK" w:hAnsi="宋体" w:eastAsia="方正仿宋_GBK"/>
          <w:color w:val="auto"/>
          <w:szCs w:val="28"/>
          <w:highlight w:val="none"/>
        </w:rPr>
        <w:fldChar w:fldCharType="end"/>
      </w:r>
    </w:p>
    <w:p w14:paraId="5C5C1D3B">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_Toc10450 </w:instrText>
      </w:r>
      <w:r>
        <w:rPr>
          <w:rFonts w:hint="eastAsia" w:ascii="方正仿宋_GBK" w:hAnsi="宋体" w:eastAsia="方正仿宋_GBK"/>
          <w:szCs w:val="28"/>
          <w:highlight w:val="none"/>
        </w:rPr>
        <w:fldChar w:fldCharType="separate"/>
      </w:r>
      <w:r>
        <w:rPr>
          <w:rFonts w:hint="eastAsia" w:ascii="方正仿宋_GBK" w:eastAsia="方正仿宋_GBK" w:cs="宋体"/>
          <w:szCs w:val="24"/>
          <w:highlight w:val="none"/>
        </w:rPr>
        <w:t>二、服务文件</w:t>
      </w:r>
      <w:r>
        <w:tab/>
      </w:r>
      <w:r>
        <w:fldChar w:fldCharType="begin"/>
      </w:r>
      <w:r>
        <w:instrText xml:space="preserve"> PAGEREF _Toc10450 \h </w:instrText>
      </w:r>
      <w:r>
        <w:fldChar w:fldCharType="separate"/>
      </w:r>
      <w:r>
        <w:t>- 43 -</w:t>
      </w:r>
      <w:r>
        <w:fldChar w:fldCharType="end"/>
      </w:r>
      <w:r>
        <w:rPr>
          <w:rFonts w:hint="eastAsia" w:ascii="方正仿宋_GBK" w:hAnsi="宋体" w:eastAsia="方正仿宋_GBK"/>
          <w:color w:val="auto"/>
          <w:szCs w:val="28"/>
          <w:highlight w:val="none"/>
        </w:rPr>
        <w:fldChar w:fldCharType="end"/>
      </w:r>
    </w:p>
    <w:p w14:paraId="09432496">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_Toc18057 </w:instrText>
      </w:r>
      <w:r>
        <w:rPr>
          <w:rFonts w:hint="eastAsia" w:ascii="方正仿宋_GBK" w:hAnsi="宋体" w:eastAsia="方正仿宋_GBK"/>
          <w:szCs w:val="28"/>
          <w:highlight w:val="none"/>
        </w:rPr>
        <w:fldChar w:fldCharType="separate"/>
      </w:r>
      <w:r>
        <w:rPr>
          <w:rFonts w:hint="eastAsia" w:ascii="方正仿宋_GBK" w:eastAsia="方正仿宋_GBK" w:cs="宋体"/>
          <w:szCs w:val="24"/>
          <w:highlight w:val="none"/>
        </w:rPr>
        <w:t>三、商务文件</w:t>
      </w:r>
      <w:r>
        <w:tab/>
      </w:r>
      <w:r>
        <w:fldChar w:fldCharType="begin"/>
      </w:r>
      <w:r>
        <w:instrText xml:space="preserve"> PAGEREF _Toc18057 \h </w:instrText>
      </w:r>
      <w:r>
        <w:fldChar w:fldCharType="separate"/>
      </w:r>
      <w:r>
        <w:t>- 43 -</w:t>
      </w:r>
      <w:r>
        <w:fldChar w:fldCharType="end"/>
      </w:r>
      <w:r>
        <w:rPr>
          <w:rFonts w:hint="eastAsia" w:ascii="方正仿宋_GBK" w:hAnsi="宋体" w:eastAsia="方正仿宋_GBK"/>
          <w:color w:val="auto"/>
          <w:szCs w:val="28"/>
          <w:highlight w:val="none"/>
        </w:rPr>
        <w:fldChar w:fldCharType="end"/>
      </w:r>
    </w:p>
    <w:p w14:paraId="6B5E7683">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_Toc21425 </w:instrText>
      </w:r>
      <w:r>
        <w:rPr>
          <w:rFonts w:hint="eastAsia" w:ascii="方正仿宋_GBK" w:hAnsi="宋体" w:eastAsia="方正仿宋_GBK"/>
          <w:szCs w:val="28"/>
          <w:highlight w:val="none"/>
        </w:rPr>
        <w:fldChar w:fldCharType="separate"/>
      </w:r>
      <w:r>
        <w:rPr>
          <w:rFonts w:hint="eastAsia" w:ascii="方正仿宋_GBK" w:eastAsia="方正仿宋_GBK" w:cs="宋体"/>
          <w:szCs w:val="24"/>
          <w:highlight w:val="none"/>
        </w:rPr>
        <w:t>四、其他</w:t>
      </w:r>
      <w:r>
        <w:tab/>
      </w:r>
      <w:r>
        <w:fldChar w:fldCharType="begin"/>
      </w:r>
      <w:r>
        <w:instrText xml:space="preserve"> PAGEREF _Toc21425 \h </w:instrText>
      </w:r>
      <w:r>
        <w:fldChar w:fldCharType="separate"/>
      </w:r>
      <w:r>
        <w:t>- 43 -</w:t>
      </w:r>
      <w:r>
        <w:fldChar w:fldCharType="end"/>
      </w:r>
      <w:r>
        <w:rPr>
          <w:rFonts w:hint="eastAsia" w:ascii="方正仿宋_GBK" w:hAnsi="宋体" w:eastAsia="方正仿宋_GBK"/>
          <w:color w:val="auto"/>
          <w:szCs w:val="28"/>
          <w:highlight w:val="none"/>
        </w:rPr>
        <w:fldChar w:fldCharType="end"/>
      </w:r>
    </w:p>
    <w:p w14:paraId="1A1EDE96">
      <w:pPr>
        <w:pStyle w:val="18"/>
        <w:tabs>
          <w:tab w:val="right" w:leader="dot" w:pos="9412"/>
          <w:tab w:val="clear" w:pos="8400"/>
        </w:tabs>
      </w:pPr>
      <w:r>
        <w:rPr>
          <w:rFonts w:hint="eastAsia" w:ascii="方正仿宋_GBK" w:hAnsi="宋体" w:eastAsia="方正仿宋_GBK"/>
          <w:color w:val="auto"/>
          <w:szCs w:val="28"/>
          <w:highlight w:val="none"/>
        </w:rPr>
        <w:fldChar w:fldCharType="begin"/>
      </w:r>
      <w:r>
        <w:rPr>
          <w:rFonts w:hint="eastAsia" w:ascii="方正仿宋_GBK" w:hAnsi="宋体" w:eastAsia="方正仿宋_GBK"/>
          <w:szCs w:val="28"/>
          <w:highlight w:val="none"/>
        </w:rPr>
        <w:instrText xml:space="preserve"> HYPERLINK \l _Toc13953 </w:instrText>
      </w:r>
      <w:r>
        <w:rPr>
          <w:rFonts w:hint="eastAsia" w:ascii="方正仿宋_GBK" w:hAnsi="宋体" w:eastAsia="方正仿宋_GBK"/>
          <w:szCs w:val="28"/>
          <w:highlight w:val="none"/>
        </w:rPr>
        <w:fldChar w:fldCharType="separate"/>
      </w:r>
      <w:r>
        <w:rPr>
          <w:rFonts w:hint="eastAsia" w:ascii="方正仿宋_GBK" w:eastAsia="方正仿宋_GBK" w:cs="宋体"/>
          <w:szCs w:val="24"/>
          <w:highlight w:val="none"/>
        </w:rPr>
        <w:t>五、资格文件</w:t>
      </w:r>
      <w:r>
        <w:tab/>
      </w:r>
      <w:r>
        <w:fldChar w:fldCharType="begin"/>
      </w:r>
      <w:r>
        <w:instrText xml:space="preserve"> PAGEREF _Toc13953 \h </w:instrText>
      </w:r>
      <w:r>
        <w:fldChar w:fldCharType="separate"/>
      </w:r>
      <w:r>
        <w:t>- 43 -</w:t>
      </w:r>
      <w:r>
        <w:fldChar w:fldCharType="end"/>
      </w:r>
      <w:r>
        <w:rPr>
          <w:rFonts w:hint="eastAsia" w:ascii="方正仿宋_GBK" w:hAnsi="宋体" w:eastAsia="方正仿宋_GBK"/>
          <w:color w:val="auto"/>
          <w:szCs w:val="28"/>
          <w:highlight w:val="none"/>
        </w:rPr>
        <w:fldChar w:fldCharType="end"/>
      </w:r>
    </w:p>
    <w:p w14:paraId="76BB3D8A">
      <w:pPr>
        <w:pStyle w:val="18"/>
        <w:spacing w:line="276" w:lineRule="auto"/>
        <w:ind w:right="-255"/>
        <w:rPr>
          <w:rFonts w:ascii="方正仿宋_GBK" w:hAnsi="宋体" w:eastAsia="方正仿宋_GBK"/>
          <w:color w:val="auto"/>
          <w:sz w:val="24"/>
          <w:szCs w:val="24"/>
          <w:highlight w:val="none"/>
        </w:rPr>
      </w:pPr>
      <w:r>
        <w:rPr>
          <w:rFonts w:hint="eastAsia" w:ascii="方正仿宋_GBK" w:hAnsi="宋体" w:eastAsia="方正仿宋_GBK"/>
          <w:color w:val="auto"/>
          <w:szCs w:val="28"/>
          <w:highlight w:val="none"/>
        </w:rPr>
        <w:fldChar w:fldCharType="end"/>
      </w:r>
    </w:p>
    <w:p w14:paraId="6E8BB795">
      <w:pPr>
        <w:tabs>
          <w:tab w:val="left" w:pos="1290"/>
        </w:tabs>
        <w:spacing w:line="276" w:lineRule="auto"/>
        <w:jc w:val="left"/>
        <w:rPr>
          <w:rFonts w:ascii="方正仿宋_GBK" w:eastAsia="方正仿宋_GBK"/>
          <w:color w:val="auto"/>
          <w:sz w:val="24"/>
          <w:szCs w:val="24"/>
          <w:highlight w:val="none"/>
        </w:rPr>
        <w:sectPr>
          <w:footerReference r:id="rId7" w:type="default"/>
          <w:pgSz w:w="11907" w:h="16840"/>
          <w:pgMar w:top="1134" w:right="1191" w:bottom="1134" w:left="1304" w:header="794" w:footer="964" w:gutter="0"/>
          <w:pgNumType w:fmt="numberInDash" w:start="1"/>
          <w:cols w:space="720" w:num="1"/>
          <w:docGrid w:linePitch="381" w:charSpace="0"/>
        </w:sectPr>
      </w:pPr>
    </w:p>
    <w:p w14:paraId="6E04F243">
      <w:pPr>
        <w:pStyle w:val="4"/>
        <w:spacing w:before="0" w:beforeLines="0" w:after="0" w:afterLines="0" w:line="276" w:lineRule="auto"/>
        <w:rPr>
          <w:rFonts w:ascii="方正仿宋_GBK" w:hAnsi="宋体" w:eastAsia="方正仿宋_GBK"/>
          <w:b/>
          <w:color w:val="auto"/>
          <w:szCs w:val="44"/>
          <w:highlight w:val="none"/>
        </w:rPr>
      </w:pPr>
      <w:bookmarkStart w:id="1" w:name="_Toc29614"/>
      <w:bookmarkStart w:id="2" w:name="_Toc13640"/>
      <w:bookmarkStart w:id="3" w:name="_Toc115877683"/>
      <w:bookmarkStart w:id="4" w:name="_Toc129178858"/>
      <w:r>
        <w:rPr>
          <w:rFonts w:hint="eastAsia" w:ascii="方正仿宋_GBK" w:hAnsi="宋体" w:eastAsia="方正仿宋_GBK"/>
          <w:b/>
          <w:color w:val="auto"/>
          <w:szCs w:val="44"/>
          <w:highlight w:val="none"/>
        </w:rPr>
        <w:t>第一篇  投标邀请书</w:t>
      </w:r>
      <w:bookmarkEnd w:id="1"/>
      <w:bookmarkEnd w:id="2"/>
      <w:bookmarkEnd w:id="3"/>
      <w:bookmarkEnd w:id="4"/>
    </w:p>
    <w:p w14:paraId="4ECED4FF">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重庆工商大学对重庆工商大学自营食堂大米面粉、食用油、鲜猪肉供应商采购项目（采购项目编号：CTBU-JZ2025XXX）进行公开招标，欢迎有资格的供应商参加投标。</w:t>
      </w:r>
    </w:p>
    <w:p w14:paraId="6FCE20C3">
      <w:pPr>
        <w:pStyle w:val="5"/>
        <w:spacing w:line="276" w:lineRule="auto"/>
        <w:ind w:firstLine="482" w:firstLineChars="200"/>
        <w:rPr>
          <w:rFonts w:ascii="方正仿宋_GBK" w:eastAsia="方正仿宋_GBK"/>
          <w:b/>
          <w:color w:val="auto"/>
          <w:sz w:val="24"/>
          <w:szCs w:val="24"/>
          <w:highlight w:val="none"/>
        </w:rPr>
      </w:pPr>
      <w:bookmarkStart w:id="5" w:name="_Toc115877684"/>
      <w:bookmarkStart w:id="6" w:name="_Toc4182"/>
      <w:bookmarkStart w:id="7" w:name="_Toc129178859"/>
      <w:bookmarkStart w:id="8" w:name="_Toc26446"/>
      <w:r>
        <w:rPr>
          <w:rFonts w:hint="eastAsia" w:ascii="方正仿宋_GBK" w:eastAsia="方正仿宋_GBK"/>
          <w:b/>
          <w:color w:val="auto"/>
          <w:sz w:val="24"/>
          <w:szCs w:val="24"/>
          <w:highlight w:val="none"/>
        </w:rPr>
        <w:t>一、招标项目内容</w:t>
      </w:r>
      <w:bookmarkEnd w:id="5"/>
      <w:bookmarkEnd w:id="6"/>
      <w:bookmarkEnd w:id="7"/>
      <w:bookmarkEnd w:id="8"/>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2837"/>
        <w:gridCol w:w="1250"/>
        <w:gridCol w:w="1896"/>
        <w:gridCol w:w="1598"/>
        <w:gridCol w:w="1534"/>
      </w:tblGrid>
      <w:tr w14:paraId="40194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jc w:val="center"/>
        </w:trPr>
        <w:tc>
          <w:tcPr>
            <w:tcW w:w="513" w:type="dxa"/>
            <w:vAlign w:val="center"/>
          </w:tcPr>
          <w:p w14:paraId="51CBC8C8">
            <w:pPr>
              <w:pStyle w:val="10"/>
              <w:spacing w:line="400" w:lineRule="exact"/>
              <w:ind w:left="0"/>
              <w:jc w:val="center"/>
              <w:outlineLvl w:val="0"/>
              <w:rPr>
                <w:rFonts w:ascii="方正仿宋_GBK" w:hAnsi="方正仿宋_GBK" w:eastAsia="方正仿宋_GBK" w:cs="方正仿宋_GBK"/>
                <w:b/>
                <w:color w:val="auto"/>
                <w:sz w:val="24"/>
                <w:szCs w:val="24"/>
                <w:highlight w:val="none"/>
              </w:rPr>
            </w:pPr>
            <w:bookmarkStart w:id="9" w:name="_Toc115877685"/>
            <w:bookmarkStart w:id="10" w:name="_Toc11421"/>
            <w:bookmarkStart w:id="11" w:name="_Toc129178860"/>
            <w:r>
              <w:rPr>
                <w:rFonts w:hint="eastAsia" w:ascii="方正仿宋_GBK" w:hAnsi="方正仿宋_GBK" w:eastAsia="方正仿宋_GBK" w:cs="方正仿宋_GBK"/>
                <w:b/>
                <w:color w:val="auto"/>
                <w:sz w:val="24"/>
                <w:szCs w:val="24"/>
                <w:highlight w:val="none"/>
              </w:rPr>
              <w:t>包号</w:t>
            </w:r>
          </w:p>
        </w:tc>
        <w:tc>
          <w:tcPr>
            <w:tcW w:w="2837" w:type="dxa"/>
            <w:vAlign w:val="center"/>
          </w:tcPr>
          <w:p w14:paraId="11E288E2">
            <w:pPr>
              <w:pStyle w:val="10"/>
              <w:spacing w:line="400" w:lineRule="exact"/>
              <w:ind w:left="0"/>
              <w:jc w:val="center"/>
              <w:outlineLvl w:val="0"/>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项目名称</w:t>
            </w:r>
          </w:p>
        </w:tc>
        <w:tc>
          <w:tcPr>
            <w:tcW w:w="1250" w:type="dxa"/>
            <w:vAlign w:val="center"/>
          </w:tcPr>
          <w:p w14:paraId="3AAA12FB">
            <w:pPr>
              <w:pStyle w:val="10"/>
              <w:spacing w:line="400" w:lineRule="exact"/>
              <w:ind w:left="0"/>
              <w:jc w:val="center"/>
              <w:outlineLvl w:val="0"/>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预算</w:t>
            </w:r>
          </w:p>
          <w:p w14:paraId="29A6E899">
            <w:pPr>
              <w:pStyle w:val="10"/>
              <w:spacing w:line="400" w:lineRule="exact"/>
              <w:ind w:left="0"/>
              <w:jc w:val="center"/>
              <w:outlineLvl w:val="0"/>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（万元）</w:t>
            </w:r>
          </w:p>
        </w:tc>
        <w:tc>
          <w:tcPr>
            <w:tcW w:w="1896" w:type="dxa"/>
            <w:vAlign w:val="center"/>
          </w:tcPr>
          <w:p w14:paraId="0335FF04">
            <w:pPr>
              <w:pStyle w:val="10"/>
              <w:spacing w:line="400" w:lineRule="exact"/>
              <w:ind w:left="0"/>
              <w:jc w:val="center"/>
              <w:outlineLvl w:val="0"/>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单价最高限价</w:t>
            </w:r>
          </w:p>
          <w:p w14:paraId="4984F03A">
            <w:pPr>
              <w:pStyle w:val="10"/>
              <w:spacing w:line="400" w:lineRule="exact"/>
              <w:ind w:left="0"/>
              <w:jc w:val="center"/>
              <w:outlineLvl w:val="0"/>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（折扣系数）</w:t>
            </w:r>
          </w:p>
        </w:tc>
        <w:tc>
          <w:tcPr>
            <w:tcW w:w="1598" w:type="dxa"/>
            <w:vAlign w:val="center"/>
          </w:tcPr>
          <w:p w14:paraId="0C00CE9F">
            <w:pPr>
              <w:pStyle w:val="10"/>
              <w:spacing w:line="400" w:lineRule="exact"/>
              <w:ind w:left="0"/>
              <w:jc w:val="center"/>
              <w:outlineLvl w:val="0"/>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中标人</w:t>
            </w:r>
          </w:p>
          <w:p w14:paraId="1603634F">
            <w:pPr>
              <w:pStyle w:val="10"/>
              <w:spacing w:line="400" w:lineRule="exact"/>
              <w:ind w:left="0"/>
              <w:jc w:val="center"/>
              <w:outlineLvl w:val="0"/>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数量</w:t>
            </w:r>
          </w:p>
        </w:tc>
        <w:tc>
          <w:tcPr>
            <w:tcW w:w="1534" w:type="dxa"/>
            <w:vAlign w:val="center"/>
          </w:tcPr>
          <w:p w14:paraId="1B05945C">
            <w:pPr>
              <w:pStyle w:val="10"/>
              <w:spacing w:line="400" w:lineRule="exact"/>
              <w:ind w:left="0"/>
              <w:jc w:val="center"/>
              <w:outlineLvl w:val="0"/>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投标保证金（万元）</w:t>
            </w:r>
          </w:p>
        </w:tc>
      </w:tr>
      <w:tr w14:paraId="26969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513" w:type="dxa"/>
            <w:vAlign w:val="center"/>
          </w:tcPr>
          <w:p w14:paraId="25821638">
            <w:pPr>
              <w:pStyle w:val="10"/>
              <w:spacing w:line="400" w:lineRule="exact"/>
              <w:ind w:left="0"/>
              <w:jc w:val="center"/>
              <w:outlineLvl w:val="0"/>
              <w:rPr>
                <w:rFonts w:ascii="方正仿宋_GBK" w:hAnsi="方正仿宋_GBK" w:eastAsia="方正仿宋_GBK" w:cs="方正仿宋_GBK"/>
                <w:bCs/>
                <w:color w:val="auto"/>
                <w:sz w:val="24"/>
                <w:szCs w:val="24"/>
                <w:highlight w:val="none"/>
              </w:rPr>
            </w:pPr>
            <w:bookmarkStart w:id="12" w:name="OLE_LINK4" w:colFirst="3" w:colLast="3"/>
            <w:bookmarkStart w:id="13" w:name="_Hlk204291240"/>
            <w:r>
              <w:rPr>
                <w:rFonts w:hint="eastAsia" w:ascii="方正仿宋_GBK" w:hAnsi="方正仿宋_GBK" w:eastAsia="方正仿宋_GBK" w:cs="方正仿宋_GBK"/>
                <w:bCs/>
                <w:color w:val="auto"/>
                <w:sz w:val="24"/>
                <w:szCs w:val="24"/>
                <w:highlight w:val="none"/>
              </w:rPr>
              <w:t>1</w:t>
            </w:r>
          </w:p>
        </w:tc>
        <w:tc>
          <w:tcPr>
            <w:tcW w:w="2837" w:type="dxa"/>
            <w:vAlign w:val="center"/>
          </w:tcPr>
          <w:p w14:paraId="0A9B1D64">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大米面粉</w:t>
            </w:r>
          </w:p>
        </w:tc>
        <w:tc>
          <w:tcPr>
            <w:tcW w:w="1250" w:type="dxa"/>
            <w:vAlign w:val="center"/>
          </w:tcPr>
          <w:p w14:paraId="7BC33DE5">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w:t>
            </w:r>
            <w:r>
              <w:rPr>
                <w:rFonts w:ascii="方正仿宋_GBK" w:hAnsi="方正仿宋_GBK" w:eastAsia="方正仿宋_GBK" w:cs="方正仿宋_GBK"/>
                <w:color w:val="auto"/>
                <w:sz w:val="24"/>
                <w:szCs w:val="24"/>
                <w:highlight w:val="none"/>
              </w:rPr>
              <w:t>14</w:t>
            </w:r>
          </w:p>
        </w:tc>
        <w:tc>
          <w:tcPr>
            <w:tcW w:w="1896" w:type="dxa"/>
            <w:vAlign w:val="center"/>
          </w:tcPr>
          <w:p w14:paraId="0C2A7FB8">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0</w:t>
            </w:r>
            <w:r>
              <w:rPr>
                <w:rFonts w:ascii="方正仿宋_GBK" w:hAnsi="方正仿宋_GBK" w:eastAsia="方正仿宋_GBK" w:cs="方正仿宋_GBK"/>
                <w:color w:val="auto"/>
                <w:sz w:val="24"/>
                <w:szCs w:val="24"/>
                <w:highlight w:val="none"/>
              </w:rPr>
              <w:t>.9</w:t>
            </w:r>
          </w:p>
        </w:tc>
        <w:tc>
          <w:tcPr>
            <w:tcW w:w="1598" w:type="dxa"/>
            <w:vAlign w:val="center"/>
          </w:tcPr>
          <w:p w14:paraId="55725D54">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w:t>
            </w:r>
          </w:p>
        </w:tc>
        <w:tc>
          <w:tcPr>
            <w:tcW w:w="1534" w:type="dxa"/>
            <w:vAlign w:val="center"/>
          </w:tcPr>
          <w:p w14:paraId="1F735528">
            <w:pPr>
              <w:pStyle w:val="8"/>
              <w:spacing w:line="400" w:lineRule="exact"/>
              <w:ind w:firstLine="0"/>
              <w:jc w:val="center"/>
              <w:outlineLvl w:val="0"/>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2</w:t>
            </w:r>
            <w:r>
              <w:rPr>
                <w:rFonts w:ascii="方正仿宋_GBK" w:hAnsi="方正仿宋_GBK" w:eastAsia="方正仿宋_GBK" w:cs="方正仿宋_GBK"/>
                <w:color w:val="auto"/>
                <w:highlight w:val="none"/>
              </w:rPr>
              <w:t>.2</w:t>
            </w:r>
          </w:p>
        </w:tc>
      </w:tr>
      <w:tr w14:paraId="38CB7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13" w:type="dxa"/>
            <w:vAlign w:val="center"/>
          </w:tcPr>
          <w:p w14:paraId="7A9539C1">
            <w:pPr>
              <w:pStyle w:val="10"/>
              <w:spacing w:line="400" w:lineRule="exact"/>
              <w:ind w:left="0"/>
              <w:jc w:val="center"/>
              <w:outlineLvl w:val="0"/>
              <w:rPr>
                <w:rFonts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2</w:t>
            </w:r>
          </w:p>
        </w:tc>
        <w:tc>
          <w:tcPr>
            <w:tcW w:w="2837" w:type="dxa"/>
            <w:vAlign w:val="center"/>
          </w:tcPr>
          <w:p w14:paraId="49D5AD9B">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食用油</w:t>
            </w:r>
          </w:p>
        </w:tc>
        <w:tc>
          <w:tcPr>
            <w:tcW w:w="1250" w:type="dxa"/>
            <w:vAlign w:val="center"/>
          </w:tcPr>
          <w:p w14:paraId="2571DCF7">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w:t>
            </w:r>
            <w:r>
              <w:rPr>
                <w:rFonts w:ascii="方正仿宋_GBK" w:hAnsi="方正仿宋_GBK" w:eastAsia="方正仿宋_GBK" w:cs="方正仿宋_GBK"/>
                <w:color w:val="auto"/>
                <w:sz w:val="24"/>
                <w:szCs w:val="24"/>
                <w:highlight w:val="none"/>
              </w:rPr>
              <w:t>12</w:t>
            </w:r>
          </w:p>
        </w:tc>
        <w:tc>
          <w:tcPr>
            <w:tcW w:w="1896" w:type="dxa"/>
            <w:vAlign w:val="center"/>
          </w:tcPr>
          <w:p w14:paraId="1C36B86A">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0</w:t>
            </w:r>
            <w:r>
              <w:rPr>
                <w:rFonts w:ascii="方正仿宋_GBK" w:hAnsi="方正仿宋_GBK" w:eastAsia="方正仿宋_GBK" w:cs="方正仿宋_GBK"/>
                <w:color w:val="auto"/>
                <w:sz w:val="24"/>
                <w:szCs w:val="24"/>
                <w:highlight w:val="none"/>
              </w:rPr>
              <w:t>.9</w:t>
            </w:r>
          </w:p>
        </w:tc>
        <w:tc>
          <w:tcPr>
            <w:tcW w:w="1598" w:type="dxa"/>
            <w:vAlign w:val="center"/>
          </w:tcPr>
          <w:p w14:paraId="7A4D7553">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w:t>
            </w:r>
          </w:p>
        </w:tc>
        <w:tc>
          <w:tcPr>
            <w:tcW w:w="1534" w:type="dxa"/>
            <w:vAlign w:val="center"/>
          </w:tcPr>
          <w:p w14:paraId="089AE18C">
            <w:pPr>
              <w:pStyle w:val="8"/>
              <w:spacing w:line="400" w:lineRule="exact"/>
              <w:ind w:firstLine="0"/>
              <w:jc w:val="center"/>
              <w:outlineLvl w:val="0"/>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2</w:t>
            </w:r>
          </w:p>
        </w:tc>
      </w:tr>
      <w:tr w14:paraId="72D3C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13" w:type="dxa"/>
            <w:vAlign w:val="center"/>
          </w:tcPr>
          <w:p w14:paraId="7187F564">
            <w:pPr>
              <w:pStyle w:val="10"/>
              <w:spacing w:line="400" w:lineRule="exact"/>
              <w:ind w:left="0"/>
              <w:jc w:val="center"/>
              <w:outlineLvl w:val="0"/>
              <w:rPr>
                <w:rFonts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3</w:t>
            </w:r>
          </w:p>
        </w:tc>
        <w:tc>
          <w:tcPr>
            <w:tcW w:w="2837" w:type="dxa"/>
            <w:vAlign w:val="center"/>
          </w:tcPr>
          <w:p w14:paraId="07DDEF99">
            <w:pPr>
              <w:jc w:val="center"/>
              <w:rPr>
                <w:rFonts w:ascii="方正仿宋_GBK" w:hAnsi="宋体" w:eastAsia="方正仿宋_GBK"/>
                <w:color w:val="auto"/>
                <w:sz w:val="24"/>
                <w:szCs w:val="24"/>
                <w:highlight w:val="none"/>
              </w:rPr>
            </w:pPr>
            <w:r>
              <w:rPr>
                <w:rFonts w:hint="eastAsia" w:ascii="方正仿宋_GBK" w:hAnsi="方正仿宋_GBK" w:eastAsia="方正仿宋_GBK" w:cs="方正仿宋_GBK"/>
                <w:color w:val="auto"/>
                <w:sz w:val="24"/>
                <w:szCs w:val="24"/>
                <w:highlight w:val="none"/>
              </w:rPr>
              <w:t>鲜猪肉</w:t>
            </w:r>
          </w:p>
        </w:tc>
        <w:tc>
          <w:tcPr>
            <w:tcW w:w="1250" w:type="dxa"/>
            <w:vAlign w:val="center"/>
          </w:tcPr>
          <w:p w14:paraId="683D7435">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w:t>
            </w:r>
            <w:r>
              <w:rPr>
                <w:rFonts w:ascii="方正仿宋_GBK" w:hAnsi="方正仿宋_GBK" w:eastAsia="方正仿宋_GBK" w:cs="方正仿宋_GBK"/>
                <w:color w:val="auto"/>
                <w:sz w:val="24"/>
                <w:szCs w:val="24"/>
                <w:highlight w:val="none"/>
              </w:rPr>
              <w:t>72</w:t>
            </w:r>
          </w:p>
        </w:tc>
        <w:tc>
          <w:tcPr>
            <w:tcW w:w="1896" w:type="dxa"/>
            <w:vAlign w:val="center"/>
          </w:tcPr>
          <w:p w14:paraId="189FF4DD">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0</w:t>
            </w:r>
            <w:r>
              <w:rPr>
                <w:rFonts w:ascii="方正仿宋_GBK" w:hAnsi="方正仿宋_GBK" w:eastAsia="方正仿宋_GBK" w:cs="方正仿宋_GBK"/>
                <w:color w:val="auto"/>
                <w:sz w:val="24"/>
                <w:szCs w:val="24"/>
                <w:highlight w:val="none"/>
              </w:rPr>
              <w:t>.9</w:t>
            </w:r>
          </w:p>
        </w:tc>
        <w:tc>
          <w:tcPr>
            <w:tcW w:w="1598" w:type="dxa"/>
            <w:vAlign w:val="center"/>
          </w:tcPr>
          <w:p w14:paraId="4B81936F">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w:t>
            </w:r>
          </w:p>
        </w:tc>
        <w:tc>
          <w:tcPr>
            <w:tcW w:w="1534" w:type="dxa"/>
            <w:vAlign w:val="center"/>
          </w:tcPr>
          <w:p w14:paraId="4501D84C">
            <w:pPr>
              <w:pStyle w:val="8"/>
              <w:spacing w:line="400" w:lineRule="exact"/>
              <w:ind w:firstLine="0"/>
              <w:jc w:val="center"/>
              <w:outlineLvl w:val="0"/>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3</w:t>
            </w:r>
            <w:r>
              <w:rPr>
                <w:rFonts w:ascii="方正仿宋_GBK" w:hAnsi="方正仿宋_GBK" w:eastAsia="方正仿宋_GBK" w:cs="方正仿宋_GBK"/>
                <w:color w:val="auto"/>
                <w:highlight w:val="none"/>
              </w:rPr>
              <w:t>.4</w:t>
            </w:r>
          </w:p>
        </w:tc>
      </w:tr>
      <w:bookmarkEnd w:id="12"/>
      <w:bookmarkEnd w:id="13"/>
    </w:tbl>
    <w:p w14:paraId="4179F0B4">
      <w:pPr>
        <w:ind w:firstLine="482" w:firstLineChars="200"/>
        <w:rPr>
          <w:color w:val="auto"/>
          <w:szCs w:val="21"/>
          <w:highlight w:val="none"/>
        </w:rPr>
      </w:pPr>
      <w:r>
        <w:rPr>
          <w:rFonts w:hint="eastAsia" w:ascii="方正仿宋_GBK" w:eastAsia="方正仿宋_GBK"/>
          <w:b/>
          <w:bCs/>
          <w:color w:val="auto"/>
          <w:sz w:val="24"/>
          <w:szCs w:val="24"/>
          <w:highlight w:val="none"/>
        </w:rPr>
        <w:t>注：</w:t>
      </w:r>
      <w:r>
        <w:rPr>
          <w:rFonts w:hint="eastAsia" w:ascii="方正仿宋_GBK" w:eastAsia="方正仿宋_GBK"/>
          <w:b/>
          <w:bCs/>
          <w:color w:val="auto"/>
          <w:sz w:val="24"/>
          <w:highlight w:val="none"/>
        </w:rPr>
        <w:t>供应商响应文件应按照分包分别装订，不得一起装订。</w:t>
      </w:r>
    </w:p>
    <w:p w14:paraId="7E140E04">
      <w:pPr>
        <w:pStyle w:val="5"/>
        <w:spacing w:line="276" w:lineRule="auto"/>
        <w:ind w:firstLine="482" w:firstLineChars="200"/>
        <w:rPr>
          <w:rFonts w:ascii="方正仿宋_GBK" w:eastAsia="方正仿宋_GBK"/>
          <w:b/>
          <w:color w:val="auto"/>
          <w:sz w:val="24"/>
          <w:szCs w:val="24"/>
          <w:highlight w:val="none"/>
        </w:rPr>
      </w:pPr>
      <w:bookmarkStart w:id="14" w:name="_Toc25174"/>
      <w:r>
        <w:rPr>
          <w:rFonts w:hint="eastAsia" w:ascii="方正仿宋_GBK" w:eastAsia="方正仿宋_GBK"/>
          <w:b/>
          <w:color w:val="auto"/>
          <w:sz w:val="24"/>
          <w:szCs w:val="24"/>
          <w:highlight w:val="none"/>
        </w:rPr>
        <w:t>二、资金来源</w:t>
      </w:r>
      <w:bookmarkEnd w:id="9"/>
      <w:bookmarkEnd w:id="10"/>
      <w:bookmarkEnd w:id="11"/>
      <w:bookmarkEnd w:id="14"/>
    </w:p>
    <w:p w14:paraId="626AAD7B">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采购人自筹（非财政性资金），两年的预算总金额为</w:t>
      </w:r>
      <w:r>
        <w:rPr>
          <w:rFonts w:ascii="方正仿宋_GBK" w:hAnsi="方正仿宋_GBK" w:eastAsia="方正仿宋_GBK" w:cs="方正仿宋_GBK"/>
          <w:color w:val="auto"/>
          <w:sz w:val="24"/>
          <w:szCs w:val="24"/>
          <w:highlight w:val="none"/>
        </w:rPr>
        <w:fldChar w:fldCharType="begin"/>
      </w:r>
      <w:r>
        <w:rPr>
          <w:rFonts w:ascii="方正仿宋_GBK" w:hAnsi="方正仿宋_GBK" w:eastAsia="方正仿宋_GBK" w:cs="方正仿宋_GBK"/>
          <w:color w:val="auto"/>
          <w:sz w:val="24"/>
          <w:szCs w:val="24"/>
          <w:highlight w:val="none"/>
        </w:rPr>
        <w:instrText xml:space="preserve"> </w:instrText>
      </w:r>
      <w:r>
        <w:rPr>
          <w:rFonts w:hint="eastAsia" w:ascii="方正仿宋_GBK" w:hAnsi="方正仿宋_GBK" w:eastAsia="方正仿宋_GBK" w:cs="方正仿宋_GBK"/>
          <w:color w:val="auto"/>
          <w:sz w:val="24"/>
          <w:szCs w:val="24"/>
          <w:highlight w:val="none"/>
        </w:rPr>
        <w:instrText xml:space="preserve">=SUM(ABOVE)</w:instrText>
      </w:r>
      <w:r>
        <w:rPr>
          <w:rFonts w:ascii="方正仿宋_GBK" w:hAnsi="方正仿宋_GBK" w:eastAsia="方正仿宋_GBK" w:cs="方正仿宋_GBK"/>
          <w:color w:val="auto"/>
          <w:sz w:val="24"/>
          <w:szCs w:val="24"/>
          <w:highlight w:val="none"/>
        </w:rPr>
        <w:instrText xml:space="preserve"> </w:instrText>
      </w:r>
      <w:r>
        <w:rPr>
          <w:rFonts w:ascii="方正仿宋_GBK" w:hAnsi="方正仿宋_GBK" w:eastAsia="方正仿宋_GBK" w:cs="方正仿宋_GBK"/>
          <w:color w:val="auto"/>
          <w:sz w:val="24"/>
          <w:szCs w:val="24"/>
          <w:highlight w:val="none"/>
        </w:rPr>
        <w:fldChar w:fldCharType="separate"/>
      </w:r>
      <w:r>
        <w:rPr>
          <w:rFonts w:ascii="方正仿宋_GBK" w:hAnsi="方正仿宋_GBK" w:eastAsia="方正仿宋_GBK" w:cs="方正仿宋_GBK"/>
          <w:color w:val="auto"/>
          <w:sz w:val="24"/>
          <w:szCs w:val="24"/>
          <w:highlight w:val="none"/>
        </w:rPr>
        <w:t>398</w:t>
      </w:r>
      <w:r>
        <w:rPr>
          <w:rFonts w:ascii="方正仿宋_GBK" w:hAnsi="方正仿宋_GBK" w:eastAsia="方正仿宋_GBK" w:cs="方正仿宋_GBK"/>
          <w:color w:val="auto"/>
          <w:sz w:val="24"/>
          <w:szCs w:val="24"/>
          <w:highlight w:val="none"/>
        </w:rPr>
        <w:fldChar w:fldCharType="end"/>
      </w:r>
      <w:r>
        <w:rPr>
          <w:rFonts w:hint="eastAsia" w:ascii="方正仿宋_GBK" w:hAnsi="宋体" w:eastAsia="方正仿宋_GBK"/>
          <w:color w:val="auto"/>
          <w:sz w:val="24"/>
          <w:szCs w:val="24"/>
          <w:highlight w:val="none"/>
        </w:rPr>
        <w:t>万元。</w:t>
      </w:r>
    </w:p>
    <w:p w14:paraId="318E359B">
      <w:pPr>
        <w:pStyle w:val="5"/>
        <w:spacing w:line="276" w:lineRule="auto"/>
        <w:ind w:firstLine="482" w:firstLineChars="200"/>
        <w:rPr>
          <w:rFonts w:ascii="方正仿宋_GBK" w:eastAsia="方正仿宋_GBK"/>
          <w:b/>
          <w:color w:val="auto"/>
          <w:sz w:val="24"/>
          <w:szCs w:val="24"/>
          <w:highlight w:val="none"/>
        </w:rPr>
      </w:pPr>
      <w:bookmarkStart w:id="15" w:name="_Toc22710"/>
      <w:bookmarkStart w:id="16" w:name="_Toc115877686"/>
      <w:bookmarkStart w:id="17" w:name="_Toc129178861"/>
      <w:bookmarkStart w:id="18" w:name="_Toc32039"/>
      <w:r>
        <w:rPr>
          <w:rFonts w:hint="eastAsia" w:ascii="方正仿宋_GBK" w:eastAsia="方正仿宋_GBK"/>
          <w:b/>
          <w:color w:val="auto"/>
          <w:sz w:val="24"/>
          <w:szCs w:val="24"/>
          <w:highlight w:val="none"/>
        </w:rPr>
        <w:t>三、供应商资格要求</w:t>
      </w:r>
      <w:bookmarkEnd w:id="15"/>
      <w:bookmarkEnd w:id="16"/>
      <w:bookmarkEnd w:id="17"/>
      <w:bookmarkEnd w:id="18"/>
    </w:p>
    <w:p w14:paraId="37AB40B1">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（一）满足《中华人民共和国政府采购法》第二十二条规定；</w:t>
      </w:r>
    </w:p>
    <w:p w14:paraId="3FDDA7C8">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（二）落实政府采购政策需满足的资格要求：无。</w:t>
      </w:r>
    </w:p>
    <w:p w14:paraId="357A898F">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（三）本项目的特定资格要求：</w:t>
      </w:r>
    </w:p>
    <w:p w14:paraId="38FC0DFD">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1.包1、包2、包3：</w:t>
      </w:r>
    </w:p>
    <w:p w14:paraId="38B170FC">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（1）供应商应具有行业主管部门颁发的有效的《食品经营许可证》或《食品生产许可证》，提供有效的许可证复印件并加盖供应商公章；</w:t>
      </w:r>
    </w:p>
    <w:p w14:paraId="0A4857BB">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（2）供应商提供生产商出具的授权经销函，或提供供应商与生产商有效期内的供销合同复印件。</w:t>
      </w:r>
    </w:p>
    <w:p w14:paraId="145A4ECB">
      <w:pPr>
        <w:spacing w:line="276" w:lineRule="auto"/>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2</w:t>
      </w:r>
      <w:r>
        <w:rPr>
          <w:rFonts w:hint="eastAsia" w:ascii="方正仿宋_GBK" w:hAnsi="宋体" w:eastAsia="方正仿宋_GBK"/>
          <w:color w:val="auto"/>
          <w:sz w:val="24"/>
          <w:szCs w:val="24"/>
          <w:highlight w:val="none"/>
        </w:rPr>
        <w:t>.包</w:t>
      </w:r>
      <w:r>
        <w:rPr>
          <w:rFonts w:ascii="方正仿宋_GBK" w:hAnsi="宋体" w:eastAsia="方正仿宋_GBK"/>
          <w:color w:val="auto"/>
          <w:sz w:val="24"/>
          <w:szCs w:val="24"/>
          <w:highlight w:val="none"/>
        </w:rPr>
        <w:t>3</w:t>
      </w:r>
      <w:r>
        <w:rPr>
          <w:rFonts w:hint="eastAsia" w:ascii="方正仿宋_GBK" w:hAnsi="宋体" w:eastAsia="方正仿宋_GBK"/>
          <w:color w:val="auto"/>
          <w:sz w:val="24"/>
          <w:szCs w:val="24"/>
          <w:highlight w:val="none"/>
        </w:rPr>
        <w:t>同时还需具备以下资质：</w:t>
      </w:r>
      <w:bookmarkStart w:id="19" w:name="_Toc21077"/>
      <w:bookmarkStart w:id="20" w:name="_Toc115877687"/>
      <w:bookmarkStart w:id="21" w:name="_Toc129178862"/>
    </w:p>
    <w:p w14:paraId="678D7B84">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（1）供应商所投产品的生产商具有生猪定点屠宰证、动物防疫条件合格证和排污许可证，提供有效的许可证复印件并加盖供应商公章；</w:t>
      </w:r>
    </w:p>
    <w:p w14:paraId="39C85284">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供应商所投产品的生产商具有生猪肉样品的动物检疫合格验讫印章、肉品品质检验合格验讫印章及动物检疫合格证、肉品品质检验合格证（简称两章两证），提供有效的许可证及印章复印件并加盖供应商公章。</w:t>
      </w:r>
    </w:p>
    <w:p w14:paraId="55126A71">
      <w:pPr>
        <w:spacing w:line="276" w:lineRule="auto"/>
        <w:ind w:firstLine="482" w:firstLineChars="200"/>
        <w:rPr>
          <w:rFonts w:ascii="方正仿宋_GBK" w:eastAsia="方正仿宋_GBK"/>
          <w:b/>
          <w:color w:val="auto"/>
          <w:sz w:val="24"/>
          <w:szCs w:val="24"/>
          <w:highlight w:val="none"/>
        </w:rPr>
      </w:pPr>
      <w:r>
        <w:rPr>
          <w:rFonts w:hint="eastAsia" w:ascii="方正仿宋_GBK" w:eastAsia="方正仿宋_GBK"/>
          <w:b/>
          <w:color w:val="auto"/>
          <w:sz w:val="24"/>
          <w:szCs w:val="24"/>
          <w:highlight w:val="none"/>
        </w:rPr>
        <w:t>四、投标、开标有关说明</w:t>
      </w:r>
      <w:bookmarkEnd w:id="19"/>
      <w:bookmarkEnd w:id="20"/>
      <w:bookmarkEnd w:id="21"/>
    </w:p>
    <w:p w14:paraId="3E8A5EBF">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凡有意参加投标的供应商，请到“行采家网”或“重庆工商大学招投标信息网”（https://zbcg.ctbu.edu.cn/）网上下载本项目招标文件以及图纸、澄清等开标前公布的所有项目资料，无论供应商领取或下载与否，均视为已知晓所有招标内容。</w:t>
      </w:r>
    </w:p>
    <w:p w14:paraId="5D619C3A">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（二）招标文件公告期限：自采购公告发布之日起五个工作日。</w:t>
      </w:r>
    </w:p>
    <w:p w14:paraId="04B34AEB">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（三）招标文件提供期限</w:t>
      </w:r>
    </w:p>
    <w:p w14:paraId="6D4DD7C9">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1.招标文件提供期限：同招标文件公告期限。</w:t>
      </w:r>
    </w:p>
    <w:p w14:paraId="5E5C1F9F">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2.报名方式：无需报名。</w:t>
      </w:r>
    </w:p>
    <w:p w14:paraId="0F35FC4B">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（四）投标地点：重庆工商大学南岸校区厚德楼8002室</w:t>
      </w:r>
    </w:p>
    <w:p w14:paraId="251C8172">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（五）投标截止时间：2025年8月15日北京时间9:30</w:t>
      </w:r>
    </w:p>
    <w:p w14:paraId="519EAEBB">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（六）开标时间：2025年8月15日北京时间9:30</w:t>
      </w:r>
    </w:p>
    <w:p w14:paraId="4FA21E3D">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（七）开标地点：同投标地点</w:t>
      </w:r>
    </w:p>
    <w:p w14:paraId="196EEFFE">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（八）供应商应承担其编制与递交投标文件所涉及的一切费用，无论投标结果如何，采购人对上述费用概不负责，均由供应商承担。</w:t>
      </w:r>
    </w:p>
    <w:p w14:paraId="4FF990FB">
      <w:pPr>
        <w:pStyle w:val="5"/>
        <w:spacing w:line="276" w:lineRule="auto"/>
        <w:ind w:firstLine="482" w:firstLineChars="200"/>
        <w:rPr>
          <w:rFonts w:ascii="方正仿宋_GBK" w:eastAsia="方正仿宋_GBK"/>
          <w:b/>
          <w:color w:val="auto"/>
          <w:sz w:val="24"/>
          <w:szCs w:val="24"/>
          <w:highlight w:val="none"/>
        </w:rPr>
      </w:pPr>
      <w:bookmarkStart w:id="22" w:name="_Toc17314"/>
      <w:r>
        <w:rPr>
          <w:rFonts w:hint="eastAsia" w:ascii="方正仿宋_GBK" w:eastAsia="方正仿宋_GBK"/>
          <w:b/>
          <w:color w:val="auto"/>
          <w:sz w:val="24"/>
          <w:szCs w:val="24"/>
          <w:highlight w:val="none"/>
        </w:rPr>
        <w:t>五、</w:t>
      </w:r>
      <w:bookmarkStart w:id="23" w:name="_Hlk67925870"/>
      <w:r>
        <w:rPr>
          <w:rFonts w:hint="eastAsia" w:ascii="方正仿宋_GBK" w:eastAsia="方正仿宋_GBK"/>
          <w:b/>
          <w:color w:val="auto"/>
          <w:sz w:val="24"/>
          <w:szCs w:val="24"/>
          <w:highlight w:val="none"/>
        </w:rPr>
        <w:t>招标文件购买费</w:t>
      </w:r>
      <w:bookmarkEnd w:id="23"/>
      <w:r>
        <w:rPr>
          <w:rFonts w:hint="eastAsia" w:ascii="方正仿宋_GBK" w:eastAsia="方正仿宋_GBK"/>
          <w:b/>
          <w:color w:val="auto"/>
          <w:sz w:val="24"/>
          <w:szCs w:val="24"/>
          <w:highlight w:val="none"/>
        </w:rPr>
        <w:t>、投标保证金</w:t>
      </w:r>
      <w:bookmarkEnd w:id="22"/>
    </w:p>
    <w:p w14:paraId="343BBF62">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（一）缴纳方式</w:t>
      </w:r>
    </w:p>
    <w:p w14:paraId="7329D00A">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须按本项目规定的招标文件购买费（200元/包，不退）、投标保证金（保证金金额详见本篇，一、招标项目内容）进行缴纳，由供应商从其基本账户将招标文件购买费、投标保证金（同一分包下的招标文件购买费和投标保证金须分开缴纳）汇至以下账户，到账截止时间为开标时间。同一供应商投多个分包的，招标文件购买费、投标保证金按照分包要求缴纳。</w:t>
      </w:r>
    </w:p>
    <w:p w14:paraId="261F0DBD">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（二）重庆工商大学招标文件购买费、投标保证金账户：</w:t>
      </w:r>
    </w:p>
    <w:p w14:paraId="105EDA1D">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户  名：重庆工商大学</w:t>
      </w:r>
    </w:p>
    <w:p w14:paraId="21E244D5">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账  号：9558853100753300080</w:t>
      </w:r>
    </w:p>
    <w:p w14:paraId="00775EFF">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开户行：工行重庆南岸学府支行</w:t>
      </w:r>
    </w:p>
    <w:p w14:paraId="7E841847">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1.汇款的供应商须在付款凭证摘要/用途中填写“CTBU-JZ2025XXX-包1/包2/包3”，并在投标文件中附纸质的转账凭证复印件。</w:t>
      </w:r>
    </w:p>
    <w:p w14:paraId="2CA44C1D">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2.供应商在缴纳招标文件购买费和投标保证金时，到款账户为上述指定的专用账户，来款账户必须为本公司基本账户。</w:t>
      </w:r>
    </w:p>
    <w:p w14:paraId="3608BE57">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3.供应商在银行转账（电汇）时，须充分考虑银行转账（电汇）的时间差风险，如同城转账、异地转账或汇款、跨行转账或电汇的时间要求。</w:t>
      </w:r>
    </w:p>
    <w:p w14:paraId="087AE63A">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（二）保证金退还方式</w:t>
      </w:r>
    </w:p>
    <w:p w14:paraId="6DDEF1A5">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1.未中标供应商的保证金，在中标通知书发放后，采购人在五个工作日内按来款渠道直接退还。</w:t>
      </w:r>
    </w:p>
    <w:p w14:paraId="1CE93816">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2.中标人的投标保证金，在中标人缴纳履约保证金后，采购人在五个工作日内按资金来款渠道直接退还。</w:t>
      </w:r>
    </w:p>
    <w:p w14:paraId="3A196242">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注：如遇寒暑假或国家重大事件，则顺延至开学或条件允许后退还。</w:t>
      </w:r>
    </w:p>
    <w:p w14:paraId="7ADB55A4">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（三）其他</w:t>
      </w:r>
    </w:p>
    <w:p w14:paraId="4B716259">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供应商递交投标文件时须另外提供基本账户信息（单独手持），包括供应商名称、供应商开户银行、开户行账号、纳税人识别号，加盖供应商鲜章，以便采购人顺利开具招标文件购买费发票及退还投标保证金。</w:t>
      </w:r>
    </w:p>
    <w:p w14:paraId="57D6CE37">
      <w:pPr>
        <w:pStyle w:val="5"/>
        <w:spacing w:line="276" w:lineRule="auto"/>
        <w:ind w:firstLine="482" w:firstLineChars="200"/>
        <w:rPr>
          <w:rFonts w:ascii="方正仿宋_GBK" w:eastAsia="方正仿宋_GBK"/>
          <w:b/>
          <w:color w:val="auto"/>
          <w:sz w:val="24"/>
          <w:szCs w:val="24"/>
          <w:highlight w:val="none"/>
        </w:rPr>
      </w:pPr>
      <w:bookmarkStart w:id="24" w:name="_Toc115877688"/>
      <w:bookmarkStart w:id="25" w:name="_Toc59621287"/>
      <w:bookmarkStart w:id="26" w:name="_Toc6548"/>
      <w:bookmarkStart w:id="27" w:name="_Toc129178863"/>
      <w:bookmarkStart w:id="28" w:name="_Toc19304"/>
      <w:r>
        <w:rPr>
          <w:rFonts w:hint="eastAsia" w:ascii="方正仿宋_GBK" w:eastAsia="方正仿宋_GBK"/>
          <w:b/>
          <w:color w:val="auto"/>
          <w:sz w:val="24"/>
          <w:szCs w:val="24"/>
          <w:highlight w:val="none"/>
        </w:rPr>
        <w:t>六、</w:t>
      </w:r>
      <w:bookmarkEnd w:id="24"/>
      <w:bookmarkEnd w:id="25"/>
      <w:bookmarkEnd w:id="26"/>
      <w:bookmarkEnd w:id="27"/>
      <w:bookmarkStart w:id="29" w:name="_Toc129178864"/>
      <w:bookmarkStart w:id="30" w:name="_Toc115877689"/>
      <w:bookmarkStart w:id="31" w:name="_Toc59621288"/>
      <w:bookmarkStart w:id="32" w:name="_Toc24045"/>
      <w:r>
        <w:rPr>
          <w:rFonts w:hint="eastAsia" w:ascii="方正仿宋_GBK" w:eastAsia="方正仿宋_GBK"/>
          <w:b/>
          <w:color w:val="auto"/>
          <w:sz w:val="24"/>
          <w:szCs w:val="24"/>
          <w:highlight w:val="none"/>
        </w:rPr>
        <w:t>投标有关规定</w:t>
      </w:r>
      <w:bookmarkEnd w:id="28"/>
      <w:bookmarkEnd w:id="29"/>
      <w:bookmarkEnd w:id="30"/>
      <w:bookmarkEnd w:id="31"/>
      <w:bookmarkEnd w:id="32"/>
    </w:p>
    <w:p w14:paraId="66B204AC">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（一）单位负责人为同一人或者存在直接控股、管理关系的不同供应商，不得参加同一合同项（包）下的政府采购活动。</w:t>
      </w:r>
    </w:p>
    <w:p w14:paraId="566A1B84">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（二）为采购项目提供整体设计、规范编制或者项目管理、监理、检测等服务的供应商，不得再参加该采购项目的其他采购活动。</w:t>
      </w:r>
    </w:p>
    <w:p w14:paraId="3FAE7969">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（三）本项目若有澄清文件一律在行采家网（https://www.gec123.com/）或重庆工商大学招投标信息网（</w:t>
      </w:r>
      <w:r>
        <w:rPr>
          <w:color w:val="auto"/>
          <w:highlight w:val="none"/>
        </w:rPr>
        <w:fldChar w:fldCharType="begin"/>
      </w:r>
      <w:r>
        <w:rPr>
          <w:color w:val="auto"/>
          <w:highlight w:val="none"/>
        </w:rPr>
        <w:instrText xml:space="preserve"> HYPERLINK "https://zbcg.ctbu.edu.cn/" </w:instrText>
      </w:r>
      <w:r>
        <w:rPr>
          <w:color w:val="auto"/>
          <w:highlight w:val="none"/>
        </w:rPr>
        <w:fldChar w:fldCharType="separate"/>
      </w:r>
      <w:r>
        <w:rPr>
          <w:rFonts w:hint="eastAsia" w:ascii="方正仿宋_GBK" w:hAnsi="宋体" w:eastAsia="方正仿宋_GBK"/>
          <w:color w:val="auto"/>
          <w:sz w:val="24"/>
          <w:szCs w:val="24"/>
          <w:highlight w:val="none"/>
        </w:rPr>
        <w:t>https://zbcg.ctbu.edu.cn/</w:t>
      </w:r>
      <w:r>
        <w:rPr>
          <w:rFonts w:hint="eastAsia" w:ascii="方正仿宋_GBK" w:hAnsi="宋体" w:eastAsia="方正仿宋_GBK"/>
          <w:color w:val="auto"/>
          <w:sz w:val="24"/>
          <w:szCs w:val="24"/>
          <w:highlight w:val="none"/>
        </w:rPr>
        <w:fldChar w:fldCharType="end"/>
      </w:r>
      <w:r>
        <w:rPr>
          <w:rFonts w:hint="eastAsia" w:ascii="方正仿宋_GBK" w:hAnsi="宋体" w:eastAsia="方正仿宋_GBK"/>
          <w:color w:val="auto"/>
          <w:sz w:val="24"/>
          <w:szCs w:val="24"/>
          <w:highlight w:val="none"/>
        </w:rPr>
        <w:t>）上发布，请各供应商注意下载；无论供应商下载或领取与否，均视同供应商已知晓本项目澄清文件的内容。</w:t>
      </w:r>
    </w:p>
    <w:p w14:paraId="236B361A">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（四）超过投标截止时间递交的投标文件，恕不接收。</w:t>
      </w:r>
    </w:p>
    <w:p w14:paraId="63075138">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val="en-US" w:eastAsia="zh-CN"/>
        </w:rPr>
        <w:t>五</w:t>
      </w:r>
      <w:r>
        <w:rPr>
          <w:rFonts w:hint="eastAsia" w:ascii="方正仿宋_GBK" w:hAnsi="宋体" w:eastAsia="方正仿宋_GBK"/>
          <w:color w:val="auto"/>
          <w:sz w:val="24"/>
          <w:szCs w:val="24"/>
          <w:highlight w:val="none"/>
        </w:rPr>
        <w:t>）投标费用：无论投标结果如何，投标人参与本项目投标的所有费用均应由投标人自行承担。</w:t>
      </w:r>
    </w:p>
    <w:p w14:paraId="2AC3C004">
      <w:pPr>
        <w:spacing w:line="276" w:lineRule="auto"/>
        <w:ind w:firstLine="482" w:firstLineChars="20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w:t>
      </w:r>
      <w:r>
        <w:rPr>
          <w:rFonts w:hint="eastAsia" w:ascii="方正仿宋_GBK" w:hAnsi="宋体" w:eastAsia="方正仿宋_GBK"/>
          <w:b/>
          <w:bCs/>
          <w:color w:val="auto"/>
          <w:sz w:val="24"/>
          <w:szCs w:val="24"/>
          <w:highlight w:val="none"/>
          <w:lang w:val="en-US" w:eastAsia="zh-CN"/>
        </w:rPr>
        <w:t>六</w:t>
      </w:r>
      <w:r>
        <w:rPr>
          <w:rFonts w:hint="eastAsia" w:ascii="方正仿宋_GBK" w:hAnsi="宋体" w:eastAsia="方正仿宋_GBK"/>
          <w:b/>
          <w:bCs/>
          <w:color w:val="auto"/>
          <w:sz w:val="24"/>
          <w:szCs w:val="24"/>
          <w:highlight w:val="none"/>
        </w:rPr>
        <w:t>）本项目不接受联合体参与投标。</w:t>
      </w:r>
    </w:p>
    <w:p w14:paraId="32AA17CB">
      <w:pPr>
        <w:spacing w:line="276" w:lineRule="auto"/>
        <w:ind w:firstLine="482" w:firstLineChars="20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w:t>
      </w:r>
      <w:r>
        <w:rPr>
          <w:rFonts w:hint="eastAsia" w:ascii="方正仿宋_GBK" w:hAnsi="宋体" w:eastAsia="方正仿宋_GBK"/>
          <w:b/>
          <w:bCs/>
          <w:color w:val="auto"/>
          <w:sz w:val="24"/>
          <w:szCs w:val="24"/>
          <w:highlight w:val="none"/>
          <w:lang w:val="en-US" w:eastAsia="zh-CN"/>
        </w:rPr>
        <w:t>七</w:t>
      </w:r>
      <w:r>
        <w:rPr>
          <w:rFonts w:hint="eastAsia" w:ascii="方正仿宋_GBK" w:hAnsi="宋体" w:eastAsia="方正仿宋_GBK"/>
          <w:b/>
          <w:bCs/>
          <w:color w:val="auto"/>
          <w:sz w:val="24"/>
          <w:szCs w:val="24"/>
          <w:highlight w:val="none"/>
        </w:rPr>
        <w:t>）本项目不接受合同分包。</w:t>
      </w:r>
    </w:p>
    <w:p w14:paraId="474A4DD5">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val="en-US" w:eastAsia="zh-CN"/>
        </w:rPr>
        <w:t>八</w:t>
      </w:r>
      <w:r>
        <w:rPr>
          <w:rFonts w:hint="eastAsia" w:ascii="方正仿宋_GBK" w:hAnsi="宋体" w:eastAsia="方正仿宋_GBK"/>
          <w:color w:val="auto"/>
          <w:sz w:val="24"/>
          <w:szCs w:val="24"/>
          <w:highlight w:val="none"/>
        </w:rPr>
        <w:t>）</w:t>
      </w:r>
      <w:bookmarkStart w:id="33" w:name="OLE_LINK1"/>
      <w:bookmarkStart w:id="34" w:name="OLE_LINK2"/>
      <w:r>
        <w:rPr>
          <w:rFonts w:hint="eastAsia" w:ascii="方正仿宋_GBK" w:hAnsi="宋体" w:eastAsia="方正仿宋_GBK"/>
          <w:color w:val="auto"/>
          <w:sz w:val="24"/>
          <w:szCs w:val="24"/>
          <w:highlight w:val="none"/>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33"/>
      <w:bookmarkEnd w:id="34"/>
      <w:r>
        <w:rPr>
          <w:rFonts w:hint="eastAsia" w:ascii="方正仿宋_GBK" w:hAnsi="宋体" w:eastAsia="方正仿宋_GBK"/>
          <w:color w:val="auto"/>
          <w:sz w:val="24"/>
          <w:szCs w:val="24"/>
          <w:highlight w:val="none"/>
        </w:rPr>
        <w:t>投标人，将拒绝其参与政府采购活动。</w:t>
      </w:r>
    </w:p>
    <w:p w14:paraId="0898C138">
      <w:pPr>
        <w:pStyle w:val="5"/>
        <w:spacing w:line="276" w:lineRule="auto"/>
        <w:ind w:firstLine="482" w:firstLineChars="200"/>
        <w:rPr>
          <w:rFonts w:ascii="方正仿宋_GBK" w:eastAsia="方正仿宋_GBK"/>
          <w:b/>
          <w:color w:val="auto"/>
          <w:sz w:val="24"/>
          <w:szCs w:val="24"/>
          <w:highlight w:val="none"/>
        </w:rPr>
      </w:pPr>
      <w:bookmarkStart w:id="35" w:name="_Toc618"/>
      <w:bookmarkStart w:id="36" w:name="_Toc14162"/>
      <w:bookmarkStart w:id="37" w:name="_Toc129178865"/>
      <w:bookmarkStart w:id="38" w:name="_Toc115877690"/>
      <w:bookmarkStart w:id="39" w:name="_Toc59621289"/>
      <w:r>
        <w:rPr>
          <w:rFonts w:hint="eastAsia" w:ascii="方正仿宋_GBK" w:eastAsia="方正仿宋_GBK"/>
          <w:b/>
          <w:color w:val="auto"/>
          <w:sz w:val="24"/>
          <w:szCs w:val="24"/>
          <w:highlight w:val="none"/>
        </w:rPr>
        <w:t>七、联系方式</w:t>
      </w:r>
      <w:bookmarkEnd w:id="35"/>
      <w:bookmarkEnd w:id="36"/>
      <w:bookmarkEnd w:id="37"/>
      <w:bookmarkEnd w:id="38"/>
      <w:bookmarkEnd w:id="39"/>
    </w:p>
    <w:p w14:paraId="673936D7">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（一）采购人：重庆工商大学 </w:t>
      </w:r>
    </w:p>
    <w:p w14:paraId="18F9CA79">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联系人：阎老师</w:t>
      </w:r>
    </w:p>
    <w:p w14:paraId="41D93ACE">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电  话：023-62769774</w:t>
      </w:r>
    </w:p>
    <w:p w14:paraId="45B1C92D">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地  址：重庆市南岸区学府大道19号</w:t>
      </w:r>
    </w:p>
    <w:p w14:paraId="507FA31B">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（二）技术咨询/现场勘查</w:t>
      </w:r>
    </w:p>
    <w:p w14:paraId="4BA121E4">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联系人：金老师</w:t>
      </w:r>
    </w:p>
    <w:p w14:paraId="7F9E14EC">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电  话：17782014982</w:t>
      </w:r>
    </w:p>
    <w:p w14:paraId="6E958D8E">
      <w:pPr>
        <w:pStyle w:val="5"/>
        <w:spacing w:line="276" w:lineRule="auto"/>
        <w:ind w:firstLine="482" w:firstLineChars="200"/>
        <w:rPr>
          <w:rFonts w:ascii="方正仿宋_GBK" w:eastAsia="方正仿宋_GBK"/>
          <w:b/>
          <w:color w:val="auto"/>
          <w:sz w:val="24"/>
          <w:szCs w:val="24"/>
          <w:highlight w:val="none"/>
        </w:rPr>
      </w:pPr>
      <w:bookmarkStart w:id="40" w:name="_Toc6646"/>
      <w:bookmarkStart w:id="41" w:name="_Toc534903757"/>
      <w:bookmarkStart w:id="42" w:name="_Toc14999"/>
      <w:bookmarkStart w:id="43" w:name="_Toc129178866"/>
      <w:bookmarkStart w:id="44" w:name="_Toc115877691"/>
      <w:bookmarkStart w:id="45" w:name="_Toc6597"/>
      <w:r>
        <w:rPr>
          <w:rFonts w:hint="eastAsia" w:ascii="方正仿宋_GBK" w:eastAsia="方正仿宋_GBK"/>
          <w:b/>
          <w:color w:val="auto"/>
          <w:sz w:val="24"/>
          <w:szCs w:val="24"/>
          <w:highlight w:val="none"/>
        </w:rPr>
        <w:t>八、现场踏勘</w:t>
      </w:r>
      <w:bookmarkEnd w:id="40"/>
      <w:bookmarkEnd w:id="41"/>
      <w:bookmarkEnd w:id="42"/>
    </w:p>
    <w:p w14:paraId="7A64691C">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采购人不统一组织踏勘，供应商可于投标截止时间前自行对项目服务现场和周围环境进行勘察，并根据现场勘察了解项目情况，测算各项工作量，以获取有关准备投标文件和签署合同所需要的资料和信息。供应商据此做出的判断和决策，由供应商自行负责。</w:t>
      </w:r>
    </w:p>
    <w:p w14:paraId="79213FFE">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无论供应商是否进行现场踏勘，均视为已踏勘过现场并认可本项目现场情况，在递交投标文件前已经充分了解本项目整体情况。能对应作出符合文件要求的实施方案，可能产生的风险意外已在投标文件中体现。</w:t>
      </w:r>
    </w:p>
    <w:p w14:paraId="0BA0F7FA">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（三）供应商因自身原因未到现场实地踏勘的，在签订合同时和履约过程中，不得以不完全了解现场情况为由，提出任何形式的增加款项或索赔的要求。</w:t>
      </w:r>
    </w:p>
    <w:p w14:paraId="3955D94F">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（四）勘察现场所发生的一切费用由潜在供应商自行承担。</w:t>
      </w:r>
    </w:p>
    <w:p w14:paraId="2D7E7AFA">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联系人：金老师</w:t>
      </w:r>
    </w:p>
    <w:p w14:paraId="6840830A">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电  话：17782014982</w:t>
      </w:r>
    </w:p>
    <w:p w14:paraId="0DEFF5A5">
      <w:pPr>
        <w:pStyle w:val="5"/>
        <w:spacing w:line="276" w:lineRule="auto"/>
        <w:ind w:firstLine="482" w:firstLineChars="200"/>
        <w:rPr>
          <w:rFonts w:ascii="方正仿宋_GBK" w:eastAsia="方正仿宋_GBK"/>
          <w:b/>
          <w:color w:val="auto"/>
          <w:sz w:val="24"/>
          <w:szCs w:val="24"/>
          <w:highlight w:val="none"/>
        </w:rPr>
      </w:pPr>
      <w:bookmarkStart w:id="46" w:name="_Toc25063"/>
      <w:r>
        <w:rPr>
          <w:rFonts w:hint="eastAsia" w:ascii="方正仿宋_GBK" w:eastAsia="方正仿宋_GBK"/>
          <w:b/>
          <w:color w:val="auto"/>
          <w:sz w:val="24"/>
          <w:szCs w:val="24"/>
          <w:highlight w:val="none"/>
        </w:rPr>
        <w:t>九、其他要求</w:t>
      </w:r>
      <w:bookmarkEnd w:id="43"/>
      <w:bookmarkEnd w:id="44"/>
      <w:bookmarkEnd w:id="45"/>
      <w:bookmarkEnd w:id="46"/>
    </w:p>
    <w:p w14:paraId="49AF7AB5">
      <w:pPr>
        <w:snapToGrid w:val="0"/>
        <w:spacing w:line="276" w:lineRule="auto"/>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供应商请在提交投标文件的规定时段从重庆工商大学南岸校区（西门）（重庆市南岸区学府大道19号）进入，请主动向门卫出示本人有效身份证件，同时请及时向门卫通报采购项目名称（同时出示投标文件等证明材料），以便门卫核查报备信息。投标文件提交结束后，请供应商及时离校，不停留不逗留（注：供应商来校人数原则上不超过2人）。</w:t>
      </w:r>
    </w:p>
    <w:p w14:paraId="6C033B55">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eastAsia="方正仿宋_GBK"/>
          <w:color w:val="auto"/>
          <w:sz w:val="24"/>
          <w:szCs w:val="24"/>
          <w:highlight w:val="none"/>
        </w:rPr>
        <w:t>若未按上述要求操作，造成提交投标文件时间延误的，后果自负。若因此扰乱采购人正常疫情防控秩序的，由供应商承担全部责任。</w:t>
      </w:r>
    </w:p>
    <w:p w14:paraId="530813F4">
      <w:pPr>
        <w:pStyle w:val="4"/>
        <w:spacing w:before="0" w:beforeLines="0" w:after="0" w:afterLines="0" w:line="276" w:lineRule="auto"/>
        <w:rPr>
          <w:rFonts w:ascii="方正仿宋_GBK" w:hAnsi="宋体" w:eastAsia="方正仿宋_GBK"/>
          <w:b/>
          <w:color w:val="auto"/>
          <w:szCs w:val="44"/>
          <w:highlight w:val="none"/>
        </w:rPr>
      </w:pPr>
      <w:r>
        <w:rPr>
          <w:rFonts w:hint="eastAsia" w:ascii="方正仿宋_GBK" w:hAnsi="宋体" w:eastAsia="方正仿宋_GBK"/>
          <w:b/>
          <w:color w:val="auto"/>
          <w:sz w:val="24"/>
          <w:szCs w:val="24"/>
          <w:highlight w:val="none"/>
        </w:rPr>
        <w:br w:type="page"/>
      </w:r>
      <w:bookmarkStart w:id="47" w:name="_Toc115877692"/>
      <w:bookmarkStart w:id="48" w:name="_Toc129178867"/>
      <w:bookmarkStart w:id="49" w:name="_Toc1570"/>
      <w:bookmarkStart w:id="50" w:name="_Toc16570"/>
      <w:r>
        <w:rPr>
          <w:rFonts w:hint="eastAsia" w:ascii="方正仿宋_GBK" w:hAnsi="宋体" w:eastAsia="方正仿宋_GBK"/>
          <w:b/>
          <w:color w:val="auto"/>
          <w:szCs w:val="44"/>
          <w:highlight w:val="none"/>
        </w:rPr>
        <w:t>第二篇  项目服务要求</w:t>
      </w:r>
      <w:bookmarkEnd w:id="47"/>
      <w:bookmarkEnd w:id="48"/>
      <w:bookmarkEnd w:id="49"/>
      <w:bookmarkEnd w:id="50"/>
    </w:p>
    <w:p w14:paraId="77F25D04">
      <w:pPr>
        <w:spacing w:line="276" w:lineRule="auto"/>
        <w:ind w:firstLine="480" w:firstLineChars="200"/>
        <w:outlineLvl w:val="2"/>
        <w:rPr>
          <w:rFonts w:ascii="方正仿宋_GBK" w:hAnsi="宋体" w:eastAsia="方正仿宋_GBK"/>
          <w:color w:val="auto"/>
          <w:sz w:val="24"/>
          <w:szCs w:val="24"/>
          <w:highlight w:val="none"/>
        </w:rPr>
      </w:pPr>
      <w:bookmarkStart w:id="51" w:name="_Toc129178868"/>
      <w:bookmarkStart w:id="52" w:name="_Toc115877693"/>
      <w:bookmarkStart w:id="53" w:name="_Toc21088"/>
      <w:r>
        <w:rPr>
          <w:rFonts w:hint="eastAsia" w:ascii="方正仿宋_GBK" w:hAnsi="宋体" w:eastAsia="方正仿宋_GBK"/>
          <w:color w:val="auto"/>
          <w:sz w:val="24"/>
          <w:szCs w:val="24"/>
          <w:highlight w:val="none"/>
          <w:lang w:eastAsia="zh-Hans"/>
        </w:rPr>
        <w:t>“※”标注的技术需求为符合性审查中的实质性要求，若不满足按无效投标处理。</w:t>
      </w:r>
    </w:p>
    <w:p w14:paraId="27E75971">
      <w:pPr>
        <w:pStyle w:val="5"/>
        <w:spacing w:line="276" w:lineRule="auto"/>
        <w:rPr>
          <w:rFonts w:ascii="方正仿宋_GBK" w:eastAsia="方正仿宋_GBK"/>
          <w:b/>
          <w:color w:val="auto"/>
          <w:sz w:val="24"/>
          <w:szCs w:val="24"/>
          <w:highlight w:val="none"/>
        </w:rPr>
      </w:pPr>
      <w:bookmarkStart w:id="54" w:name="_Toc28125"/>
      <w:r>
        <w:rPr>
          <w:rFonts w:hint="eastAsia" w:ascii="方正仿宋_GBK" w:eastAsia="方正仿宋_GBK"/>
          <w:b/>
          <w:color w:val="auto"/>
          <w:sz w:val="24"/>
          <w:szCs w:val="24"/>
          <w:highlight w:val="none"/>
        </w:rPr>
        <w:t>一、招标项目一览表</w:t>
      </w:r>
      <w:bookmarkEnd w:id="51"/>
      <w:bookmarkEnd w:id="52"/>
      <w:bookmarkEnd w:id="53"/>
      <w:bookmarkEnd w:id="54"/>
    </w:p>
    <w:p w14:paraId="715F089C">
      <w:pPr>
        <w:spacing w:line="276" w:lineRule="auto"/>
        <w:ind w:firstLine="482" w:firstLineChars="200"/>
        <w:outlineLvl w:val="2"/>
        <w:rPr>
          <w:rFonts w:ascii="方正仿宋_GBK" w:hAnsi="宋体" w:eastAsia="方正仿宋_GBK"/>
          <w:b/>
          <w:bCs/>
          <w:color w:val="auto"/>
          <w:sz w:val="24"/>
          <w:szCs w:val="24"/>
          <w:highlight w:val="none"/>
        </w:rPr>
      </w:pPr>
      <w:bookmarkStart w:id="55" w:name="_Toc30089"/>
      <w:bookmarkStart w:id="56" w:name="_Toc115877694"/>
      <w:bookmarkStart w:id="57" w:name="_Toc129178869"/>
      <w:r>
        <w:rPr>
          <w:rFonts w:hint="eastAsia" w:ascii="方正仿宋_GBK" w:hAnsi="宋体" w:eastAsia="方正仿宋_GBK"/>
          <w:b/>
          <w:bCs/>
          <w:color w:val="auto"/>
          <w:sz w:val="24"/>
          <w:szCs w:val="24"/>
          <w:highlight w:val="none"/>
        </w:rPr>
        <w:t>（一）包1：大米面粉</w:t>
      </w:r>
    </w:p>
    <w:tbl>
      <w:tblPr>
        <w:tblStyle w:val="20"/>
        <w:tblW w:w="5000" w:type="pct"/>
        <w:jc w:val="center"/>
        <w:tblLayout w:type="fixed"/>
        <w:tblCellMar>
          <w:top w:w="0" w:type="dxa"/>
          <w:left w:w="108" w:type="dxa"/>
          <w:bottom w:w="0" w:type="dxa"/>
          <w:right w:w="108" w:type="dxa"/>
        </w:tblCellMar>
      </w:tblPr>
      <w:tblGrid>
        <w:gridCol w:w="912"/>
        <w:gridCol w:w="1826"/>
        <w:gridCol w:w="2467"/>
        <w:gridCol w:w="1849"/>
        <w:gridCol w:w="1083"/>
        <w:gridCol w:w="1491"/>
      </w:tblGrid>
      <w:tr w14:paraId="48F84D2A">
        <w:tblPrEx>
          <w:tblCellMar>
            <w:top w:w="0" w:type="dxa"/>
            <w:left w:w="108" w:type="dxa"/>
            <w:bottom w:w="0" w:type="dxa"/>
            <w:right w:w="108" w:type="dxa"/>
          </w:tblCellMar>
        </w:tblPrEx>
        <w:trPr>
          <w:trHeight w:val="54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A2A3A">
            <w:pPr>
              <w:widowControl/>
              <w:adjustRightInd w:val="0"/>
              <w:snapToGrid w:val="0"/>
              <w:spacing w:line="240" w:lineRule="atLeast"/>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序号</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2E016">
            <w:pPr>
              <w:widowControl/>
              <w:adjustRightInd w:val="0"/>
              <w:snapToGrid w:val="0"/>
              <w:spacing w:line="240" w:lineRule="atLeast"/>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名称</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BB736">
            <w:pPr>
              <w:widowControl/>
              <w:adjustRightInd w:val="0"/>
              <w:snapToGrid w:val="0"/>
              <w:spacing w:line="240" w:lineRule="atLeast"/>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规格、标准</w:t>
            </w:r>
          </w:p>
        </w:tc>
        <w:tc>
          <w:tcPr>
            <w:tcW w:w="1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058FB">
            <w:pPr>
              <w:widowControl/>
              <w:adjustRightInd w:val="0"/>
              <w:snapToGrid w:val="0"/>
              <w:spacing w:line="240" w:lineRule="atLeast"/>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单价预算价格(元)</w:t>
            </w: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237CE">
            <w:pPr>
              <w:widowControl/>
              <w:adjustRightInd w:val="0"/>
              <w:snapToGrid w:val="0"/>
              <w:spacing w:line="240" w:lineRule="atLeast"/>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数量</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38A2B">
            <w:pPr>
              <w:widowControl/>
              <w:adjustRightInd w:val="0"/>
              <w:snapToGrid w:val="0"/>
              <w:spacing w:line="240" w:lineRule="atLeast"/>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计量单位</w:t>
            </w:r>
          </w:p>
        </w:tc>
      </w:tr>
      <w:tr w14:paraId="4EF8FED6">
        <w:tblPrEx>
          <w:tblCellMar>
            <w:top w:w="0" w:type="dxa"/>
            <w:left w:w="108" w:type="dxa"/>
            <w:bottom w:w="0" w:type="dxa"/>
            <w:right w:w="108" w:type="dxa"/>
          </w:tblCellMar>
        </w:tblPrEx>
        <w:trPr>
          <w:trHeight w:val="72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53146">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055A5">
            <w:pPr>
              <w:widowControl/>
              <w:adjustRightInd w:val="0"/>
              <w:snapToGrid w:val="0"/>
              <w:spacing w:line="240" w:lineRule="atLeast"/>
              <w:jc w:val="left"/>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普通大米</w:t>
            </w: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287AA">
            <w:pPr>
              <w:widowControl/>
              <w:adjustRightInd w:val="0"/>
              <w:snapToGrid w:val="0"/>
              <w:spacing w:line="240" w:lineRule="atLeast"/>
              <w:jc w:val="left"/>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1*25kg，国标二级</w:t>
            </w:r>
          </w:p>
        </w:tc>
        <w:tc>
          <w:tcPr>
            <w:tcW w:w="1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B4DBC">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 xml:space="preserve">2.20                            </w:t>
            </w: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2225A">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186000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CB6AD">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斤</w:t>
            </w:r>
          </w:p>
        </w:tc>
      </w:tr>
      <w:tr w14:paraId="02984E37">
        <w:tblPrEx>
          <w:tblCellMar>
            <w:top w:w="0" w:type="dxa"/>
            <w:left w:w="108" w:type="dxa"/>
            <w:bottom w:w="0" w:type="dxa"/>
            <w:right w:w="108" w:type="dxa"/>
          </w:tblCellMar>
        </w:tblPrEx>
        <w:trPr>
          <w:trHeight w:val="52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5387A">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2</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466E6">
            <w:pPr>
              <w:widowControl/>
              <w:adjustRightInd w:val="0"/>
              <w:snapToGrid w:val="0"/>
              <w:spacing w:line="240" w:lineRule="atLeast"/>
              <w:jc w:val="left"/>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东北珍珠米</w:t>
            </w: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89CE">
            <w:pPr>
              <w:widowControl/>
              <w:adjustRightInd w:val="0"/>
              <w:snapToGrid w:val="0"/>
              <w:spacing w:line="240" w:lineRule="atLeast"/>
              <w:jc w:val="left"/>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1*25kg，国标一级</w:t>
            </w:r>
          </w:p>
        </w:tc>
        <w:tc>
          <w:tcPr>
            <w:tcW w:w="1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F6E3E">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 xml:space="preserve">2.50 </w:t>
            </w: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5022A">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189360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0BD3A">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斤</w:t>
            </w:r>
          </w:p>
        </w:tc>
      </w:tr>
      <w:tr w14:paraId="2B51B4E3">
        <w:tblPrEx>
          <w:tblCellMar>
            <w:top w:w="0" w:type="dxa"/>
            <w:left w:w="108" w:type="dxa"/>
            <w:bottom w:w="0" w:type="dxa"/>
            <w:right w:w="108" w:type="dxa"/>
          </w:tblCellMar>
        </w:tblPrEx>
        <w:trPr>
          <w:trHeight w:val="54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D35ED">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3</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A8371">
            <w:pPr>
              <w:widowControl/>
              <w:adjustRightInd w:val="0"/>
              <w:snapToGrid w:val="0"/>
              <w:spacing w:line="240" w:lineRule="atLeast"/>
              <w:jc w:val="left"/>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面粉</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15554">
            <w:pPr>
              <w:widowControl/>
              <w:adjustRightInd w:val="0"/>
              <w:snapToGrid w:val="0"/>
              <w:spacing w:line="240" w:lineRule="atLeast"/>
              <w:jc w:val="left"/>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1*25kg，高筋粉</w:t>
            </w:r>
          </w:p>
        </w:tc>
        <w:tc>
          <w:tcPr>
            <w:tcW w:w="1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331BC">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 xml:space="preserve">2.00 </w:t>
            </w: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7D84D">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128700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20E76">
            <w:pPr>
              <w:widowControl/>
              <w:adjustRightInd w:val="0"/>
              <w:snapToGrid w:val="0"/>
              <w:spacing w:line="240" w:lineRule="atLeast"/>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斤</w:t>
            </w:r>
          </w:p>
        </w:tc>
      </w:tr>
    </w:tbl>
    <w:p w14:paraId="78953138">
      <w:pPr>
        <w:widowControl/>
        <w:jc w:val="left"/>
        <w:textAlignment w:val="center"/>
        <w:rPr>
          <w:rFonts w:ascii="方正仿宋_GBK" w:hAnsi="方正仿宋_GBK" w:eastAsia="方正仿宋_GBK" w:cs="方正仿宋_GBK"/>
          <w:color w:val="auto"/>
          <w:kern w:val="0"/>
          <w:sz w:val="24"/>
          <w:szCs w:val="24"/>
          <w:highlight w:val="none"/>
          <w:lang w:bidi="ar"/>
        </w:rPr>
      </w:pPr>
    </w:p>
    <w:p w14:paraId="0E8E197F">
      <w:pPr>
        <w:spacing w:line="276" w:lineRule="auto"/>
        <w:ind w:firstLine="482" w:firstLineChars="200"/>
        <w:outlineLvl w:val="2"/>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（二）包2：食用油</w:t>
      </w:r>
    </w:p>
    <w:tbl>
      <w:tblPr>
        <w:tblStyle w:val="20"/>
        <w:tblW w:w="5000" w:type="pct"/>
        <w:jc w:val="center"/>
        <w:tblLayout w:type="fixed"/>
        <w:tblCellMar>
          <w:top w:w="0" w:type="dxa"/>
          <w:left w:w="108" w:type="dxa"/>
          <w:bottom w:w="0" w:type="dxa"/>
          <w:right w:w="108" w:type="dxa"/>
        </w:tblCellMar>
      </w:tblPr>
      <w:tblGrid>
        <w:gridCol w:w="912"/>
        <w:gridCol w:w="1826"/>
        <w:gridCol w:w="2467"/>
        <w:gridCol w:w="1511"/>
        <w:gridCol w:w="1421"/>
        <w:gridCol w:w="1491"/>
      </w:tblGrid>
      <w:tr w14:paraId="03A7CCA0">
        <w:tblPrEx>
          <w:tblCellMar>
            <w:top w:w="0" w:type="dxa"/>
            <w:left w:w="108" w:type="dxa"/>
            <w:bottom w:w="0" w:type="dxa"/>
            <w:right w:w="108" w:type="dxa"/>
          </w:tblCellMar>
        </w:tblPrEx>
        <w:trPr>
          <w:trHeight w:val="540"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E331">
            <w:pPr>
              <w:widowControl/>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序号</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CC8A3">
            <w:pPr>
              <w:widowControl/>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名称</w:t>
            </w:r>
          </w:p>
        </w:tc>
        <w:tc>
          <w:tcPr>
            <w:tcW w:w="20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9D62D">
            <w:pPr>
              <w:widowControl/>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规格、标准</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A68B3">
            <w:pPr>
              <w:widowControl/>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单价预算价格(元)</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F412B">
            <w:pPr>
              <w:widowControl/>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数量</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3D38E">
            <w:pPr>
              <w:widowControl/>
              <w:jc w:val="center"/>
              <w:textAlignment w:val="center"/>
              <w:rPr>
                <w:rFonts w:ascii="方正仿宋_GBK" w:hAnsi="宋体" w:eastAsia="方正仿宋_GBK" w:cs="宋体"/>
                <w:b/>
                <w:bCs/>
                <w:color w:val="auto"/>
                <w:sz w:val="24"/>
                <w:szCs w:val="24"/>
                <w:highlight w:val="none"/>
              </w:rPr>
            </w:pPr>
            <w:r>
              <w:rPr>
                <w:rFonts w:hint="eastAsia" w:ascii="方正仿宋_GBK" w:hAnsi="宋体" w:eastAsia="方正仿宋_GBK" w:cs="宋体"/>
                <w:b/>
                <w:bCs/>
                <w:color w:val="auto"/>
                <w:kern w:val="0"/>
                <w:sz w:val="24"/>
                <w:szCs w:val="24"/>
                <w:highlight w:val="none"/>
                <w:lang w:bidi="ar"/>
              </w:rPr>
              <w:t>计量单位</w:t>
            </w:r>
          </w:p>
        </w:tc>
      </w:tr>
      <w:tr w14:paraId="047B150C">
        <w:tblPrEx>
          <w:tblCellMar>
            <w:top w:w="0" w:type="dxa"/>
            <w:left w:w="108" w:type="dxa"/>
            <w:bottom w:w="0" w:type="dxa"/>
            <w:right w:w="108" w:type="dxa"/>
          </w:tblCellMar>
        </w:tblPrEx>
        <w:trPr>
          <w:trHeight w:val="720"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1C807">
            <w:pPr>
              <w:widowControl/>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38D55">
            <w:pPr>
              <w:widowControl/>
              <w:jc w:val="left"/>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色拉油(大豆油)</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D917">
            <w:pPr>
              <w:widowControl/>
              <w:jc w:val="left"/>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1*10升，非转基因</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1E75A">
            <w:pPr>
              <w:widowControl/>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12</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530AD">
            <w:pPr>
              <w:widowControl/>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92250</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9338A">
            <w:pPr>
              <w:widowControl/>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升</w:t>
            </w:r>
          </w:p>
        </w:tc>
      </w:tr>
      <w:tr w14:paraId="095F0CBB">
        <w:tblPrEx>
          <w:tblCellMar>
            <w:top w:w="0" w:type="dxa"/>
            <w:left w:w="108" w:type="dxa"/>
            <w:bottom w:w="0" w:type="dxa"/>
            <w:right w:w="108" w:type="dxa"/>
          </w:tblCellMar>
        </w:tblPrEx>
        <w:trPr>
          <w:trHeight w:val="520"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30DA8">
            <w:pPr>
              <w:widowControl/>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2</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FA486">
            <w:pPr>
              <w:widowControl/>
              <w:jc w:val="left"/>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菜籽油</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6EE4">
            <w:pPr>
              <w:widowControl/>
              <w:jc w:val="left"/>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1*10升，非转基因</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5E760">
            <w:pPr>
              <w:widowControl/>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 xml:space="preserve">13 </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A1518">
            <w:pPr>
              <w:widowControl/>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1000</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8194A">
            <w:pPr>
              <w:widowControl/>
              <w:jc w:val="center"/>
              <w:textAlignment w:val="center"/>
              <w:rPr>
                <w:rFonts w:ascii="方正仿宋_GBK" w:hAnsi="宋体" w:eastAsia="方正仿宋_GBK" w:cs="宋体"/>
                <w:color w:val="auto"/>
                <w:sz w:val="24"/>
                <w:szCs w:val="24"/>
                <w:highlight w:val="none"/>
              </w:rPr>
            </w:pPr>
            <w:r>
              <w:rPr>
                <w:rFonts w:hint="eastAsia" w:ascii="方正仿宋_GBK" w:hAnsi="宋体" w:eastAsia="方正仿宋_GBK" w:cs="宋体"/>
                <w:color w:val="auto"/>
                <w:kern w:val="0"/>
                <w:sz w:val="24"/>
                <w:szCs w:val="24"/>
                <w:highlight w:val="none"/>
                <w:lang w:bidi="ar"/>
              </w:rPr>
              <w:t>升</w:t>
            </w:r>
          </w:p>
        </w:tc>
      </w:tr>
    </w:tbl>
    <w:p w14:paraId="1E781FD4">
      <w:pPr>
        <w:widowControl/>
        <w:ind w:firstLine="482" w:firstLineChars="200"/>
        <w:jc w:val="left"/>
        <w:textAlignment w:val="center"/>
        <w:rPr>
          <w:rFonts w:ascii="方正仿宋_GBK" w:hAnsi="方正仿宋_GBK" w:eastAsia="方正仿宋_GBK" w:cs="方正仿宋_GBK"/>
          <w:b/>
          <w:bCs/>
          <w:color w:val="auto"/>
          <w:kern w:val="0"/>
          <w:sz w:val="24"/>
          <w:szCs w:val="24"/>
          <w:highlight w:val="none"/>
          <w:lang w:bidi="ar"/>
        </w:rPr>
      </w:pPr>
    </w:p>
    <w:p w14:paraId="0169BCD8">
      <w:pPr>
        <w:spacing w:line="276" w:lineRule="auto"/>
        <w:ind w:firstLine="482" w:firstLineChars="200"/>
        <w:outlineLvl w:val="2"/>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（三）包3：</w:t>
      </w:r>
      <w:r>
        <w:rPr>
          <w:rFonts w:hint="eastAsia" w:ascii="方正仿宋_GBK" w:hAnsi="方正仿宋_GBK" w:eastAsia="方正仿宋_GBK" w:cs="方正仿宋_GBK"/>
          <w:b/>
          <w:bCs/>
          <w:color w:val="auto"/>
          <w:sz w:val="24"/>
          <w:szCs w:val="24"/>
          <w:highlight w:val="none"/>
        </w:rPr>
        <w:t>鲜猪肉类</w:t>
      </w:r>
    </w:p>
    <w:tbl>
      <w:tblPr>
        <w:tblStyle w:val="20"/>
        <w:tblW w:w="5000" w:type="pct"/>
        <w:tblInd w:w="93" w:type="dxa"/>
        <w:tblLayout w:type="fixed"/>
        <w:tblCellMar>
          <w:top w:w="0" w:type="dxa"/>
          <w:left w:w="108" w:type="dxa"/>
          <w:bottom w:w="0" w:type="dxa"/>
          <w:right w:w="108" w:type="dxa"/>
        </w:tblCellMar>
      </w:tblPr>
      <w:tblGrid>
        <w:gridCol w:w="948"/>
        <w:gridCol w:w="2903"/>
        <w:gridCol w:w="2344"/>
        <w:gridCol w:w="1399"/>
        <w:gridCol w:w="1017"/>
        <w:gridCol w:w="1017"/>
      </w:tblGrid>
      <w:tr w14:paraId="42B350D0">
        <w:tblPrEx>
          <w:tblCellMar>
            <w:top w:w="0" w:type="dxa"/>
            <w:left w:w="108" w:type="dxa"/>
            <w:bottom w:w="0" w:type="dxa"/>
            <w:right w:w="108" w:type="dxa"/>
          </w:tblCellMar>
        </w:tblPrEx>
        <w:trPr>
          <w:trHeight w:val="66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E601E">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序号</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A3AD7">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名称</w:t>
            </w:r>
          </w:p>
        </w:tc>
        <w:tc>
          <w:tcPr>
            <w:tcW w:w="2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0042D">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规格、品质要求</w:t>
            </w:r>
          </w:p>
        </w:tc>
        <w:tc>
          <w:tcPr>
            <w:tcW w:w="1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D036B">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单价预算价格(元)</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90E3E">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数量</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4295B">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计量单位</w:t>
            </w:r>
          </w:p>
        </w:tc>
      </w:tr>
      <w:tr w14:paraId="26D45461">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23B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6E963">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宝肋肉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466F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DD54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C320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80E9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808871C">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5D67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098A5">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精三线肉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EBD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0D20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13</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71DF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F72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694DDA1C">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4307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F3DE">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纤排</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57F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8D55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19.5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E10D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93A4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227D6143">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54AF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A1463">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前排</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035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4FCB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12</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0AEF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5C89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5796CE94">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90C5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9756">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香拐</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926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1B92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806D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A8C5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4A5922A1">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FEFF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6</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954B">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尾骨</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51C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7697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5746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ECD5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6863FCB0">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5D0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7</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75D31">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肋排</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EC22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AD8C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AA12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5601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09F8FA44">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1DDD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8</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7EB74">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脊骨</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0880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219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9</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7E49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A173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3927616D">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5AF8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9</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AFFE6">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扇子骨</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7BCB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FD87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FC36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89B3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217DC82C">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1614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10</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D89A2">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猪通排</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5BF1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12B9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14</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18C2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AA7A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61FE7147">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4FD0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11</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CB6FD">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猪肝</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4C4A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A069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C0F0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A15A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DFAE3E4">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C8C2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12</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8B7F1">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里脊猪瘦肉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460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C849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18.5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6521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91F8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1748AFEA">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592F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13</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418B8">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前猪蹄（猪手）</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48E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980F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19.5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163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4D0B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32C9A8E7">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161E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14</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58FBF">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后猪蹄（猪爪）</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480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05D3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19.5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48F3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756C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10327DCA">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62C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15</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69933">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猪肚子</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0029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FEBC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5802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2DF0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41D56A3D">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05FF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16</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F29D4">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筒子骨</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776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60FB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18F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BE53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62373856">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9784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17</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83EFF">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带皮后腿肉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722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876B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9</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F27B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289A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6AE4B760">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91A5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18</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3DCE2">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猪腰子</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DB85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5032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5944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383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40F801A">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BC17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19</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9686A">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肥肠</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8C3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AEE6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99A4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03EA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5C1CBA6E">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2540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20</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EE15F">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猪精瘦肉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8B5E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7483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16.5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96CF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658E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60A88C68">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8F01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21</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086CB">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五花猪肉（三线）</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FCFB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FB11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A6A0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3950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21C6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14293344">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F6EB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22</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627E8">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猪心</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5E48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D8CA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A9D1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8754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4B2CDD44">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069F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23</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E9774">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猪舌</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50BB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0404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24</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DDB5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4C81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41569110">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15B7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24</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F7F75">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二刀肉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99C6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2AAC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8.5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F9D4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214D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6CDADC95">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7F08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25</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40D9E">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板油</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B294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9D6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F733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446C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07D489FA">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D401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26</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12EF0">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猪蹄膀</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92F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F4A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11.5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5811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06D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03551A6">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DF8C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27</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F17DC">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整猪脚</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313B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8F1B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D818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DCFA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6CB9BF5E">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A4ED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28</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003A4">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夹子肉（猪后）</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B3D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85CA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8.5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858A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EBA3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40759839">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F639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29</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DA8F2">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肥肉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7321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A797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1EE5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271D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2C020917">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DA41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30</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DCB77">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猪眉毛肉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99D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12EC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19.5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BB30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D24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40ECC3E">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38C6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31</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E051D">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前腿精瘦肉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6FE2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0149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16.5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31EE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55E4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0A06457C">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E496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32</w:t>
            </w:r>
          </w:p>
        </w:tc>
        <w:tc>
          <w:tcPr>
            <w:tcW w:w="2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3D1CE">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带皮前夹肉（带眉毛）</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4CBB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8EDE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9</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B5B1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310C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5AFD4F02">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44E3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33</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92EE2">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带皮前夹肉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4F9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25C9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9</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466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3C72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bl>
    <w:p w14:paraId="42CCE029">
      <w:pPr>
        <w:snapToGrid w:val="0"/>
        <w:spacing w:line="276" w:lineRule="auto"/>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说明：</w:t>
      </w:r>
    </w:p>
    <w:p w14:paraId="48C055F7">
      <w:pPr>
        <w:snapToGrid w:val="0"/>
        <w:spacing w:line="276" w:lineRule="auto"/>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1.所有</w:t>
      </w:r>
      <w:r>
        <w:rPr>
          <w:rFonts w:ascii="方正仿宋_GBK" w:eastAsia="方正仿宋_GBK"/>
          <w:color w:val="auto"/>
          <w:sz w:val="24"/>
          <w:szCs w:val="24"/>
          <w:highlight w:val="none"/>
        </w:rPr>
        <w:t>分包的</w:t>
      </w:r>
      <w:r>
        <w:rPr>
          <w:rFonts w:hint="eastAsia" w:ascii="方正仿宋_GBK" w:eastAsia="方正仿宋_GBK"/>
          <w:color w:val="auto"/>
          <w:sz w:val="24"/>
          <w:szCs w:val="24"/>
          <w:highlight w:val="none"/>
        </w:rPr>
        <w:t>以上各品种数量为暂估数量，仅供供应商计算报价所用（仅供参考），不作为中标后采购依据。合同签订后以实际配送品种为准，按照实际采购数量结算。</w:t>
      </w:r>
    </w:p>
    <w:p w14:paraId="15AED31A">
      <w:pPr>
        <w:snapToGrid w:val="0"/>
        <w:spacing w:line="276" w:lineRule="auto"/>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2.预算单价为除皮后净重单价。</w:t>
      </w:r>
    </w:p>
    <w:p w14:paraId="6EE55546">
      <w:pPr>
        <w:snapToGrid w:val="0"/>
        <w:spacing w:line="276" w:lineRule="auto"/>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3.食堂货物采购特点是分地点、定时间段零星采购。</w:t>
      </w:r>
    </w:p>
    <w:p w14:paraId="6F054D8C">
      <w:pPr>
        <w:snapToGrid w:val="0"/>
        <w:spacing w:line="276" w:lineRule="auto"/>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4.由于食堂营业额下跌或者采购人对食堂经营模式的转变，造成实际采购金额偏离参考金额，采购人不负任何责任。</w:t>
      </w:r>
    </w:p>
    <w:p w14:paraId="35F04671">
      <w:pPr>
        <w:snapToGrid w:val="0"/>
        <w:spacing w:line="276" w:lineRule="auto"/>
        <w:ind w:firstLine="480" w:firstLineChars="200"/>
        <w:rPr>
          <w:rFonts w:hint="eastAsia" w:ascii="方正仿宋_GBK" w:eastAsia="方正仿宋_GBK"/>
          <w:b w:val="0"/>
          <w:color w:val="auto"/>
          <w:sz w:val="24"/>
          <w:szCs w:val="24"/>
          <w:highlight w:val="none"/>
          <w:lang w:bidi="ar"/>
        </w:rPr>
      </w:pPr>
      <w:r>
        <w:rPr>
          <w:rFonts w:hint="eastAsia" w:ascii="方正仿宋_GBK" w:eastAsia="方正仿宋_GBK"/>
          <w:b w:val="0"/>
          <w:color w:val="auto"/>
          <w:sz w:val="24"/>
          <w:szCs w:val="24"/>
          <w:highlight w:val="none"/>
        </w:rPr>
        <w:t>5.</w:t>
      </w:r>
      <w:r>
        <w:rPr>
          <w:rFonts w:hint="eastAsia" w:ascii="方正仿宋_GBK" w:eastAsia="方正仿宋_GBK"/>
          <w:color w:val="auto"/>
          <w:sz w:val="24"/>
          <w:szCs w:val="24"/>
          <w:highlight w:val="none"/>
        </w:rPr>
        <w:t>包1所投产品品牌应为或相当于珍珠米：金龙鱼（益海嘉里）、元宝</w:t>
      </w:r>
      <w:r>
        <w:rPr>
          <w:rFonts w:hint="eastAsia" w:ascii="方正仿宋_GBK" w:eastAsia="方正仿宋_GBK"/>
          <w:color w:val="auto"/>
          <w:sz w:val="24"/>
          <w:szCs w:val="24"/>
          <w:highlight w:val="none"/>
          <w:lang w:eastAsia="zh-CN"/>
        </w:rPr>
        <w:t>、</w:t>
      </w:r>
      <w:r>
        <w:rPr>
          <w:rFonts w:hint="eastAsia" w:ascii="方正仿宋_GBK" w:eastAsia="方正仿宋_GBK"/>
          <w:color w:val="auto"/>
          <w:sz w:val="24"/>
          <w:szCs w:val="24"/>
          <w:highlight w:val="none"/>
        </w:rPr>
        <w:t>福临门（中粮）、香雪（中粮）</w:t>
      </w:r>
      <w:r>
        <w:rPr>
          <w:rFonts w:hint="eastAsia" w:ascii="方正仿宋_GBK" w:eastAsia="方正仿宋_GBK"/>
          <w:color w:val="auto"/>
          <w:sz w:val="24"/>
          <w:szCs w:val="24"/>
          <w:highlight w:val="none"/>
          <w:lang w:eastAsia="zh-CN"/>
        </w:rPr>
        <w:t>、</w:t>
      </w:r>
      <w:r>
        <w:rPr>
          <w:rFonts w:hint="eastAsia" w:ascii="方正仿宋_GBK" w:eastAsia="方正仿宋_GBK"/>
          <w:color w:val="auto"/>
          <w:sz w:val="24"/>
          <w:szCs w:val="24"/>
          <w:highlight w:val="none"/>
        </w:rPr>
        <w:t>禾可香；面粉：思丰</w:t>
      </w:r>
      <w:r>
        <w:rPr>
          <w:rFonts w:hint="eastAsia" w:ascii="方正仿宋_GBK" w:eastAsia="方正仿宋_GBK"/>
          <w:color w:val="auto"/>
          <w:sz w:val="24"/>
          <w:szCs w:val="24"/>
          <w:highlight w:val="none"/>
          <w:lang w:eastAsia="zh-CN"/>
        </w:rPr>
        <w:t>、</w:t>
      </w:r>
      <w:r>
        <w:rPr>
          <w:rFonts w:hint="eastAsia" w:ascii="方正仿宋_GBK" w:eastAsia="方正仿宋_GBK"/>
          <w:color w:val="auto"/>
          <w:sz w:val="24"/>
          <w:szCs w:val="24"/>
          <w:highlight w:val="none"/>
        </w:rPr>
        <w:t>五得利</w:t>
      </w:r>
      <w:r>
        <w:rPr>
          <w:rFonts w:hint="eastAsia" w:ascii="方正仿宋_GBK" w:eastAsia="方正仿宋_GBK"/>
          <w:color w:val="auto"/>
          <w:sz w:val="24"/>
          <w:szCs w:val="24"/>
          <w:highlight w:val="none"/>
          <w:lang w:eastAsia="zh-CN"/>
        </w:rPr>
        <w:t>、</w:t>
      </w:r>
      <w:r>
        <w:rPr>
          <w:rFonts w:hint="eastAsia" w:ascii="方正仿宋_GBK" w:eastAsia="方正仿宋_GBK"/>
          <w:color w:val="auto"/>
          <w:sz w:val="24"/>
          <w:szCs w:val="24"/>
          <w:highlight w:val="none"/>
        </w:rPr>
        <w:t>香满园。包2所投产品品牌应为或相当于红蜻蜓(凯欣)、金龙鱼(益海嘉里)、福临门(中粮)出品的相应产品。</w:t>
      </w:r>
    </w:p>
    <w:p w14:paraId="061404F3">
      <w:pPr>
        <w:pStyle w:val="5"/>
        <w:spacing w:line="276" w:lineRule="auto"/>
        <w:rPr>
          <w:rFonts w:ascii="方正仿宋_GBK" w:eastAsia="方正仿宋_GBK"/>
          <w:b/>
          <w:color w:val="auto"/>
          <w:sz w:val="24"/>
          <w:szCs w:val="24"/>
          <w:highlight w:val="none"/>
        </w:rPr>
      </w:pPr>
      <w:bookmarkStart w:id="58" w:name="_Toc4249"/>
      <w:r>
        <w:rPr>
          <w:rFonts w:hint="eastAsia" w:ascii="方正仿宋_GBK" w:eastAsia="方正仿宋_GBK"/>
          <w:color w:val="auto"/>
          <w:sz w:val="24"/>
          <w:szCs w:val="24"/>
          <w:highlight w:val="none"/>
        </w:rPr>
        <w:t>※二</w:t>
      </w:r>
      <w:r>
        <w:rPr>
          <w:rFonts w:hint="eastAsia" w:ascii="方正仿宋_GBK" w:eastAsia="方正仿宋_GBK"/>
          <w:b/>
          <w:color w:val="auto"/>
          <w:sz w:val="24"/>
          <w:szCs w:val="24"/>
          <w:highlight w:val="none"/>
        </w:rPr>
        <w:t>、包1品质要求</w:t>
      </w:r>
      <w:bookmarkEnd w:id="58"/>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422"/>
        <w:gridCol w:w="1184"/>
        <w:gridCol w:w="1470"/>
        <w:gridCol w:w="2072"/>
        <w:gridCol w:w="2564"/>
      </w:tblGrid>
      <w:tr w14:paraId="240E3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816" w:type="dxa"/>
            <w:vAlign w:val="center"/>
          </w:tcPr>
          <w:p w14:paraId="490E804B">
            <w:pPr>
              <w:adjustRightInd w:val="0"/>
              <w:snapToGrid w:val="0"/>
              <w:spacing w:line="240" w:lineRule="atLeast"/>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序号</w:t>
            </w:r>
          </w:p>
        </w:tc>
        <w:tc>
          <w:tcPr>
            <w:tcW w:w="1422" w:type="dxa"/>
            <w:vAlign w:val="center"/>
          </w:tcPr>
          <w:p w14:paraId="4C5CA8EB">
            <w:pPr>
              <w:adjustRightInd w:val="0"/>
              <w:snapToGrid w:val="0"/>
              <w:spacing w:line="240" w:lineRule="atLeast"/>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货物名称</w:t>
            </w:r>
          </w:p>
        </w:tc>
        <w:tc>
          <w:tcPr>
            <w:tcW w:w="1184" w:type="dxa"/>
            <w:vAlign w:val="center"/>
          </w:tcPr>
          <w:p w14:paraId="19C919E3">
            <w:pPr>
              <w:adjustRightInd w:val="0"/>
              <w:snapToGrid w:val="0"/>
              <w:spacing w:line="240" w:lineRule="atLeast"/>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规格型号</w:t>
            </w:r>
          </w:p>
        </w:tc>
        <w:tc>
          <w:tcPr>
            <w:tcW w:w="1470" w:type="dxa"/>
            <w:vAlign w:val="center"/>
          </w:tcPr>
          <w:p w14:paraId="52F2DD20">
            <w:pPr>
              <w:adjustRightInd w:val="0"/>
              <w:snapToGrid w:val="0"/>
              <w:spacing w:line="240" w:lineRule="atLeast"/>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等级</w:t>
            </w:r>
          </w:p>
        </w:tc>
        <w:tc>
          <w:tcPr>
            <w:tcW w:w="2072" w:type="dxa"/>
            <w:vAlign w:val="center"/>
          </w:tcPr>
          <w:p w14:paraId="4A19EF4A">
            <w:pPr>
              <w:adjustRightInd w:val="0"/>
              <w:snapToGrid w:val="0"/>
              <w:spacing w:line="240" w:lineRule="atLeast"/>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质量标准</w:t>
            </w:r>
          </w:p>
        </w:tc>
        <w:tc>
          <w:tcPr>
            <w:tcW w:w="2564" w:type="dxa"/>
            <w:vAlign w:val="center"/>
          </w:tcPr>
          <w:p w14:paraId="5FFDBB7A">
            <w:pPr>
              <w:adjustRightInd w:val="0"/>
              <w:snapToGrid w:val="0"/>
              <w:spacing w:line="240" w:lineRule="atLeast"/>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包装要求</w:t>
            </w:r>
          </w:p>
        </w:tc>
      </w:tr>
      <w:tr w14:paraId="6430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816" w:type="dxa"/>
            <w:vAlign w:val="center"/>
          </w:tcPr>
          <w:p w14:paraId="4F584E27">
            <w:pPr>
              <w:adjustRightInd w:val="0"/>
              <w:snapToGrid w:val="0"/>
              <w:spacing w:line="240" w:lineRule="atLeast"/>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1</w:t>
            </w:r>
          </w:p>
        </w:tc>
        <w:tc>
          <w:tcPr>
            <w:tcW w:w="1422" w:type="dxa"/>
            <w:vAlign w:val="center"/>
          </w:tcPr>
          <w:p w14:paraId="09BB1FEA">
            <w:pPr>
              <w:adjustRightInd w:val="0"/>
              <w:snapToGrid w:val="0"/>
              <w:spacing w:line="240" w:lineRule="atLeast"/>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普通大米</w:t>
            </w:r>
          </w:p>
        </w:tc>
        <w:tc>
          <w:tcPr>
            <w:tcW w:w="1184" w:type="dxa"/>
            <w:vAlign w:val="center"/>
          </w:tcPr>
          <w:p w14:paraId="6AC3FD24">
            <w:pPr>
              <w:adjustRightInd w:val="0"/>
              <w:snapToGrid w:val="0"/>
              <w:spacing w:line="240" w:lineRule="atLeast"/>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25kg/袋</w:t>
            </w:r>
          </w:p>
        </w:tc>
        <w:tc>
          <w:tcPr>
            <w:tcW w:w="1470" w:type="dxa"/>
            <w:vAlign w:val="center"/>
          </w:tcPr>
          <w:p w14:paraId="7BD34390">
            <w:pPr>
              <w:adjustRightInd w:val="0"/>
              <w:snapToGrid w:val="0"/>
              <w:spacing w:line="240" w:lineRule="atLeast"/>
              <w:jc w:val="center"/>
              <w:rPr>
                <w:rFonts w:ascii="方正仿宋_GBK" w:hAnsi="仿宋" w:eastAsia="方正仿宋_GBK" w:cs="仿宋"/>
                <w:color w:val="auto"/>
                <w:kern w:val="0"/>
                <w:sz w:val="24"/>
                <w:szCs w:val="24"/>
                <w:highlight w:val="none"/>
              </w:rPr>
            </w:pPr>
            <w:r>
              <w:rPr>
                <w:rFonts w:hint="eastAsia" w:ascii="方正仿宋_GBK" w:hAnsi="仿宋" w:eastAsia="方正仿宋_GBK" w:cs="仿宋"/>
                <w:color w:val="auto"/>
                <w:kern w:val="0"/>
                <w:sz w:val="24"/>
                <w:szCs w:val="24"/>
                <w:highlight w:val="none"/>
              </w:rPr>
              <w:t>二级</w:t>
            </w:r>
          </w:p>
        </w:tc>
        <w:tc>
          <w:tcPr>
            <w:tcW w:w="2072" w:type="dxa"/>
            <w:vAlign w:val="center"/>
          </w:tcPr>
          <w:p w14:paraId="72D3E452">
            <w:pPr>
              <w:adjustRightInd w:val="0"/>
              <w:snapToGrid w:val="0"/>
              <w:spacing w:line="240" w:lineRule="atLeast"/>
              <w:jc w:val="center"/>
              <w:rPr>
                <w:rFonts w:ascii="方正仿宋_GBK" w:hAnsi="仿宋" w:eastAsia="方正仿宋_GBK" w:cs="仿宋"/>
                <w:color w:val="auto"/>
                <w:kern w:val="0"/>
                <w:sz w:val="24"/>
                <w:szCs w:val="24"/>
                <w:highlight w:val="none"/>
              </w:rPr>
            </w:pPr>
            <w:r>
              <w:rPr>
                <w:rFonts w:hint="eastAsia" w:ascii="方正仿宋_GBK" w:hAnsi="仿宋" w:eastAsia="方正仿宋_GBK" w:cs="仿宋"/>
                <w:color w:val="auto"/>
                <w:kern w:val="0"/>
                <w:sz w:val="24"/>
                <w:szCs w:val="24"/>
                <w:highlight w:val="none"/>
              </w:rPr>
              <w:t>质检合格，附送质检报告，达到国标：GB/T</w:t>
            </w:r>
            <w:r>
              <w:rPr>
                <w:rFonts w:hint="eastAsia" w:ascii="方正仿宋_GBK" w:hAnsi="Calibri" w:eastAsia="方正仿宋_GBK" w:cs="Calibri"/>
                <w:color w:val="auto"/>
                <w:kern w:val="0"/>
                <w:sz w:val="24"/>
                <w:szCs w:val="24"/>
                <w:highlight w:val="none"/>
              </w:rPr>
              <w:t> </w:t>
            </w:r>
            <w:r>
              <w:rPr>
                <w:rFonts w:hint="eastAsia" w:ascii="方正仿宋_GBK" w:hAnsi="仿宋" w:eastAsia="方正仿宋_GBK" w:cs="仿宋"/>
                <w:color w:val="auto"/>
                <w:kern w:val="0"/>
                <w:sz w:val="24"/>
                <w:szCs w:val="24"/>
                <w:highlight w:val="none"/>
              </w:rPr>
              <w:t>1354-2018</w:t>
            </w:r>
          </w:p>
        </w:tc>
        <w:tc>
          <w:tcPr>
            <w:tcW w:w="2564" w:type="dxa"/>
            <w:vMerge w:val="restart"/>
          </w:tcPr>
          <w:p w14:paraId="45EB051D">
            <w:pPr>
              <w:adjustRightInd w:val="0"/>
              <w:snapToGrid w:val="0"/>
              <w:spacing w:line="240" w:lineRule="atLeast"/>
              <w:rPr>
                <w:rFonts w:ascii="方正仿宋_GBK" w:hAnsi="仿宋" w:eastAsia="方正仿宋_GBK" w:cs="仿宋"/>
                <w:color w:val="auto"/>
                <w:sz w:val="24"/>
                <w:szCs w:val="24"/>
                <w:highlight w:val="none"/>
              </w:rPr>
            </w:pPr>
            <w:r>
              <w:rPr>
                <w:rFonts w:hint="eastAsia" w:ascii="方正仿宋_GBK" w:hAnsi="仿宋" w:eastAsia="方正仿宋_GBK" w:cs="仿宋"/>
                <w:color w:val="auto"/>
                <w:kern w:val="0"/>
                <w:sz w:val="24"/>
                <w:szCs w:val="24"/>
                <w:highlight w:val="none"/>
              </w:rPr>
              <w:t>外包装标识应标注清楚净含量，品名、执行标准号；生产者（或销售者）名称、地址、商标；生产日期、保质期和相应的质量等级，取得食品生产许可证，食品在保质期内，有SC标志，供货时提供检验报告。另外，外包装的图案、文字的印刷应清晰、端正、不褪色。</w:t>
            </w:r>
          </w:p>
        </w:tc>
      </w:tr>
      <w:tr w14:paraId="2A1A9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23C72B7A">
            <w:pPr>
              <w:adjustRightInd w:val="0"/>
              <w:snapToGrid w:val="0"/>
              <w:spacing w:line="240" w:lineRule="atLeas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w:t>
            </w:r>
          </w:p>
        </w:tc>
        <w:tc>
          <w:tcPr>
            <w:tcW w:w="1422" w:type="dxa"/>
            <w:vAlign w:val="center"/>
          </w:tcPr>
          <w:p w14:paraId="2ADBA823">
            <w:pPr>
              <w:adjustRightInd w:val="0"/>
              <w:snapToGrid w:val="0"/>
              <w:spacing w:line="240" w:lineRule="atLeas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东北珍珠米</w:t>
            </w:r>
          </w:p>
        </w:tc>
        <w:tc>
          <w:tcPr>
            <w:tcW w:w="1184" w:type="dxa"/>
            <w:vAlign w:val="center"/>
          </w:tcPr>
          <w:p w14:paraId="47CDFEC3">
            <w:pPr>
              <w:adjustRightInd w:val="0"/>
              <w:snapToGrid w:val="0"/>
              <w:spacing w:line="240" w:lineRule="atLeast"/>
              <w:jc w:val="center"/>
              <w:rPr>
                <w:rFonts w:ascii="方正仿宋_GBK" w:hAnsi="方正仿宋_GBK" w:eastAsia="方正仿宋_GBK" w:cs="方正仿宋_GBK"/>
                <w:color w:val="auto"/>
                <w:sz w:val="24"/>
                <w:szCs w:val="24"/>
                <w:highlight w:val="none"/>
              </w:rPr>
            </w:pPr>
            <w:r>
              <w:rPr>
                <w:rFonts w:hint="eastAsia" w:ascii="方正仿宋_GBK" w:hAnsi="仿宋" w:eastAsia="方正仿宋_GBK" w:cs="仿宋"/>
                <w:color w:val="auto"/>
                <w:sz w:val="24"/>
                <w:szCs w:val="24"/>
                <w:highlight w:val="none"/>
              </w:rPr>
              <w:t>25kg/袋</w:t>
            </w:r>
          </w:p>
        </w:tc>
        <w:tc>
          <w:tcPr>
            <w:tcW w:w="1470" w:type="dxa"/>
            <w:vAlign w:val="center"/>
          </w:tcPr>
          <w:p w14:paraId="44B35395">
            <w:pPr>
              <w:adjustRightInd w:val="0"/>
              <w:snapToGrid w:val="0"/>
              <w:spacing w:line="240" w:lineRule="atLeas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一级</w:t>
            </w:r>
          </w:p>
        </w:tc>
        <w:tc>
          <w:tcPr>
            <w:tcW w:w="2072" w:type="dxa"/>
            <w:vAlign w:val="center"/>
          </w:tcPr>
          <w:p w14:paraId="2E9A65AE">
            <w:pPr>
              <w:adjustRightInd w:val="0"/>
              <w:snapToGrid w:val="0"/>
              <w:spacing w:line="240" w:lineRule="atLeast"/>
              <w:jc w:val="center"/>
              <w:rPr>
                <w:rFonts w:ascii="方正仿宋_GBK" w:hAnsi="方正仿宋_GBK" w:eastAsia="方正仿宋_GBK" w:cs="方正仿宋_GBK"/>
                <w:color w:val="auto"/>
                <w:sz w:val="24"/>
                <w:szCs w:val="24"/>
                <w:highlight w:val="none"/>
              </w:rPr>
            </w:pPr>
            <w:r>
              <w:rPr>
                <w:rFonts w:hint="eastAsia" w:ascii="方正仿宋_GBK" w:hAnsi="仿宋" w:eastAsia="方正仿宋_GBK" w:cs="仿宋"/>
                <w:color w:val="auto"/>
                <w:kern w:val="0"/>
                <w:sz w:val="24"/>
                <w:szCs w:val="24"/>
                <w:highlight w:val="none"/>
              </w:rPr>
              <w:t>质检合格，附送质检报告，达到国标：GB/T</w:t>
            </w:r>
            <w:r>
              <w:rPr>
                <w:rFonts w:hint="eastAsia" w:ascii="方正仿宋_GBK" w:hAnsi="Calibri" w:eastAsia="方正仿宋_GBK" w:cs="Calibri"/>
                <w:color w:val="auto"/>
                <w:kern w:val="0"/>
                <w:sz w:val="24"/>
                <w:szCs w:val="24"/>
                <w:highlight w:val="none"/>
              </w:rPr>
              <w:t> </w:t>
            </w:r>
            <w:r>
              <w:rPr>
                <w:rFonts w:hint="eastAsia" w:ascii="方正仿宋_GBK" w:hAnsi="仿宋" w:eastAsia="方正仿宋_GBK" w:cs="仿宋"/>
                <w:color w:val="auto"/>
                <w:kern w:val="0"/>
                <w:sz w:val="24"/>
                <w:szCs w:val="24"/>
                <w:highlight w:val="none"/>
              </w:rPr>
              <w:t>1354-2018</w:t>
            </w:r>
          </w:p>
        </w:tc>
        <w:tc>
          <w:tcPr>
            <w:tcW w:w="2564" w:type="dxa"/>
            <w:vMerge w:val="continue"/>
          </w:tcPr>
          <w:p w14:paraId="743B82EC">
            <w:pPr>
              <w:adjustRightInd w:val="0"/>
              <w:snapToGrid w:val="0"/>
              <w:spacing w:line="240" w:lineRule="atLeast"/>
              <w:rPr>
                <w:rFonts w:ascii="方正仿宋_GBK" w:hAnsi="方正仿宋_GBK" w:eastAsia="方正仿宋_GBK" w:cs="方正仿宋_GBK"/>
                <w:color w:val="auto"/>
                <w:sz w:val="24"/>
                <w:szCs w:val="24"/>
                <w:highlight w:val="none"/>
              </w:rPr>
            </w:pPr>
          </w:p>
        </w:tc>
      </w:tr>
      <w:tr w14:paraId="670C2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597481A9">
            <w:pPr>
              <w:adjustRightInd w:val="0"/>
              <w:snapToGrid w:val="0"/>
              <w:spacing w:line="240" w:lineRule="atLeas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w:t>
            </w:r>
          </w:p>
        </w:tc>
        <w:tc>
          <w:tcPr>
            <w:tcW w:w="1422" w:type="dxa"/>
            <w:vAlign w:val="center"/>
          </w:tcPr>
          <w:p w14:paraId="659F1073">
            <w:pPr>
              <w:adjustRightInd w:val="0"/>
              <w:snapToGrid w:val="0"/>
              <w:spacing w:line="240" w:lineRule="atLeas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kern w:val="0"/>
                <w:sz w:val="24"/>
                <w:szCs w:val="24"/>
                <w:highlight w:val="none"/>
                <w:lang w:bidi="ar"/>
              </w:rPr>
              <w:t>面粉</w:t>
            </w:r>
          </w:p>
        </w:tc>
        <w:tc>
          <w:tcPr>
            <w:tcW w:w="1184" w:type="dxa"/>
            <w:vAlign w:val="center"/>
          </w:tcPr>
          <w:p w14:paraId="224706BD">
            <w:pPr>
              <w:adjustRightInd w:val="0"/>
              <w:snapToGrid w:val="0"/>
              <w:spacing w:line="240" w:lineRule="atLeast"/>
              <w:jc w:val="center"/>
              <w:rPr>
                <w:rFonts w:ascii="方正仿宋_GBK" w:hAnsi="仿宋" w:eastAsia="方正仿宋_GBK" w:cs="仿宋"/>
                <w:color w:val="auto"/>
                <w:sz w:val="24"/>
                <w:szCs w:val="24"/>
                <w:highlight w:val="none"/>
              </w:rPr>
            </w:pPr>
            <w:r>
              <w:rPr>
                <w:rFonts w:hint="eastAsia" w:ascii="方正仿宋_GBK" w:hAnsi="方正仿宋_GBK" w:eastAsia="方正仿宋_GBK" w:cs="方正仿宋_GBK"/>
                <w:color w:val="auto"/>
                <w:kern w:val="0"/>
                <w:sz w:val="24"/>
                <w:szCs w:val="24"/>
                <w:highlight w:val="none"/>
              </w:rPr>
              <w:t>25Kg/袋</w:t>
            </w:r>
          </w:p>
        </w:tc>
        <w:tc>
          <w:tcPr>
            <w:tcW w:w="1470" w:type="dxa"/>
            <w:vAlign w:val="center"/>
          </w:tcPr>
          <w:p w14:paraId="19DA36E9">
            <w:pPr>
              <w:adjustRightInd w:val="0"/>
              <w:snapToGrid w:val="0"/>
              <w:spacing w:line="240" w:lineRule="atLeas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kern w:val="0"/>
                <w:sz w:val="24"/>
                <w:szCs w:val="24"/>
                <w:highlight w:val="none"/>
              </w:rPr>
              <w:t>高筋特筋</w:t>
            </w:r>
          </w:p>
        </w:tc>
        <w:tc>
          <w:tcPr>
            <w:tcW w:w="2072" w:type="dxa"/>
            <w:vAlign w:val="center"/>
          </w:tcPr>
          <w:p w14:paraId="63794F9A">
            <w:pPr>
              <w:adjustRightInd w:val="0"/>
              <w:snapToGrid w:val="0"/>
              <w:spacing w:line="240" w:lineRule="atLeast"/>
              <w:jc w:val="center"/>
              <w:rPr>
                <w:rFonts w:ascii="方正仿宋_GBK" w:hAnsi="仿宋" w:eastAsia="方正仿宋_GBK" w:cs="仿宋"/>
                <w:color w:val="auto"/>
                <w:kern w:val="0"/>
                <w:sz w:val="24"/>
                <w:szCs w:val="24"/>
                <w:highlight w:val="none"/>
              </w:rPr>
            </w:pPr>
            <w:r>
              <w:rPr>
                <w:rFonts w:hint="eastAsia" w:ascii="方正仿宋_GBK" w:hAnsi="仿宋" w:eastAsia="方正仿宋_GBK" w:cs="仿宋"/>
                <w:color w:val="auto"/>
                <w:kern w:val="0"/>
                <w:sz w:val="24"/>
                <w:szCs w:val="24"/>
                <w:highlight w:val="none"/>
              </w:rPr>
              <w:t>GB/T 1355-2021</w:t>
            </w:r>
          </w:p>
        </w:tc>
        <w:tc>
          <w:tcPr>
            <w:tcW w:w="2564" w:type="dxa"/>
            <w:vMerge w:val="continue"/>
          </w:tcPr>
          <w:p w14:paraId="3FEFA14F">
            <w:pPr>
              <w:adjustRightInd w:val="0"/>
              <w:snapToGrid w:val="0"/>
              <w:spacing w:line="240" w:lineRule="atLeast"/>
              <w:rPr>
                <w:rFonts w:ascii="方正仿宋_GBK" w:hAnsi="方正仿宋_GBK" w:eastAsia="方正仿宋_GBK" w:cs="方正仿宋_GBK"/>
                <w:color w:val="auto"/>
                <w:sz w:val="24"/>
                <w:szCs w:val="24"/>
                <w:highlight w:val="none"/>
              </w:rPr>
            </w:pPr>
          </w:p>
        </w:tc>
      </w:tr>
    </w:tbl>
    <w:p w14:paraId="599214EC">
      <w:pPr>
        <w:pStyle w:val="5"/>
        <w:spacing w:line="276" w:lineRule="auto"/>
        <w:rPr>
          <w:rFonts w:ascii="方正仿宋_GBK" w:eastAsia="方正仿宋_GBK"/>
          <w:b/>
          <w:color w:val="auto"/>
          <w:sz w:val="24"/>
          <w:szCs w:val="24"/>
          <w:highlight w:val="none"/>
        </w:rPr>
      </w:pPr>
      <w:bookmarkStart w:id="59" w:name="_Toc21776"/>
      <w:r>
        <w:rPr>
          <w:rFonts w:hint="eastAsia" w:ascii="方正仿宋_GBK" w:eastAsia="方正仿宋_GBK"/>
          <w:color w:val="auto"/>
          <w:sz w:val="24"/>
          <w:szCs w:val="24"/>
          <w:highlight w:val="none"/>
        </w:rPr>
        <w:t>※三</w:t>
      </w:r>
      <w:r>
        <w:rPr>
          <w:rFonts w:hint="eastAsia" w:ascii="方正仿宋_GBK" w:eastAsia="方正仿宋_GBK"/>
          <w:b/>
          <w:color w:val="auto"/>
          <w:sz w:val="24"/>
          <w:szCs w:val="24"/>
          <w:highlight w:val="none"/>
        </w:rPr>
        <w:t>、包</w:t>
      </w:r>
      <w:bookmarkEnd w:id="55"/>
      <w:bookmarkEnd w:id="56"/>
      <w:bookmarkEnd w:id="57"/>
      <w:r>
        <w:rPr>
          <w:rFonts w:hint="eastAsia" w:ascii="方正仿宋_GBK" w:eastAsia="方正仿宋_GBK"/>
          <w:b/>
          <w:color w:val="auto"/>
          <w:sz w:val="24"/>
          <w:szCs w:val="24"/>
          <w:highlight w:val="none"/>
        </w:rPr>
        <w:t>2</w:t>
      </w:r>
      <w:r>
        <w:rPr>
          <w:rFonts w:hint="eastAsia" w:ascii="方正仿宋_GBK" w:eastAsia="方正仿宋_GBK"/>
          <w:b/>
          <w:bCs/>
          <w:color w:val="auto"/>
          <w:sz w:val="24"/>
          <w:szCs w:val="24"/>
          <w:highlight w:val="none"/>
        </w:rPr>
        <w:t>产品质量</w:t>
      </w:r>
      <w:r>
        <w:rPr>
          <w:rFonts w:hint="eastAsia" w:ascii="方正仿宋_GBK" w:eastAsia="方正仿宋_GBK"/>
          <w:b/>
          <w:color w:val="auto"/>
          <w:sz w:val="24"/>
          <w:szCs w:val="24"/>
          <w:highlight w:val="none"/>
        </w:rPr>
        <w:t>要求</w:t>
      </w:r>
      <w:bookmarkEnd w:id="59"/>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422"/>
        <w:gridCol w:w="1546"/>
        <w:gridCol w:w="986"/>
        <w:gridCol w:w="2194"/>
        <w:gridCol w:w="2564"/>
      </w:tblGrid>
      <w:tr w14:paraId="68FC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816" w:type="dxa"/>
            <w:vAlign w:val="center"/>
          </w:tcPr>
          <w:p w14:paraId="543998F2">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序号</w:t>
            </w:r>
          </w:p>
        </w:tc>
        <w:tc>
          <w:tcPr>
            <w:tcW w:w="1422" w:type="dxa"/>
            <w:vAlign w:val="center"/>
          </w:tcPr>
          <w:p w14:paraId="40AD5561">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货物名称</w:t>
            </w:r>
          </w:p>
        </w:tc>
        <w:tc>
          <w:tcPr>
            <w:tcW w:w="1546" w:type="dxa"/>
            <w:vAlign w:val="center"/>
          </w:tcPr>
          <w:p w14:paraId="54B13F6E">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规格、品牌</w:t>
            </w:r>
          </w:p>
        </w:tc>
        <w:tc>
          <w:tcPr>
            <w:tcW w:w="986" w:type="dxa"/>
            <w:vAlign w:val="center"/>
          </w:tcPr>
          <w:p w14:paraId="2EDB4CF5">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等级</w:t>
            </w:r>
          </w:p>
        </w:tc>
        <w:tc>
          <w:tcPr>
            <w:tcW w:w="2194" w:type="dxa"/>
            <w:vAlign w:val="center"/>
          </w:tcPr>
          <w:p w14:paraId="2E241F5B">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质量标准</w:t>
            </w:r>
          </w:p>
        </w:tc>
        <w:tc>
          <w:tcPr>
            <w:tcW w:w="2564" w:type="dxa"/>
            <w:vAlign w:val="center"/>
          </w:tcPr>
          <w:p w14:paraId="3AD3C36B">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包装要求</w:t>
            </w:r>
          </w:p>
        </w:tc>
      </w:tr>
      <w:tr w14:paraId="27C31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816" w:type="dxa"/>
            <w:vAlign w:val="center"/>
          </w:tcPr>
          <w:p w14:paraId="444A7752">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1</w:t>
            </w:r>
          </w:p>
        </w:tc>
        <w:tc>
          <w:tcPr>
            <w:tcW w:w="1422" w:type="dxa"/>
            <w:vAlign w:val="center"/>
          </w:tcPr>
          <w:p w14:paraId="77D0649F">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色拉油（大豆油）</w:t>
            </w:r>
          </w:p>
        </w:tc>
        <w:tc>
          <w:tcPr>
            <w:tcW w:w="1546" w:type="dxa"/>
            <w:vAlign w:val="center"/>
          </w:tcPr>
          <w:p w14:paraId="10B10DD1">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10升/桶</w:t>
            </w:r>
          </w:p>
        </w:tc>
        <w:tc>
          <w:tcPr>
            <w:tcW w:w="986" w:type="dxa"/>
            <w:vAlign w:val="center"/>
          </w:tcPr>
          <w:p w14:paraId="736BCDAF">
            <w:pPr>
              <w:jc w:val="center"/>
              <w:rPr>
                <w:rFonts w:ascii="方正仿宋_GBK" w:hAnsi="仿宋" w:eastAsia="方正仿宋_GBK" w:cs="仿宋"/>
                <w:color w:val="auto"/>
                <w:kern w:val="0"/>
                <w:sz w:val="24"/>
                <w:szCs w:val="24"/>
                <w:highlight w:val="none"/>
              </w:rPr>
            </w:pPr>
            <w:r>
              <w:rPr>
                <w:rFonts w:hint="eastAsia" w:ascii="方正仿宋_GBK" w:hAnsi="仿宋" w:eastAsia="方正仿宋_GBK" w:cs="仿宋"/>
                <w:color w:val="auto"/>
                <w:kern w:val="0"/>
                <w:sz w:val="24"/>
                <w:szCs w:val="24"/>
                <w:highlight w:val="none"/>
              </w:rPr>
              <w:t>一级</w:t>
            </w:r>
          </w:p>
        </w:tc>
        <w:tc>
          <w:tcPr>
            <w:tcW w:w="2194" w:type="dxa"/>
            <w:vAlign w:val="center"/>
          </w:tcPr>
          <w:p w14:paraId="09BEACB6">
            <w:pPr>
              <w:jc w:val="center"/>
              <w:rPr>
                <w:rFonts w:ascii="方正仿宋_GBK" w:hAnsi="仿宋" w:eastAsia="方正仿宋_GBK" w:cs="仿宋"/>
                <w:color w:val="auto"/>
                <w:kern w:val="0"/>
                <w:sz w:val="24"/>
                <w:szCs w:val="24"/>
                <w:highlight w:val="none"/>
              </w:rPr>
            </w:pPr>
            <w:r>
              <w:rPr>
                <w:rFonts w:hint="eastAsia" w:ascii="方正仿宋_GBK" w:hAnsi="仿宋" w:eastAsia="方正仿宋_GBK" w:cs="仿宋"/>
                <w:color w:val="auto"/>
                <w:kern w:val="0"/>
                <w:sz w:val="24"/>
                <w:szCs w:val="24"/>
                <w:highlight w:val="none"/>
              </w:rPr>
              <w:t>质检合格，附送质检报告，达到国标：GB/T</w:t>
            </w:r>
            <w:r>
              <w:rPr>
                <w:rFonts w:hint="eastAsia" w:ascii="方正仿宋_GBK" w:hAnsi="Calibri" w:eastAsia="方正仿宋_GBK" w:cs="Calibri"/>
                <w:color w:val="auto"/>
                <w:kern w:val="0"/>
                <w:sz w:val="24"/>
                <w:szCs w:val="24"/>
                <w:highlight w:val="none"/>
              </w:rPr>
              <w:t> </w:t>
            </w:r>
            <w:r>
              <w:rPr>
                <w:rFonts w:hint="eastAsia" w:ascii="方正仿宋_GBK" w:hAnsi="仿宋" w:eastAsia="方正仿宋_GBK" w:cs="仿宋"/>
                <w:color w:val="auto"/>
                <w:kern w:val="0"/>
                <w:sz w:val="24"/>
                <w:szCs w:val="24"/>
                <w:highlight w:val="none"/>
              </w:rPr>
              <w:t>1535-2017</w:t>
            </w:r>
          </w:p>
        </w:tc>
        <w:tc>
          <w:tcPr>
            <w:tcW w:w="2564" w:type="dxa"/>
            <w:vMerge w:val="restart"/>
          </w:tcPr>
          <w:p w14:paraId="72F47896">
            <w:pPr>
              <w:rPr>
                <w:rFonts w:ascii="方正仿宋_GBK" w:hAnsi="仿宋" w:eastAsia="方正仿宋_GBK" w:cs="仿宋"/>
                <w:color w:val="auto"/>
                <w:sz w:val="24"/>
                <w:szCs w:val="24"/>
                <w:highlight w:val="none"/>
              </w:rPr>
            </w:pPr>
            <w:r>
              <w:rPr>
                <w:rFonts w:hint="eastAsia" w:ascii="方正仿宋_GBK" w:hAnsi="仿宋" w:eastAsia="方正仿宋_GBK" w:cs="仿宋"/>
                <w:color w:val="auto"/>
                <w:kern w:val="0"/>
                <w:sz w:val="24"/>
                <w:szCs w:val="24"/>
                <w:highlight w:val="none"/>
              </w:rPr>
              <w:t>外包装标识应标注清楚净含量，品名、执行标准号；生产者（或销售者）名称、地址、商标；生产日期、保质期和相应的质量等级，取得食品生产许可证，食品在保质期内，有SC标志，供货时提供检验报告。另外，外包装的图案、文字的印刷应清晰、端正、不褪色。</w:t>
            </w:r>
          </w:p>
        </w:tc>
      </w:tr>
      <w:tr w14:paraId="6E50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01FEA500">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w:t>
            </w:r>
          </w:p>
        </w:tc>
        <w:tc>
          <w:tcPr>
            <w:tcW w:w="1422" w:type="dxa"/>
            <w:vAlign w:val="center"/>
          </w:tcPr>
          <w:p w14:paraId="210C8F6C">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菜籽油</w:t>
            </w:r>
          </w:p>
        </w:tc>
        <w:tc>
          <w:tcPr>
            <w:tcW w:w="1546" w:type="dxa"/>
            <w:vAlign w:val="center"/>
          </w:tcPr>
          <w:p w14:paraId="79E6F255">
            <w:pPr>
              <w:jc w:val="center"/>
              <w:rPr>
                <w:rFonts w:ascii="方正仿宋_GBK" w:hAnsi="方正仿宋_GBK" w:eastAsia="方正仿宋_GBK" w:cs="方正仿宋_GBK"/>
                <w:color w:val="auto"/>
                <w:sz w:val="24"/>
                <w:szCs w:val="24"/>
                <w:highlight w:val="none"/>
              </w:rPr>
            </w:pPr>
            <w:r>
              <w:rPr>
                <w:rFonts w:hint="eastAsia" w:ascii="方正仿宋_GBK" w:hAnsi="仿宋" w:eastAsia="方正仿宋_GBK" w:cs="仿宋"/>
                <w:color w:val="auto"/>
                <w:sz w:val="24"/>
                <w:szCs w:val="24"/>
                <w:highlight w:val="none"/>
              </w:rPr>
              <w:t>10升</w:t>
            </w:r>
            <w:r>
              <w:rPr>
                <w:rFonts w:hint="eastAsia" w:ascii="方正仿宋_GBK" w:hAnsi="方正仿宋_GBK" w:eastAsia="方正仿宋_GBK" w:cs="方正仿宋_GBK"/>
                <w:color w:val="auto"/>
                <w:sz w:val="24"/>
                <w:szCs w:val="24"/>
                <w:highlight w:val="none"/>
              </w:rPr>
              <w:t>/桶</w:t>
            </w:r>
          </w:p>
        </w:tc>
        <w:tc>
          <w:tcPr>
            <w:tcW w:w="986" w:type="dxa"/>
            <w:vAlign w:val="center"/>
          </w:tcPr>
          <w:p w14:paraId="2BEB9E64">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二级</w:t>
            </w:r>
          </w:p>
        </w:tc>
        <w:tc>
          <w:tcPr>
            <w:tcW w:w="2194" w:type="dxa"/>
            <w:vAlign w:val="center"/>
          </w:tcPr>
          <w:p w14:paraId="09283162">
            <w:pPr>
              <w:jc w:val="center"/>
              <w:rPr>
                <w:rFonts w:ascii="方正仿宋_GBK" w:hAnsi="方正仿宋_GBK" w:eastAsia="方正仿宋_GBK" w:cs="方正仿宋_GBK"/>
                <w:color w:val="auto"/>
                <w:sz w:val="24"/>
                <w:szCs w:val="24"/>
                <w:highlight w:val="none"/>
              </w:rPr>
            </w:pPr>
            <w:r>
              <w:rPr>
                <w:rFonts w:hint="eastAsia" w:ascii="方正仿宋_GBK" w:hAnsi="仿宋" w:eastAsia="方正仿宋_GBK" w:cs="仿宋"/>
                <w:color w:val="auto"/>
                <w:kern w:val="0"/>
                <w:sz w:val="24"/>
                <w:szCs w:val="24"/>
                <w:highlight w:val="none"/>
              </w:rPr>
              <w:t>质检合格，附送质检报告，达到国标：</w:t>
            </w:r>
            <w:r>
              <w:rPr>
                <w:rFonts w:hint="eastAsia" w:ascii="方正仿宋_GBK" w:hAnsi="方正仿宋_GBK" w:eastAsia="方正仿宋_GBK" w:cs="方正仿宋_GBK"/>
                <w:color w:val="auto"/>
                <w:kern w:val="0"/>
                <w:sz w:val="24"/>
                <w:szCs w:val="24"/>
                <w:highlight w:val="none"/>
              </w:rPr>
              <w:t>GB/T 1536-2021</w:t>
            </w:r>
          </w:p>
        </w:tc>
        <w:tc>
          <w:tcPr>
            <w:tcW w:w="2564" w:type="dxa"/>
            <w:vMerge w:val="continue"/>
          </w:tcPr>
          <w:p w14:paraId="65FB21EA">
            <w:pPr>
              <w:rPr>
                <w:rFonts w:ascii="方正仿宋_GBK" w:hAnsi="方正仿宋_GBK" w:eastAsia="方正仿宋_GBK" w:cs="方正仿宋_GBK"/>
                <w:color w:val="auto"/>
                <w:sz w:val="24"/>
                <w:szCs w:val="24"/>
                <w:highlight w:val="none"/>
              </w:rPr>
            </w:pPr>
          </w:p>
        </w:tc>
      </w:tr>
    </w:tbl>
    <w:p w14:paraId="337BE33E">
      <w:pPr>
        <w:pStyle w:val="5"/>
        <w:spacing w:line="276" w:lineRule="auto"/>
        <w:rPr>
          <w:rFonts w:ascii="方正仿宋_GBK" w:eastAsia="方正仿宋_GBK"/>
          <w:b/>
          <w:color w:val="auto"/>
          <w:sz w:val="24"/>
          <w:szCs w:val="24"/>
          <w:highlight w:val="none"/>
        </w:rPr>
      </w:pPr>
      <w:bookmarkStart w:id="60" w:name="_Toc4694"/>
      <w:r>
        <w:rPr>
          <w:rFonts w:hint="eastAsia" w:ascii="方正仿宋_GBK" w:eastAsia="方正仿宋_GBK"/>
          <w:b/>
          <w:bCs/>
          <w:color w:val="auto"/>
          <w:sz w:val="24"/>
          <w:szCs w:val="24"/>
          <w:highlight w:val="none"/>
        </w:rPr>
        <w:t>※四、包3产品质量</w:t>
      </w:r>
      <w:r>
        <w:rPr>
          <w:rFonts w:hint="eastAsia" w:ascii="方正仿宋_GBK" w:eastAsia="方正仿宋_GBK"/>
          <w:b/>
          <w:color w:val="auto"/>
          <w:sz w:val="24"/>
          <w:szCs w:val="24"/>
          <w:highlight w:val="none"/>
        </w:rPr>
        <w:t>要求</w:t>
      </w:r>
      <w:bookmarkEnd w:id="60"/>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470"/>
        <w:gridCol w:w="1275"/>
        <w:gridCol w:w="4245"/>
        <w:gridCol w:w="1830"/>
      </w:tblGrid>
      <w:tr w14:paraId="1639A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48" w:type="dxa"/>
            <w:vAlign w:val="center"/>
          </w:tcPr>
          <w:p w14:paraId="32C995AB">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序号</w:t>
            </w:r>
          </w:p>
        </w:tc>
        <w:tc>
          <w:tcPr>
            <w:tcW w:w="1470" w:type="dxa"/>
            <w:vAlign w:val="center"/>
          </w:tcPr>
          <w:p w14:paraId="7A7F9A48">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货物名称</w:t>
            </w:r>
          </w:p>
        </w:tc>
        <w:tc>
          <w:tcPr>
            <w:tcW w:w="1275" w:type="dxa"/>
            <w:vAlign w:val="center"/>
          </w:tcPr>
          <w:p w14:paraId="0C4EC235">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规格型号</w:t>
            </w:r>
          </w:p>
        </w:tc>
        <w:tc>
          <w:tcPr>
            <w:tcW w:w="4245" w:type="dxa"/>
            <w:vAlign w:val="center"/>
          </w:tcPr>
          <w:p w14:paraId="447D1D15">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质量标准</w:t>
            </w:r>
          </w:p>
        </w:tc>
        <w:tc>
          <w:tcPr>
            <w:tcW w:w="1830" w:type="dxa"/>
            <w:vAlign w:val="center"/>
          </w:tcPr>
          <w:p w14:paraId="0ED18074">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运输要求</w:t>
            </w:r>
          </w:p>
        </w:tc>
      </w:tr>
      <w:tr w14:paraId="55E08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648" w:type="dxa"/>
            <w:vAlign w:val="center"/>
          </w:tcPr>
          <w:p w14:paraId="3C3308CB">
            <w:pPr>
              <w:jc w:val="cente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1</w:t>
            </w:r>
          </w:p>
        </w:tc>
        <w:tc>
          <w:tcPr>
            <w:tcW w:w="1470" w:type="dxa"/>
            <w:vAlign w:val="center"/>
          </w:tcPr>
          <w:p w14:paraId="0CE52040">
            <w:pPr>
              <w:jc w:val="center"/>
              <w:rPr>
                <w:rFonts w:ascii="方正仿宋_GBK" w:hAnsi="仿宋" w:eastAsia="方正仿宋_GBK" w:cs="仿宋"/>
                <w:color w:val="auto"/>
                <w:sz w:val="24"/>
                <w:szCs w:val="24"/>
                <w:highlight w:val="none"/>
              </w:rPr>
            </w:pPr>
            <w:r>
              <w:rPr>
                <w:rFonts w:hint="eastAsia" w:ascii="方正仿宋_GBK" w:hAnsi="方正仿宋_GBK" w:eastAsia="方正仿宋_GBK" w:cs="方正仿宋_GBK"/>
                <w:color w:val="auto"/>
                <w:kern w:val="0"/>
                <w:sz w:val="24"/>
                <w:szCs w:val="24"/>
                <w:highlight w:val="none"/>
              </w:rPr>
              <w:t>鲜猪肉系列</w:t>
            </w:r>
          </w:p>
        </w:tc>
        <w:tc>
          <w:tcPr>
            <w:tcW w:w="1275" w:type="dxa"/>
            <w:vAlign w:val="center"/>
          </w:tcPr>
          <w:p w14:paraId="4D12FC2F">
            <w:pPr>
              <w:jc w:val="center"/>
              <w:rPr>
                <w:rFonts w:ascii="方正仿宋_GBK" w:hAnsi="仿宋" w:eastAsia="方正仿宋_GBK" w:cs="仿宋"/>
                <w:color w:val="auto"/>
                <w:sz w:val="24"/>
                <w:szCs w:val="24"/>
                <w:highlight w:val="none"/>
              </w:rPr>
            </w:pPr>
            <w:r>
              <w:rPr>
                <w:rFonts w:hint="eastAsia" w:ascii="方正仿宋_GBK" w:hAnsi="方正仿宋_GBK" w:eastAsia="方正仿宋_GBK" w:cs="方正仿宋_GBK"/>
                <w:color w:val="auto"/>
                <w:kern w:val="0"/>
                <w:sz w:val="24"/>
                <w:szCs w:val="24"/>
                <w:highlight w:val="none"/>
              </w:rPr>
              <w:t>分割鲜散装热鲜猪肉系列</w:t>
            </w:r>
          </w:p>
        </w:tc>
        <w:tc>
          <w:tcPr>
            <w:tcW w:w="4245" w:type="dxa"/>
            <w:vAlign w:val="center"/>
          </w:tcPr>
          <w:p w14:paraId="6C61751B">
            <w:pPr>
              <w:rPr>
                <w:rFonts w:ascii="方正仿宋_GBK" w:hAnsi="仿宋" w:eastAsia="方正仿宋_GBK" w:cs="仿宋"/>
                <w:color w:val="auto"/>
                <w:kern w:val="0"/>
                <w:sz w:val="24"/>
                <w:szCs w:val="24"/>
                <w:highlight w:val="none"/>
              </w:rPr>
            </w:pPr>
            <w:r>
              <w:rPr>
                <w:rFonts w:hint="eastAsia" w:ascii="方正仿宋_GBK" w:hAnsi="仿宋" w:eastAsia="方正仿宋_GBK" w:cs="仿宋"/>
                <w:color w:val="auto"/>
                <w:kern w:val="0"/>
                <w:sz w:val="24"/>
                <w:szCs w:val="24"/>
                <w:highlight w:val="none"/>
              </w:rPr>
              <w:t>1.符合GB</w:t>
            </w:r>
            <w:r>
              <w:rPr>
                <w:rFonts w:hint="eastAsia" w:ascii="方正仿宋_GBK" w:hAnsi="Calibri" w:eastAsia="方正仿宋_GBK" w:cs="Calibri"/>
                <w:color w:val="auto"/>
                <w:kern w:val="0"/>
                <w:sz w:val="24"/>
                <w:szCs w:val="24"/>
                <w:highlight w:val="none"/>
              </w:rPr>
              <w:t> </w:t>
            </w:r>
            <w:r>
              <w:rPr>
                <w:rFonts w:hint="eastAsia" w:ascii="方正仿宋_GBK" w:hAnsi="仿宋" w:eastAsia="方正仿宋_GBK" w:cs="仿宋"/>
                <w:color w:val="auto"/>
                <w:kern w:val="0"/>
                <w:sz w:val="24"/>
                <w:szCs w:val="24"/>
                <w:highlight w:val="none"/>
              </w:rPr>
              <w:t>2707-2016《食品安全国家标准</w:t>
            </w:r>
            <w:r>
              <w:rPr>
                <w:rFonts w:hint="eastAsia" w:ascii="方正仿宋_GBK" w:hAnsi="Calibri" w:eastAsia="方正仿宋_GBK" w:cs="Calibri"/>
                <w:color w:val="auto"/>
                <w:kern w:val="0"/>
                <w:sz w:val="24"/>
                <w:szCs w:val="24"/>
                <w:highlight w:val="none"/>
              </w:rPr>
              <w:t> </w:t>
            </w:r>
            <w:r>
              <w:rPr>
                <w:rFonts w:hint="eastAsia" w:ascii="方正仿宋_GBK" w:hAnsi="仿宋" w:eastAsia="方正仿宋_GBK" w:cs="仿宋"/>
                <w:color w:val="auto"/>
                <w:kern w:val="0"/>
                <w:sz w:val="24"/>
                <w:szCs w:val="24"/>
                <w:highlight w:val="none"/>
              </w:rPr>
              <w:t>鲜（冻）畜、禽产品》。</w:t>
            </w:r>
          </w:p>
          <w:p w14:paraId="71D68B6F">
            <w:pPr>
              <w:rPr>
                <w:rFonts w:ascii="方正仿宋_GBK" w:hAnsi="仿宋" w:eastAsia="方正仿宋_GBK" w:cs="仿宋"/>
                <w:color w:val="auto"/>
                <w:kern w:val="0"/>
                <w:sz w:val="24"/>
                <w:szCs w:val="24"/>
                <w:highlight w:val="none"/>
              </w:rPr>
            </w:pPr>
            <w:r>
              <w:rPr>
                <w:rFonts w:hint="eastAsia" w:ascii="方正仿宋_GBK" w:hAnsi="仿宋" w:eastAsia="方正仿宋_GBK" w:cs="仿宋"/>
                <w:color w:val="auto"/>
                <w:kern w:val="0"/>
                <w:sz w:val="24"/>
                <w:szCs w:val="24"/>
                <w:highlight w:val="none"/>
              </w:rPr>
              <w:t>2.符合GB</w:t>
            </w:r>
            <w:r>
              <w:rPr>
                <w:rFonts w:hint="eastAsia" w:ascii="方正仿宋_GBK" w:hAnsi="Calibri" w:eastAsia="方正仿宋_GBK" w:cs="Calibri"/>
                <w:color w:val="auto"/>
                <w:kern w:val="0"/>
                <w:sz w:val="24"/>
                <w:szCs w:val="24"/>
                <w:highlight w:val="none"/>
              </w:rPr>
              <w:t> </w:t>
            </w:r>
            <w:r>
              <w:rPr>
                <w:rFonts w:hint="eastAsia" w:ascii="方正仿宋_GBK" w:hAnsi="仿宋" w:eastAsia="方正仿宋_GBK" w:cs="仿宋"/>
                <w:color w:val="auto"/>
                <w:kern w:val="0"/>
                <w:sz w:val="24"/>
                <w:szCs w:val="24"/>
                <w:highlight w:val="none"/>
              </w:rPr>
              <w:t>9959.1-2001《鲜、冻片猪肉》规定的生猪屠宰与加工后的鲜、冻片猪肉的生产标准。</w:t>
            </w:r>
          </w:p>
        </w:tc>
        <w:tc>
          <w:tcPr>
            <w:tcW w:w="1830" w:type="dxa"/>
          </w:tcPr>
          <w:p w14:paraId="4EB020A0">
            <w:pPr>
              <w:rPr>
                <w:rFonts w:ascii="方正仿宋_GBK" w:hAnsi="仿宋" w:eastAsia="方正仿宋_GBK" w:cs="仿宋"/>
                <w:color w:val="auto"/>
                <w:sz w:val="24"/>
                <w:szCs w:val="24"/>
                <w:highlight w:val="none"/>
              </w:rPr>
            </w:pPr>
            <w:r>
              <w:rPr>
                <w:rFonts w:hint="eastAsia" w:ascii="方正仿宋_GBK" w:hAnsi="仿宋" w:eastAsia="方正仿宋_GBK" w:cs="仿宋"/>
                <w:color w:val="auto"/>
                <w:sz w:val="24"/>
                <w:szCs w:val="24"/>
                <w:highlight w:val="none"/>
              </w:rPr>
              <w:t>运输鲜猪肉的车辆必须是专用冷藏车，确保肉品在运输过程中不变质且可通风散热。此外，车辆应具备防渗漏、耐腐蚀的特性。</w:t>
            </w:r>
            <w:r>
              <w:rPr>
                <w:rFonts w:hint="eastAsia" w:ascii="MS Mincho" w:hAnsi="MS Mincho" w:eastAsia="MS Mincho" w:cs="MS Mincho"/>
                <w:color w:val="auto"/>
                <w:sz w:val="24"/>
                <w:szCs w:val="24"/>
                <w:highlight w:val="none"/>
              </w:rPr>
              <w:t>‌</w:t>
            </w:r>
          </w:p>
        </w:tc>
      </w:tr>
    </w:tbl>
    <w:p w14:paraId="224E740E">
      <w:pPr>
        <w:pStyle w:val="5"/>
        <w:spacing w:line="276" w:lineRule="auto"/>
        <w:rPr>
          <w:rFonts w:ascii="方正仿宋_GBK" w:eastAsia="方正仿宋_GBK"/>
          <w:color w:val="auto"/>
          <w:sz w:val="24"/>
          <w:szCs w:val="24"/>
          <w:highlight w:val="none"/>
        </w:rPr>
      </w:pPr>
      <w:bookmarkStart w:id="61" w:name="_Toc18547"/>
      <w:r>
        <w:rPr>
          <w:rFonts w:hint="eastAsia" w:ascii="方正仿宋_GBK" w:eastAsia="方正仿宋_GBK"/>
          <w:b/>
          <w:bCs/>
          <w:color w:val="auto"/>
          <w:sz w:val="24"/>
          <w:szCs w:val="24"/>
          <w:highlight w:val="none"/>
        </w:rPr>
        <w:t>※五、其他要求</w:t>
      </w:r>
      <w:bookmarkEnd w:id="61"/>
    </w:p>
    <w:p w14:paraId="36C702B2">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1.所有产品必须符合《中华人民共和国食品安全法》及其他最新法规和标准的要求，符合国家及行业的相关标准。</w:t>
      </w:r>
    </w:p>
    <w:p w14:paraId="0BBF36B1">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2.供应商在合同履行期间，提供的每种明细产品必须标明品名、规格、计量单位等内容。</w:t>
      </w:r>
    </w:p>
    <w:p w14:paraId="41A1D77A">
      <w:pPr>
        <w:rPr>
          <w:color w:val="auto"/>
          <w:highlight w:val="none"/>
        </w:rPr>
      </w:pPr>
      <w:r>
        <w:rPr>
          <w:rFonts w:hint="eastAsia" w:ascii="方正仿宋_GBK" w:hAnsi="宋体" w:eastAsia="方正仿宋_GBK" w:cs="宋体"/>
          <w:color w:val="auto"/>
          <w:kern w:val="0"/>
          <w:sz w:val="24"/>
          <w:szCs w:val="24"/>
          <w:highlight w:val="none"/>
        </w:rPr>
        <w:br w:type="page"/>
      </w:r>
    </w:p>
    <w:p w14:paraId="78D43F7B">
      <w:pPr>
        <w:pStyle w:val="4"/>
        <w:spacing w:before="0" w:beforeLines="0" w:after="0" w:afterLines="0" w:line="276" w:lineRule="auto"/>
        <w:rPr>
          <w:rFonts w:ascii="方正仿宋_GBK" w:hAnsi="宋体" w:eastAsia="方正仿宋_GBK"/>
          <w:b/>
          <w:color w:val="auto"/>
          <w:szCs w:val="44"/>
          <w:highlight w:val="none"/>
        </w:rPr>
      </w:pPr>
      <w:bookmarkStart w:id="62" w:name="_Toc175"/>
      <w:bookmarkStart w:id="63" w:name="_Toc29309"/>
      <w:bookmarkStart w:id="64" w:name="_Toc115877695"/>
      <w:bookmarkStart w:id="65" w:name="_Toc129178870"/>
      <w:r>
        <w:rPr>
          <w:rFonts w:hint="eastAsia" w:ascii="方正仿宋_GBK" w:hAnsi="宋体" w:eastAsia="方正仿宋_GBK"/>
          <w:b/>
          <w:color w:val="auto"/>
          <w:szCs w:val="44"/>
          <w:highlight w:val="none"/>
        </w:rPr>
        <w:t>第三篇  项目商务要求</w:t>
      </w:r>
      <w:bookmarkEnd w:id="62"/>
      <w:bookmarkEnd w:id="63"/>
      <w:bookmarkEnd w:id="64"/>
      <w:bookmarkEnd w:id="65"/>
    </w:p>
    <w:p w14:paraId="01943B90">
      <w:pPr>
        <w:snapToGrid w:val="0"/>
        <w:spacing w:line="276" w:lineRule="auto"/>
        <w:ind w:left="140" w:leftChars="50" w:firstLine="360" w:firstLineChars="150"/>
        <w:rPr>
          <w:rFonts w:ascii="方正仿宋_GBK" w:hAnsi="宋体" w:eastAsia="方正仿宋_GBK"/>
          <w:color w:val="auto"/>
          <w:sz w:val="24"/>
          <w:szCs w:val="24"/>
          <w:highlight w:val="none"/>
        </w:rPr>
      </w:pPr>
      <w:bookmarkStart w:id="66" w:name="_Toc267320049"/>
      <w:bookmarkStart w:id="67" w:name="_Toc75452487"/>
      <w:r>
        <w:rPr>
          <w:rFonts w:hint="eastAsia" w:ascii="方正仿宋_GBK" w:hAnsi="宋体" w:eastAsia="方正仿宋_GBK"/>
          <w:color w:val="auto"/>
          <w:sz w:val="24"/>
          <w:szCs w:val="24"/>
          <w:highlight w:val="none"/>
          <w:lang w:eastAsia="zh-Hans"/>
        </w:rPr>
        <w:t>“※”标注的技术需求为符合性审查中的实质性要求，若不满足按无效投标处理。</w:t>
      </w:r>
    </w:p>
    <w:p w14:paraId="2EBDA9C1">
      <w:pPr>
        <w:pStyle w:val="5"/>
        <w:rPr>
          <w:rFonts w:ascii="方正仿宋_GBK" w:hAnsi="方正仿宋_GBK" w:eastAsia="方正仿宋_GBK" w:cs="方正仿宋_GBK"/>
          <w:b/>
          <w:color w:val="auto"/>
          <w:sz w:val="24"/>
          <w:szCs w:val="24"/>
          <w:highlight w:val="none"/>
        </w:rPr>
      </w:pPr>
      <w:bookmarkStart w:id="68" w:name="_Toc3246"/>
      <w:r>
        <w:rPr>
          <w:rFonts w:hint="eastAsia" w:ascii="方正仿宋_GBK" w:eastAsia="方正仿宋_GBK"/>
          <w:color w:val="auto"/>
          <w:sz w:val="24"/>
          <w:szCs w:val="24"/>
          <w:highlight w:val="none"/>
        </w:rPr>
        <w:t>※</w:t>
      </w:r>
      <w:r>
        <w:rPr>
          <w:rFonts w:hint="eastAsia" w:ascii="方正仿宋_GBK" w:hAnsi="方正仿宋_GBK" w:eastAsia="方正仿宋_GBK" w:cs="方正仿宋_GBK"/>
          <w:b/>
          <w:color w:val="auto"/>
          <w:sz w:val="24"/>
          <w:szCs w:val="24"/>
          <w:highlight w:val="none"/>
        </w:rPr>
        <w:t>一、</w:t>
      </w:r>
      <w:bookmarkEnd w:id="66"/>
      <w:r>
        <w:rPr>
          <w:rFonts w:hint="eastAsia" w:ascii="方正仿宋_GBK" w:hAnsi="方正仿宋_GBK" w:eastAsia="方正仿宋_GBK" w:cs="方正仿宋_GBK"/>
          <w:b/>
          <w:color w:val="auto"/>
          <w:sz w:val="24"/>
          <w:szCs w:val="24"/>
          <w:highlight w:val="none"/>
        </w:rPr>
        <w:t>供货期、供货时间、供货地点及验收</w:t>
      </w:r>
      <w:bookmarkEnd w:id="67"/>
      <w:r>
        <w:rPr>
          <w:rFonts w:hint="eastAsia" w:ascii="方正仿宋_GBK" w:hAnsi="方正仿宋_GBK" w:eastAsia="方正仿宋_GBK" w:cs="方正仿宋_GBK"/>
          <w:b/>
          <w:color w:val="auto"/>
          <w:sz w:val="24"/>
          <w:szCs w:val="24"/>
          <w:highlight w:val="none"/>
        </w:rPr>
        <w:t>方式</w:t>
      </w:r>
      <w:bookmarkEnd w:id="68"/>
    </w:p>
    <w:p w14:paraId="3D260B8F">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（一）供货期</w:t>
      </w:r>
    </w:p>
    <w:p w14:paraId="77964600">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合同签订后供货期2年，从2025年9月1日至2027年8月31日。</w:t>
      </w:r>
    </w:p>
    <w:p w14:paraId="5B085673">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（二）供货时间</w:t>
      </w:r>
    </w:p>
    <w:p w14:paraId="69E95BB5">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中标人应保证相对稳定的进货渠道和充足的货源。合同生效后按照采购人规定的时间，按质、按量、及时供货。一般情况下，采购人应提前8小时将所需货物的品种、数量通知中标人，中标人在采购人规定的时间内将所需货物送达指定地点。如遇紧急情况，中标人接采购人通知后1小时内按所需物资品种、数量及时配送到位，中标人不得以任何理由拒绝或推迟供应采购人所需货物。</w:t>
      </w:r>
    </w:p>
    <w:p w14:paraId="3870181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2.保证根据采购人工作规律，在寒暑假、法定节假日等时间内，以及在发生诸如货源紧张、物价突涨时顾全大局，确保供应，保障采购人稳定。</w:t>
      </w:r>
    </w:p>
    <w:p w14:paraId="3F59861F">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（三）供货地点</w:t>
      </w:r>
    </w:p>
    <w:p w14:paraId="687B2395">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重庆工商大学南岸校区、兰花湖片区各自营食堂指定存放地点。</w:t>
      </w:r>
    </w:p>
    <w:p w14:paraId="5711008A">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（四）验收方式</w:t>
      </w:r>
    </w:p>
    <w:p w14:paraId="424EA02D">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日常验收。日常验收本项目采购人后勤处将严格按照本招标文件第二篇相关内容及要求进行日常验收。实行3人或3人以上现场共同复称验收方式，即食堂库管员、食堂工作人员、供货商送货员3人现场共同验收并在供货清单上签字确认，且货票一致等，提供质检报告。</w:t>
      </w:r>
    </w:p>
    <w:p w14:paraId="5D63A35B">
      <w:pPr>
        <w:snapToGrid w:val="0"/>
        <w:spacing w:line="276" w:lineRule="auto"/>
        <w:ind w:left="140" w:leftChars="50" w:firstLine="361" w:firstLineChars="150"/>
        <w:rPr>
          <w:rFonts w:ascii="方正仿宋_GBK" w:hAnsi="宋体" w:eastAsia="方正仿宋_GBK"/>
          <w:b/>
          <w:color w:val="auto"/>
          <w:sz w:val="24"/>
          <w:szCs w:val="24"/>
          <w:highlight w:val="none"/>
        </w:rPr>
      </w:pPr>
      <w:bookmarkStart w:id="69" w:name="OLE_LINK24"/>
      <w:bookmarkStart w:id="70" w:name="OLE_LINK23"/>
      <w:r>
        <w:rPr>
          <w:rFonts w:hint="eastAsia" w:ascii="方正仿宋_GBK" w:hAnsi="宋体" w:eastAsia="方正仿宋_GBK"/>
          <w:b/>
          <w:color w:val="auto"/>
          <w:sz w:val="24"/>
          <w:szCs w:val="24"/>
          <w:highlight w:val="none"/>
        </w:rPr>
        <w:t>包1：大米面粉验收标准</w:t>
      </w:r>
    </w:p>
    <w:bookmarkEnd w:id="69"/>
    <w:bookmarkEnd w:id="70"/>
    <w:p w14:paraId="527EBF10">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验收发现数量(重量)不足的,以实际货物数量(重量)验收登记入库。验收时发现质量不符合要求的,无条件退货,由此发生的一切费用及损失由供方承担。货物虽在保质期(有效期内),但货物送到时,剩余保质期限已不足50%的,需方根据使用情况有权拒收。每次提供数量的准确度至少是需求数量的95%;由于寒暑假期较长,值班食堂需求量小,供方要采取有效措施保证每天供应;工作人员服务态度良好。</w:t>
      </w:r>
    </w:p>
    <w:p w14:paraId="63749CF5">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普通大米验收标准：具有同批次质检报告，等级为二级，大米色泽呈透明、半透明或白色，有色泽，透明玉色状,符合应有品种的粒形，具有新鲜米特有的香味，无霉变、无异味，米粒白净成形，无虫，无杂质，无霉块，碎米较少，黏米含量低，手触摸米无潮湿感，按实称重，不能短斤少两，外包装完整干净，无霉变无黄颗粒。</w:t>
      </w:r>
    </w:p>
    <w:p w14:paraId="0BB63C2C">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珍珠米验收标准：具有同批次质检报告，等级为一级，珍珠米色泽呈透明、半透明或白色，有色泽，透明玉色状,符合应有品种的粒形，具有新鲜米特有的香味，无霉变、无异味，米粒白净成形，无虫，无杂质，无霉块，碎米较少，黏米含量低，手触摸米无潮湿感，按实称重，不能短斤少两，外包装完整干净，无霉变无黄颗粒。</w:t>
      </w:r>
    </w:p>
    <w:p w14:paraId="692F1D4D">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面粉验收标准：每批货均有出厂检验合格报告，面粉色泽微黄色或白色，均匀一致，不发暗，气味具有正常的面粉气味，无霉变、无异味，口感味道正常，无发酸、刺喉，咀嚼时没有牙碜感，按实称重，不能短斤少两。</w:t>
      </w:r>
    </w:p>
    <w:p w14:paraId="4F841173">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包装要求：各类货物(鲜活产品及冷冻制品除外)包装应分别符合GB/T17109、GB7718、 GBT17374的规定和卫生要求，有标识、有原厂密封措施；若采用包装袋，则包装袋应坚固结实，封口或者缝口应严密。粉状原材料应有防尘、防雨雪、防潮湿等保护设备和措施。根据不同产品分别规定用中文标有品名、产地、厂家、生产日期、保质期批号或代号、规定、配方或者主要成份、食用或使用方法、保存方法等说明，有检验合格证、生产日期和保质期，并严格按照《食品安全法》要求提供相应票据。出现包装破损现象予以免费及时调换。</w:t>
      </w:r>
    </w:p>
    <w:p w14:paraId="189E59FF">
      <w:pPr>
        <w:snapToGrid w:val="0"/>
        <w:spacing w:line="276" w:lineRule="auto"/>
        <w:ind w:left="140" w:leftChars="50" w:firstLine="361" w:firstLineChars="150"/>
        <w:rPr>
          <w:rFonts w:ascii="方正仿宋_GBK" w:hAnsi="宋体" w:eastAsia="方正仿宋_GBK"/>
          <w:color w:val="auto"/>
          <w:sz w:val="24"/>
          <w:szCs w:val="24"/>
          <w:highlight w:val="none"/>
        </w:rPr>
      </w:pPr>
      <w:r>
        <w:rPr>
          <w:rFonts w:hint="eastAsia" w:ascii="方正仿宋_GBK" w:hAnsi="宋体" w:eastAsia="方正仿宋_GBK"/>
          <w:b/>
          <w:color w:val="auto"/>
          <w:sz w:val="24"/>
          <w:szCs w:val="24"/>
          <w:highlight w:val="none"/>
        </w:rPr>
        <w:t>包</w:t>
      </w:r>
      <w:r>
        <w:rPr>
          <w:rFonts w:ascii="方正仿宋_GBK" w:hAnsi="宋体" w:eastAsia="方正仿宋_GBK"/>
          <w:b/>
          <w:color w:val="auto"/>
          <w:sz w:val="24"/>
          <w:szCs w:val="24"/>
          <w:highlight w:val="none"/>
        </w:rPr>
        <w:t>2</w:t>
      </w:r>
      <w:r>
        <w:rPr>
          <w:rFonts w:hint="eastAsia" w:ascii="方正仿宋_GBK" w:hAnsi="宋体" w:eastAsia="方正仿宋_GBK"/>
          <w:b/>
          <w:color w:val="auto"/>
          <w:sz w:val="24"/>
          <w:szCs w:val="24"/>
          <w:highlight w:val="none"/>
        </w:rPr>
        <w:t>：</w:t>
      </w:r>
      <w:r>
        <w:rPr>
          <w:rFonts w:hint="eastAsia" w:ascii="方正仿宋_GBK" w:hAnsi="宋体" w:eastAsia="方正仿宋_GBK"/>
          <w:color w:val="auto"/>
          <w:sz w:val="24"/>
          <w:szCs w:val="24"/>
          <w:highlight w:val="none"/>
        </w:rPr>
        <w:t>食用油验收标准：</w:t>
      </w:r>
    </w:p>
    <w:p w14:paraId="0DEF50B9">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具有批次质检报告，商标标明为非转基因，保质期临期在6个月及以上，外包装完整干净。</w:t>
      </w:r>
    </w:p>
    <w:p w14:paraId="30F88ED1">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外观：透明或澄清，无浑浊、沉淀或悬浮物，无肉眼可见杂质。</w:t>
      </w:r>
    </w:p>
    <w:p w14:paraId="4A8BB7F3">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色泽：符合该油品特征颜色（如大豆油为淡黄色，菜籽油为金黄色）。</w:t>
      </w:r>
    </w:p>
    <w:p w14:paraId="6D1CBED0">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气味：具有该油品固有气味，无异味（如哈喇味、酸败味、霉味等）。</w:t>
      </w:r>
    </w:p>
    <w:p w14:paraId="02D13417">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包装要求：</w:t>
      </w:r>
    </w:p>
    <w:p w14:paraId="2EC81A04">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各类货物(鲜活产品及冷冻制品除外)包装应分别符合GB/T17109、GB7718、 GBT17374的规定和卫生要求，有标识、有原厂密封措施；若采用包装袋，则包装袋应坚固结实，封口或者缝口应严密。粉状原材料应有防尘、防雨雪、防潮湿等保护设备和措施。根据不同产品分别规定用中文标有品名、产地、厂家、生产日期、保质期批号或代号、规定、配方或者主要成份、食用或使用方法、保存方法等说明，有检验合格证、生产日期和保质期，并严格按照《食品安全法》要求提供相应票据。出现包装破损现象予以免费及时调换。</w:t>
      </w:r>
    </w:p>
    <w:p w14:paraId="4D9AE61E">
      <w:pPr>
        <w:snapToGrid w:val="0"/>
        <w:spacing w:line="276" w:lineRule="auto"/>
        <w:ind w:left="140" w:leftChars="50" w:firstLine="361" w:firstLineChars="150"/>
        <w:rPr>
          <w:rFonts w:ascii="方正仿宋_GBK" w:hAnsi="宋体" w:eastAsia="方正仿宋_GBK"/>
          <w:color w:val="auto"/>
          <w:sz w:val="24"/>
          <w:szCs w:val="24"/>
          <w:highlight w:val="none"/>
        </w:rPr>
      </w:pPr>
      <w:r>
        <w:rPr>
          <w:rFonts w:hint="eastAsia" w:ascii="方正仿宋_GBK" w:hAnsi="宋体" w:eastAsia="方正仿宋_GBK"/>
          <w:b/>
          <w:color w:val="auto"/>
          <w:sz w:val="24"/>
          <w:szCs w:val="24"/>
          <w:highlight w:val="none"/>
        </w:rPr>
        <w:t>包</w:t>
      </w:r>
      <w:r>
        <w:rPr>
          <w:rFonts w:ascii="方正仿宋_GBK" w:hAnsi="宋体" w:eastAsia="方正仿宋_GBK"/>
          <w:b/>
          <w:color w:val="auto"/>
          <w:sz w:val="24"/>
          <w:szCs w:val="24"/>
          <w:highlight w:val="none"/>
        </w:rPr>
        <w:t>3</w:t>
      </w:r>
      <w:r>
        <w:rPr>
          <w:rFonts w:hint="eastAsia" w:ascii="方正仿宋_GBK" w:hAnsi="宋体" w:eastAsia="方正仿宋_GBK"/>
          <w:b/>
          <w:color w:val="auto"/>
          <w:sz w:val="24"/>
          <w:szCs w:val="24"/>
          <w:highlight w:val="none"/>
        </w:rPr>
        <w:t>：</w:t>
      </w:r>
      <w:r>
        <w:rPr>
          <w:rFonts w:hint="eastAsia" w:ascii="方正仿宋_GBK" w:hAnsi="宋体" w:eastAsia="方正仿宋_GBK"/>
          <w:color w:val="auto"/>
          <w:sz w:val="24"/>
          <w:szCs w:val="24"/>
          <w:highlight w:val="none"/>
        </w:rPr>
        <w:t>鲜猪肉验收标准：</w:t>
      </w:r>
    </w:p>
    <w:p w14:paraId="4A7AF57F">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颜色：肌肉呈淡红色至鲜红色，无深紫色的淤血块，脂肪乳白色或粉白色，表面有光泽。</w:t>
      </w:r>
    </w:p>
    <w:p w14:paraId="6A28F8DA">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气味：正常鲜猪肉有轻微腥味，无异味、腐臭味、酸败味或刺激性气</w:t>
      </w:r>
    </w:p>
    <w:p w14:paraId="40DFBCBB">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组织状态 ：肉质紧密有弹性，指压凹陷后能迅速恢复。表面微湿润但不粘手，无血水或异常渗出物。  </w:t>
      </w:r>
    </w:p>
    <w:p w14:paraId="62581D3C">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煮沸后肉汤透明澄清，脂肪团聚于表面，有猪肉香味，无异味（必要时检测）  。</w:t>
      </w:r>
    </w:p>
    <w:p w14:paraId="696675B0">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附送同批次检疫、检验合格证，货票一致同等验收。</w:t>
      </w:r>
    </w:p>
    <w:p w14:paraId="1ABDDA8C">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包装要求：</w:t>
      </w:r>
    </w:p>
    <w:p w14:paraId="0075FF23">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各类货物(鲜活产品及冷冻制品除外)包装应分别符合GB/T17109、GB7718、 GBT17374的规定和卫生要求，有标识、有原厂密封措施；若采用包装袋，则包装袋应坚固结实，封口或者缝口应严密。粉状原材料应有防尘、防雨雪、防潮湿等保护设备和措施。根据不同产品分别规定用中文标有品名、产地、厂家、生产日期、保质期批号或代号、规定、配方或者主要成份、食用或使用方法、保存方法等说明，有检验合格证、生产日期和保质期，并严格按照《食品安全法》要求提供相应票据。出现包装破损现象予以免费及时调换。</w:t>
      </w:r>
    </w:p>
    <w:p w14:paraId="49C97FC3">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2.采购人后勤处对每次配送的食材，严格把关，查看批次食品的检验、检疫报告、合格证、出厂日期以及食品色泽、气味等，若异常拒绝接受。</w:t>
      </w:r>
    </w:p>
    <w:p w14:paraId="52372F76">
      <w:pPr>
        <w:snapToGrid w:val="0"/>
        <w:spacing w:line="276" w:lineRule="auto"/>
        <w:ind w:left="140" w:leftChars="50" w:firstLine="360" w:firstLineChars="15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3</w:t>
      </w:r>
      <w:r>
        <w:rPr>
          <w:rFonts w:hint="eastAsia" w:ascii="方正仿宋_GBK" w:hAnsi="宋体" w:eastAsia="方正仿宋_GBK"/>
          <w:color w:val="auto"/>
          <w:sz w:val="24"/>
          <w:szCs w:val="24"/>
          <w:highlight w:val="none"/>
        </w:rPr>
        <w:t>.年度验收。年度验收由采购人</w:t>
      </w:r>
      <w:r>
        <w:rPr>
          <w:rFonts w:hint="eastAsia" w:ascii="方正仿宋_GBK" w:hAnsi="宋体" w:eastAsia="方正仿宋_GBK"/>
          <w:color w:val="auto"/>
          <w:sz w:val="24"/>
          <w:szCs w:val="24"/>
          <w:highlight w:val="none"/>
          <w:lang w:eastAsia="zh-CN"/>
        </w:rPr>
        <w:t>后勤处提出申请，</w:t>
      </w:r>
      <w:r>
        <w:rPr>
          <w:rFonts w:hint="eastAsia" w:ascii="方正仿宋_GBK" w:hAnsi="宋体" w:eastAsia="方正仿宋_GBK"/>
          <w:color w:val="auto"/>
          <w:sz w:val="24"/>
          <w:szCs w:val="24"/>
          <w:highlight w:val="none"/>
        </w:rPr>
        <w:t>资产管理处牵头组织，合同期满1年验收1次，验收内容如下：对库存物资进行新鲜度抽查，核验质量、数量（如需）及相关产品农残检验报告或质检报告等相关报告。</w:t>
      </w:r>
    </w:p>
    <w:p w14:paraId="2A249C15">
      <w:pPr>
        <w:pStyle w:val="5"/>
        <w:rPr>
          <w:rFonts w:ascii="方正仿宋_GBK" w:hAnsi="方正仿宋_GBK" w:eastAsia="方正仿宋_GBK" w:cs="方正仿宋_GBK"/>
          <w:b/>
          <w:color w:val="auto"/>
          <w:sz w:val="24"/>
          <w:szCs w:val="24"/>
          <w:highlight w:val="none"/>
        </w:rPr>
      </w:pPr>
      <w:bookmarkStart w:id="71" w:name="_Toc75452488"/>
      <w:bookmarkStart w:id="72" w:name="_Toc15583"/>
      <w:r>
        <w:rPr>
          <w:rFonts w:hint="eastAsia" w:ascii="方正仿宋_GBK" w:eastAsia="方正仿宋_GBK"/>
          <w:color w:val="auto"/>
          <w:sz w:val="24"/>
          <w:szCs w:val="24"/>
          <w:highlight w:val="none"/>
        </w:rPr>
        <w:t>※</w:t>
      </w:r>
      <w:r>
        <w:rPr>
          <w:rFonts w:hint="eastAsia" w:ascii="方正仿宋_GBK" w:hAnsi="方正仿宋_GBK" w:eastAsia="方正仿宋_GBK" w:cs="方正仿宋_GBK"/>
          <w:b/>
          <w:color w:val="auto"/>
          <w:sz w:val="24"/>
          <w:szCs w:val="24"/>
          <w:highlight w:val="none"/>
        </w:rPr>
        <w:t>二、报价要求</w:t>
      </w:r>
      <w:bookmarkEnd w:id="71"/>
      <w:bookmarkEnd w:id="72"/>
    </w:p>
    <w:p w14:paraId="59849FC7">
      <w:pPr>
        <w:snapToGrid w:val="0"/>
        <w:spacing w:line="276" w:lineRule="auto"/>
        <w:ind w:left="140" w:leftChars="50" w:firstLine="360" w:firstLineChars="150"/>
        <w:rPr>
          <w:rFonts w:ascii="方正仿宋_GBK" w:hAnsi="宋体" w:eastAsia="方正仿宋_GBK"/>
          <w:color w:val="auto"/>
          <w:sz w:val="24"/>
          <w:szCs w:val="24"/>
          <w:highlight w:val="none"/>
        </w:rPr>
      </w:pPr>
      <w:bookmarkStart w:id="73" w:name="_Toc267320050"/>
      <w:r>
        <w:rPr>
          <w:rFonts w:hint="eastAsia" w:ascii="方正仿宋_GBK" w:hAnsi="宋体" w:eastAsia="方正仿宋_GBK"/>
          <w:color w:val="auto"/>
          <w:sz w:val="24"/>
          <w:szCs w:val="24"/>
          <w:highlight w:val="none"/>
        </w:rPr>
        <w:t>（一）</w:t>
      </w:r>
      <w:r>
        <w:rPr>
          <w:rFonts w:hint="eastAsia" w:ascii="方正仿宋_GBK" w:hAnsi="宋体" w:eastAsia="方正仿宋_GBK"/>
          <w:b/>
          <w:bCs/>
          <w:color w:val="auto"/>
          <w:sz w:val="24"/>
          <w:szCs w:val="24"/>
          <w:highlight w:val="none"/>
        </w:rPr>
        <w:t>本项目报价报单价</w:t>
      </w:r>
      <w:r>
        <w:rPr>
          <w:rFonts w:hint="eastAsia" w:ascii="方正仿宋_GBK" w:hAnsi="方正仿宋_GBK" w:eastAsia="方正仿宋_GBK" w:cs="方正仿宋_GBK"/>
          <w:b/>
          <w:bCs/>
          <w:color w:val="auto"/>
          <w:sz w:val="24"/>
          <w:szCs w:val="24"/>
          <w:highlight w:val="none"/>
        </w:rPr>
        <w:t>折扣系数</w:t>
      </w:r>
      <w:r>
        <w:rPr>
          <w:rFonts w:hint="eastAsia" w:ascii="方正仿宋_GBK" w:hAnsi="宋体" w:eastAsia="方正仿宋_GBK"/>
          <w:b/>
          <w:bCs/>
          <w:color w:val="auto"/>
          <w:sz w:val="24"/>
          <w:szCs w:val="24"/>
          <w:highlight w:val="none"/>
        </w:rPr>
        <w:t>，所有品类执行同一折扣系数。</w:t>
      </w:r>
      <w:r>
        <w:rPr>
          <w:rFonts w:hint="eastAsia" w:ascii="方正仿宋_GBK" w:hAnsi="宋体" w:eastAsia="方正仿宋_GBK"/>
          <w:color w:val="auto"/>
          <w:sz w:val="24"/>
          <w:szCs w:val="24"/>
          <w:highlight w:val="none"/>
        </w:rPr>
        <w:t>本项目所有品类的单价包含原材料的食材价、食材的包装费、装卸费、运杂费、人工费、仓储费、通讯费、验收费、保险费、检测费、利润及各种应纳的税费等所有费用。因供应商自身原因造成漏报、少报皆由其自行承担责任，采购人不再补偿。</w:t>
      </w:r>
    </w:p>
    <w:p w14:paraId="78E06108">
      <w:pPr>
        <w:snapToGrid w:val="0"/>
        <w:spacing w:line="276" w:lineRule="auto"/>
        <w:ind w:left="140" w:leftChars="50" w:firstLine="361" w:firstLineChars="15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（二）报价方式</w:t>
      </w:r>
    </w:p>
    <w:p w14:paraId="5A2E0778">
      <w:pPr>
        <w:snapToGrid w:val="0"/>
        <w:spacing w:line="276" w:lineRule="auto"/>
        <w:ind w:left="140" w:leftChars="50" w:firstLine="361" w:firstLineChars="150"/>
        <w:rPr>
          <w:rFonts w:ascii="方正仿宋_GBK" w:hAnsi="宋体" w:eastAsia="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包1：</w:t>
      </w:r>
      <w:r>
        <w:rPr>
          <w:rFonts w:hint="eastAsia" w:ascii="方正仿宋_GBK" w:hAnsi="方正仿宋_GBK" w:eastAsia="方正仿宋_GBK" w:cs="方正仿宋_GBK"/>
          <w:color w:val="auto"/>
          <w:sz w:val="24"/>
          <w:szCs w:val="24"/>
          <w:highlight w:val="none"/>
        </w:rPr>
        <w:t>以</w:t>
      </w:r>
      <w:r>
        <w:rPr>
          <w:rFonts w:hint="eastAsia" w:ascii="方正仿宋_GBK" w:hAnsi="宋体" w:eastAsia="方正仿宋_GBK"/>
          <w:color w:val="auto"/>
          <w:sz w:val="24"/>
          <w:szCs w:val="24"/>
          <w:highlight w:val="none"/>
        </w:rPr>
        <w:t>开标前一日最近一期重庆市农业农村委员会官网（https://nyncw.cq.gov.cn/xxgk_161/sczx/）重庆农产品及农资价格周报公布的普通大米价格和粳米价格（珍珠米参照）、富强粉价格（面粉参照）</w:t>
      </w:r>
      <w:r>
        <w:rPr>
          <w:rFonts w:hint="eastAsia" w:ascii="方正仿宋_GBK" w:hAnsi="宋体" w:eastAsia="方正仿宋_GBK"/>
          <w:color w:val="auto"/>
          <w:sz w:val="24"/>
          <w:szCs w:val="24"/>
          <w:highlight w:val="none"/>
          <w:lang w:val="en-US" w:eastAsia="zh-CN"/>
        </w:rPr>
        <w:t>为基价</w:t>
      </w:r>
      <w:r>
        <w:rPr>
          <w:rFonts w:hint="eastAsia" w:ascii="方正仿宋_GBK" w:hAnsi="宋体" w:eastAsia="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rPr>
        <w:t>投标人自行填报折扣系数。折扣系数必须小于0.90，折扣系数最多保留小数点后2位，否则按无效投标处理。</w:t>
      </w:r>
    </w:p>
    <w:p w14:paraId="1F2BCBD7">
      <w:pPr>
        <w:snapToGrid w:val="0"/>
        <w:spacing w:line="276" w:lineRule="auto"/>
        <w:ind w:left="140" w:leftChars="50" w:firstLine="361" w:firstLineChars="150"/>
        <w:rPr>
          <w:rFonts w:ascii="方正仿宋_GBK" w:hAnsi="宋体" w:eastAsia="方正仿宋_GBK"/>
          <w:color w:val="auto"/>
          <w:sz w:val="24"/>
          <w:szCs w:val="24"/>
          <w:highlight w:val="none"/>
        </w:rPr>
      </w:pPr>
      <w:r>
        <w:rPr>
          <w:rFonts w:hint="eastAsia" w:ascii="方正仿宋_GBK" w:hAnsi="宋体" w:eastAsia="方正仿宋_GBK"/>
          <w:b/>
          <w:bCs/>
          <w:color w:val="auto"/>
          <w:sz w:val="24"/>
          <w:szCs w:val="24"/>
          <w:highlight w:val="none"/>
        </w:rPr>
        <w:t>包2：</w:t>
      </w:r>
      <w:r>
        <w:rPr>
          <w:rFonts w:hint="eastAsia" w:ascii="方正仿宋_GBK" w:hAnsi="宋体" w:eastAsia="方正仿宋_GBK"/>
          <w:color w:val="auto"/>
          <w:sz w:val="24"/>
          <w:szCs w:val="24"/>
          <w:highlight w:val="none"/>
        </w:rPr>
        <w:t>以开标前一日最近一期</w:t>
      </w:r>
      <w:r>
        <w:rPr>
          <w:rFonts w:hint="eastAsia" w:ascii="方正仿宋_GBK" w:hAnsi="宋体" w:eastAsia="方正仿宋_GBK"/>
          <w:color w:val="auto"/>
          <w:sz w:val="24"/>
          <w:szCs w:val="24"/>
          <w:highlight w:val="none"/>
          <w:lang w:val="en-US" w:eastAsia="zh-CN"/>
        </w:rPr>
        <w:t>重庆市农业农村委员会官网（</w:t>
      </w:r>
      <w:r>
        <w:rPr>
          <w:rFonts w:hint="eastAsia" w:ascii="方正仿宋_GBK" w:hAnsi="宋体" w:eastAsia="方正仿宋_GBK"/>
          <w:color w:val="auto"/>
          <w:sz w:val="24"/>
          <w:szCs w:val="24"/>
          <w:highlight w:val="none"/>
          <w:lang w:val="en-US" w:eastAsia="zh-CN"/>
        </w:rPr>
        <w:fldChar w:fldCharType="begin"/>
      </w:r>
      <w:r>
        <w:rPr>
          <w:rFonts w:hint="eastAsia" w:ascii="方正仿宋_GBK" w:hAnsi="宋体" w:eastAsia="方正仿宋_GBK"/>
          <w:color w:val="auto"/>
          <w:sz w:val="24"/>
          <w:szCs w:val="24"/>
          <w:highlight w:val="none"/>
          <w:lang w:val="en-US" w:eastAsia="zh-CN"/>
        </w:rPr>
        <w:instrText xml:space="preserve"> HYPERLINK "http://www.cqnync.cn/marketsta" </w:instrText>
      </w:r>
      <w:r>
        <w:rPr>
          <w:rFonts w:hint="eastAsia" w:ascii="方正仿宋_GBK" w:hAnsi="宋体" w:eastAsia="方正仿宋_GBK"/>
          <w:color w:val="auto"/>
          <w:sz w:val="24"/>
          <w:szCs w:val="24"/>
          <w:highlight w:val="none"/>
          <w:lang w:val="en-US" w:eastAsia="zh-CN"/>
        </w:rPr>
        <w:fldChar w:fldCharType="separate"/>
      </w:r>
      <w:r>
        <w:rPr>
          <w:rFonts w:hint="eastAsia" w:ascii="方正仿宋_GBK" w:hAnsi="宋体" w:eastAsia="方正仿宋_GBK"/>
          <w:color w:val="auto"/>
          <w:sz w:val="24"/>
          <w:szCs w:val="24"/>
          <w:highlight w:val="none"/>
          <w:lang w:val="en-US" w:eastAsia="zh-CN"/>
        </w:rPr>
        <w:t>http://www.cqnync.cn/marketsta</w:t>
      </w:r>
      <w:r>
        <w:rPr>
          <w:rFonts w:hint="eastAsia" w:ascii="方正仿宋_GBK" w:hAnsi="宋体" w:eastAsia="方正仿宋_GBK"/>
          <w:color w:val="auto"/>
          <w:sz w:val="24"/>
          <w:szCs w:val="24"/>
          <w:highlight w:val="none"/>
          <w:lang w:val="en-US" w:eastAsia="zh-CN"/>
        </w:rPr>
        <w:fldChar w:fldCharType="end"/>
      </w:r>
      <w:r>
        <w:rPr>
          <w:rFonts w:hint="eastAsia" w:ascii="方正仿宋_GBK" w:hAnsi="宋体" w:eastAsia="方正仿宋_GBK"/>
          <w:color w:val="auto"/>
          <w:sz w:val="24"/>
          <w:szCs w:val="24"/>
          <w:highlight w:val="none"/>
          <w:lang w:val="en-US" w:eastAsia="zh-CN"/>
        </w:rPr>
        <w:t>）农产品市场行情查询中重庆双福国际农贸城或者九龙坡太慈农贸市场中5L桶装菜籽油和5L桶装色拉油价格（就低）折算成每升单价</w:t>
      </w:r>
      <w:r>
        <w:rPr>
          <w:rFonts w:hint="eastAsia" w:ascii="方正仿宋_GBK" w:hAnsi="宋体" w:eastAsia="方正仿宋_GBK"/>
          <w:color w:val="auto"/>
          <w:sz w:val="24"/>
          <w:szCs w:val="24"/>
          <w:highlight w:val="none"/>
        </w:rPr>
        <w:t>为基价。投标人自行填报折扣系数。折扣系数必须小于0.</w:t>
      </w:r>
      <w:r>
        <w:rPr>
          <w:rFonts w:hint="eastAsia" w:ascii="方正仿宋_GBK" w:hAnsi="宋体" w:eastAsia="方正仿宋_GBK"/>
          <w:color w:val="auto"/>
          <w:sz w:val="24"/>
          <w:szCs w:val="24"/>
          <w:highlight w:val="none"/>
          <w:lang w:val="en-US" w:eastAsia="zh-CN"/>
        </w:rPr>
        <w:t>90</w:t>
      </w:r>
      <w:r>
        <w:rPr>
          <w:rFonts w:hint="eastAsia" w:ascii="方正仿宋_GBK" w:hAnsi="宋体" w:eastAsia="方正仿宋_GBK"/>
          <w:color w:val="auto"/>
          <w:sz w:val="24"/>
          <w:szCs w:val="24"/>
          <w:highlight w:val="none"/>
        </w:rPr>
        <w:t>，折扣系数最多保留小数点后2位，否则按无效投标处理。</w:t>
      </w:r>
    </w:p>
    <w:p w14:paraId="766B3998">
      <w:pPr>
        <w:snapToGrid w:val="0"/>
        <w:spacing w:line="276" w:lineRule="auto"/>
        <w:ind w:left="140" w:leftChars="50" w:firstLine="361" w:firstLineChars="150"/>
        <w:rPr>
          <w:rFonts w:ascii="方正仿宋_GBK" w:hAnsi="宋体" w:eastAsia="方正仿宋_GBK"/>
          <w:color w:val="auto"/>
          <w:sz w:val="24"/>
          <w:szCs w:val="24"/>
          <w:highlight w:val="none"/>
        </w:rPr>
      </w:pPr>
      <w:r>
        <w:rPr>
          <w:rFonts w:hint="eastAsia" w:ascii="方正仿宋_GBK" w:hAnsi="宋体" w:eastAsia="方正仿宋_GBK"/>
          <w:b/>
          <w:bCs/>
          <w:color w:val="auto"/>
          <w:sz w:val="24"/>
          <w:szCs w:val="24"/>
          <w:highlight w:val="none"/>
        </w:rPr>
        <w:t>包3：</w:t>
      </w:r>
      <w:r>
        <w:rPr>
          <w:rFonts w:hint="eastAsia" w:ascii="方正仿宋_GBK" w:hAnsi="宋体" w:eastAsia="方正仿宋_GBK"/>
          <w:color w:val="auto"/>
          <w:sz w:val="24"/>
          <w:szCs w:val="24"/>
          <w:highlight w:val="none"/>
        </w:rPr>
        <w:t>以开标前一日最近一期</w:t>
      </w:r>
      <w:r>
        <w:rPr>
          <w:rFonts w:hint="eastAsia" w:ascii="方正仿宋_GBK" w:hAnsi="宋体" w:eastAsia="方正仿宋_GBK"/>
          <w:color w:val="auto"/>
          <w:sz w:val="24"/>
          <w:szCs w:val="24"/>
          <w:highlight w:val="none"/>
          <w:lang w:val="en-US" w:eastAsia="zh-CN"/>
        </w:rPr>
        <w:t>重庆市农业农村委员会官网（</w:t>
      </w:r>
      <w:r>
        <w:rPr>
          <w:rFonts w:hint="eastAsia" w:ascii="方正仿宋_GBK" w:hAnsi="宋体" w:eastAsia="方正仿宋_GBK"/>
          <w:color w:val="auto"/>
          <w:sz w:val="24"/>
          <w:szCs w:val="24"/>
          <w:highlight w:val="none"/>
          <w:lang w:val="en-US" w:eastAsia="zh-CN"/>
        </w:rPr>
        <w:fldChar w:fldCharType="begin"/>
      </w:r>
      <w:r>
        <w:rPr>
          <w:rFonts w:hint="eastAsia" w:ascii="方正仿宋_GBK" w:hAnsi="宋体" w:eastAsia="方正仿宋_GBK"/>
          <w:color w:val="auto"/>
          <w:sz w:val="24"/>
          <w:szCs w:val="24"/>
          <w:highlight w:val="none"/>
          <w:lang w:val="en-US" w:eastAsia="zh-CN"/>
        </w:rPr>
        <w:instrText xml:space="preserve"> HYPERLINK "http://www.cqnync.cn/marketsta" </w:instrText>
      </w:r>
      <w:r>
        <w:rPr>
          <w:rFonts w:hint="eastAsia" w:ascii="方正仿宋_GBK" w:hAnsi="宋体" w:eastAsia="方正仿宋_GBK"/>
          <w:color w:val="auto"/>
          <w:sz w:val="24"/>
          <w:szCs w:val="24"/>
          <w:highlight w:val="none"/>
          <w:lang w:val="en-US" w:eastAsia="zh-CN"/>
        </w:rPr>
        <w:fldChar w:fldCharType="separate"/>
      </w:r>
      <w:r>
        <w:rPr>
          <w:rFonts w:hint="eastAsia" w:ascii="方正仿宋_GBK" w:hAnsi="宋体" w:eastAsia="方正仿宋_GBK"/>
          <w:color w:val="auto"/>
          <w:sz w:val="24"/>
          <w:szCs w:val="24"/>
          <w:highlight w:val="none"/>
          <w:lang w:val="en-US" w:eastAsia="zh-CN"/>
        </w:rPr>
        <w:t>http://www.cqnync.cn/marketsta</w:t>
      </w:r>
      <w:r>
        <w:rPr>
          <w:rFonts w:hint="eastAsia" w:ascii="方正仿宋_GBK" w:hAnsi="宋体" w:eastAsia="方正仿宋_GBK"/>
          <w:color w:val="auto"/>
          <w:sz w:val="24"/>
          <w:szCs w:val="24"/>
          <w:highlight w:val="none"/>
          <w:lang w:val="en-US" w:eastAsia="zh-CN"/>
        </w:rPr>
        <w:fldChar w:fldCharType="end"/>
      </w:r>
      <w:r>
        <w:rPr>
          <w:rFonts w:hint="eastAsia" w:ascii="方正仿宋_GBK" w:hAnsi="宋体" w:eastAsia="方正仿宋_GBK"/>
          <w:color w:val="auto"/>
          <w:sz w:val="24"/>
          <w:szCs w:val="24"/>
          <w:highlight w:val="none"/>
          <w:lang w:val="en-US" w:eastAsia="zh-CN"/>
        </w:rPr>
        <w:t>）农产品市场重庆农投肉食品猪肉系列批发价</w:t>
      </w:r>
      <w:r>
        <w:rPr>
          <w:rFonts w:hint="eastAsia" w:ascii="方正仿宋_GBK" w:hAnsi="宋体" w:eastAsia="方正仿宋_GBK"/>
          <w:color w:val="auto"/>
          <w:sz w:val="24"/>
          <w:szCs w:val="24"/>
          <w:highlight w:val="none"/>
        </w:rPr>
        <w:t>为基价；在上述网站中</w:t>
      </w:r>
      <w:r>
        <w:rPr>
          <w:color w:val="auto"/>
          <w:highlight w:val="none"/>
        </w:rPr>
        <w:fldChar w:fldCharType="begin"/>
      </w:r>
      <w:r>
        <w:rPr>
          <w:color w:val="auto"/>
          <w:highlight w:val="none"/>
        </w:rPr>
        <w:instrText xml:space="preserve"> HYPERLINK "http://nyncw.cq.gov.cn/marketSta/）网上没有报价的其它鲜肉品种，按每月1号、11号、21号（逢周末提前或延后一天）上午附近永辉超市同品种零售价为基价。" </w:instrText>
      </w:r>
      <w:r>
        <w:rPr>
          <w:color w:val="auto"/>
          <w:highlight w:val="none"/>
        </w:rPr>
        <w:fldChar w:fldCharType="separate"/>
      </w:r>
      <w:r>
        <w:rPr>
          <w:rFonts w:hint="eastAsia" w:ascii="方正仿宋_GBK" w:hAnsi="宋体" w:eastAsia="方正仿宋_GBK"/>
          <w:color w:val="auto"/>
          <w:sz w:val="24"/>
          <w:szCs w:val="24"/>
          <w:highlight w:val="none"/>
        </w:rPr>
        <w:t>没有公布价格的品种，按招标文件第二篇 项目服务要求《招标项目一览表》中产品单价为基价。</w:t>
      </w:r>
      <w:r>
        <w:rPr>
          <w:rFonts w:hint="eastAsia" w:ascii="方正仿宋_GBK" w:hAnsi="宋体" w:eastAsia="方正仿宋_GBK"/>
          <w:color w:val="auto"/>
          <w:sz w:val="24"/>
          <w:szCs w:val="24"/>
          <w:highlight w:val="none"/>
        </w:rPr>
        <w:fldChar w:fldCharType="end"/>
      </w:r>
      <w:r>
        <w:rPr>
          <w:rFonts w:hint="eastAsia" w:ascii="方正仿宋_GBK" w:hAnsi="宋体" w:eastAsia="方正仿宋_GBK"/>
          <w:color w:val="auto"/>
          <w:sz w:val="24"/>
          <w:szCs w:val="24"/>
          <w:highlight w:val="none"/>
        </w:rPr>
        <w:t>投标人自行填报折扣系数。折扣系数必须小于0.90，折扣系数最多保留小数点后2位，否则按无效投标处理。</w:t>
      </w:r>
    </w:p>
    <w:p w14:paraId="0A8F142C">
      <w:pPr>
        <w:snapToGrid w:val="0"/>
        <w:spacing w:line="276" w:lineRule="auto"/>
        <w:ind w:left="140" w:leftChars="50" w:firstLine="361" w:firstLineChars="150"/>
        <w:rPr>
          <w:rFonts w:ascii="方正仿宋_GBK" w:hAnsi="宋体" w:eastAsia="方正仿宋_GBK"/>
          <w:color w:val="auto"/>
          <w:sz w:val="24"/>
          <w:szCs w:val="24"/>
          <w:highlight w:val="none"/>
        </w:rPr>
      </w:pPr>
      <w:r>
        <w:rPr>
          <w:rFonts w:hint="eastAsia" w:ascii="方正仿宋_GBK" w:hAnsi="宋体" w:eastAsia="方正仿宋_GBK"/>
          <w:b/>
          <w:bCs/>
          <w:color w:val="auto"/>
          <w:sz w:val="24"/>
          <w:szCs w:val="24"/>
          <w:highlight w:val="none"/>
        </w:rPr>
        <w:t>（三）投标人报本包折扣系数（详见第七篇 投标文件格式），且折扣系数不得超过最高限价，否则按无效投标处理。</w:t>
      </w:r>
    </w:p>
    <w:p w14:paraId="25363F27">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（四）报价均为货物净重价格。</w:t>
      </w:r>
    </w:p>
    <w:p w14:paraId="2D217550">
      <w:pPr>
        <w:pStyle w:val="5"/>
        <w:rPr>
          <w:rFonts w:ascii="方正仿宋_GBK" w:hAnsi="方正仿宋_GBK" w:eastAsia="方正仿宋_GBK" w:cs="方正仿宋_GBK"/>
          <w:b/>
          <w:color w:val="auto"/>
          <w:sz w:val="24"/>
          <w:szCs w:val="24"/>
          <w:highlight w:val="none"/>
        </w:rPr>
      </w:pPr>
      <w:bookmarkStart w:id="74" w:name="_Toc75452489"/>
      <w:bookmarkStart w:id="75" w:name="_Toc6381"/>
      <w:r>
        <w:rPr>
          <w:rFonts w:hint="eastAsia" w:ascii="方正仿宋_GBK" w:eastAsia="方正仿宋_GBK"/>
          <w:color w:val="auto"/>
          <w:sz w:val="24"/>
          <w:szCs w:val="24"/>
          <w:highlight w:val="none"/>
        </w:rPr>
        <w:t>※</w:t>
      </w:r>
      <w:r>
        <w:rPr>
          <w:rFonts w:hint="eastAsia" w:ascii="方正仿宋_GBK" w:hAnsi="方正仿宋_GBK" w:eastAsia="方正仿宋_GBK" w:cs="方正仿宋_GBK"/>
          <w:b/>
          <w:color w:val="auto"/>
          <w:sz w:val="24"/>
          <w:szCs w:val="24"/>
          <w:highlight w:val="none"/>
        </w:rPr>
        <w:t>三、质量保证与服务</w:t>
      </w:r>
      <w:bookmarkEnd w:id="74"/>
      <w:r>
        <w:rPr>
          <w:rFonts w:hint="eastAsia" w:ascii="方正仿宋_GBK" w:hAnsi="方正仿宋_GBK" w:eastAsia="方正仿宋_GBK" w:cs="方正仿宋_GBK"/>
          <w:b/>
          <w:color w:val="auto"/>
          <w:sz w:val="24"/>
          <w:szCs w:val="24"/>
          <w:highlight w:val="none"/>
        </w:rPr>
        <w:t>要求</w:t>
      </w:r>
      <w:bookmarkEnd w:id="75"/>
    </w:p>
    <w:p w14:paraId="779E561A">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（一）产品质量保证</w:t>
      </w:r>
    </w:p>
    <w:p w14:paraId="105A0DB2">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1供应商所提供的产品质量应当符合《中华人民共和国食品安全法》的相关规定及其他最新国家及行业的相关标准，并完全满足招标文件第二篇的相关要求。</w:t>
      </w:r>
    </w:p>
    <w:p w14:paraId="69CC2F04">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中标人应保证及时提供数量准确、合格安全的产品。依据产品质量监督检验所提供的质量标准，中标人提供的产品必须是经过质量监督管理部门检验并取得合格证明的产品，每批次产品提供时应交存货物质量合格证明、产品质量检测合格报告或农残检验报告复印件。</w:t>
      </w:r>
    </w:p>
    <w:p w14:paraId="5934A5FC">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3.采购人根据实际抽查情况，保留送检权利。中标人承担在供货期间所供物资的送检（检测部门为国家权威机构）费用。</w:t>
      </w:r>
    </w:p>
    <w:p w14:paraId="53D0A636">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4.合同履行期间，提供的每种明细产品必须标明品名、规格、等级、生产厂家、计量单位等内容。</w:t>
      </w:r>
    </w:p>
    <w:p w14:paraId="06855484">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包装要求：各类货物包装应分别符合国家GB7718《预包装食品标签通则》、GB18406《农产品安全质量》的规定和卫生要求；若采用包装袋，则包装袋应坚固结实，封口或者缝口应严密。包装袋上印有品名、等级、数量、出厂名、厂家地址及联系电话，还应有注册商标及QS标注检验合格证、生产日期和保质期。出现包装破损现象予以免费及时调换。</w:t>
      </w:r>
    </w:p>
    <w:p w14:paraId="4407F8D6">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（二）服务要求</w:t>
      </w:r>
    </w:p>
    <w:p w14:paraId="00E1FC05">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1.中标人应按招标文件以及合同约定的服务内容、技术要求、质量标准向采购人提供食材购置服务及相关配合服务。采购人</w:t>
      </w:r>
      <w:r>
        <w:rPr>
          <w:rFonts w:ascii="方正仿宋_GBK" w:hAnsi="宋体" w:eastAsia="方正仿宋_GBK"/>
          <w:color w:val="auto"/>
          <w:sz w:val="24"/>
          <w:szCs w:val="24"/>
          <w:highlight w:val="none"/>
        </w:rPr>
        <w:t>根据实际需求确定</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供应货物的具体数量、时间、规格品牌、等级、交货地点等，并通过电话或其他通信方式将采购计划单传递给</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依据采购计划单供货</w:t>
      </w:r>
      <w:r>
        <w:rPr>
          <w:rFonts w:hint="eastAsia" w:ascii="方正仿宋_GBK" w:hAnsi="宋体" w:eastAsia="方正仿宋_GBK"/>
          <w:color w:val="auto"/>
          <w:sz w:val="24"/>
          <w:szCs w:val="24"/>
          <w:highlight w:val="none"/>
        </w:rPr>
        <w:t>，</w:t>
      </w:r>
      <w:r>
        <w:rPr>
          <w:rFonts w:ascii="方正仿宋_GBK" w:hAnsi="宋体" w:eastAsia="方正仿宋_GBK"/>
          <w:color w:val="auto"/>
          <w:sz w:val="24"/>
          <w:szCs w:val="24"/>
          <w:highlight w:val="none"/>
        </w:rPr>
        <w:t>如</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配送的单样物品数量与</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需求计划有10%及以上的差异，</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有权拒绝收货。</w:t>
      </w:r>
    </w:p>
    <w:p w14:paraId="788DE9DC">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2.中标人</w:t>
      </w:r>
      <w:r>
        <w:rPr>
          <w:rFonts w:ascii="方正仿宋_GBK" w:hAnsi="宋体" w:eastAsia="方正仿宋_GBK"/>
          <w:color w:val="auto"/>
          <w:sz w:val="24"/>
          <w:szCs w:val="24"/>
          <w:highlight w:val="none"/>
        </w:rPr>
        <w:t>应根据采购人教学规律，在寒暑假等假期内，以及在发生诸如货源紧张、物价突涨时要顾全大局，确保供应，保障采购人稳定。</w:t>
      </w:r>
    </w:p>
    <w:p w14:paraId="775196E7">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3.采购人</w:t>
      </w:r>
      <w:r>
        <w:rPr>
          <w:rFonts w:ascii="方正仿宋_GBK" w:hAnsi="宋体" w:eastAsia="方正仿宋_GBK"/>
          <w:color w:val="auto"/>
          <w:sz w:val="24"/>
          <w:szCs w:val="24"/>
          <w:highlight w:val="none"/>
        </w:rPr>
        <w:t>放寒暑假时，可要求</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将食堂剩余的物资免费运回进行保管，并在假期结束后更换同数量、质量的新鲜物资配送给食堂。</w:t>
      </w:r>
    </w:p>
    <w:p w14:paraId="10171C93">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4.中标人</w:t>
      </w:r>
      <w:r>
        <w:rPr>
          <w:rFonts w:ascii="方正仿宋_GBK" w:hAnsi="宋体" w:eastAsia="方正仿宋_GBK"/>
          <w:color w:val="auto"/>
          <w:sz w:val="24"/>
          <w:szCs w:val="24"/>
          <w:highlight w:val="none"/>
        </w:rPr>
        <w:t>所供货物必须确保符合招标质量技术要求，确保安全、品质、卫生、无毒、无害，若有国家强制认证要求的，必须提供相应认证证书、质检报告等。</w:t>
      </w:r>
    </w:p>
    <w:p w14:paraId="61AFE23B">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5.中标人</w:t>
      </w:r>
      <w:r>
        <w:rPr>
          <w:rFonts w:ascii="方正仿宋_GBK" w:hAnsi="宋体" w:eastAsia="方正仿宋_GBK"/>
          <w:color w:val="auto"/>
          <w:sz w:val="24"/>
          <w:szCs w:val="24"/>
          <w:highlight w:val="none"/>
        </w:rPr>
        <w:t>所供货物须接受</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的监督、检查，不得出现假冒伪劣和质量不合格产品，否则，</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可拒收不合格产品。</w:t>
      </w:r>
    </w:p>
    <w:p w14:paraId="3386DF6E">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6.中标人</w:t>
      </w:r>
      <w:r>
        <w:rPr>
          <w:rFonts w:ascii="方正仿宋_GBK" w:hAnsi="宋体" w:eastAsia="方正仿宋_GBK"/>
          <w:color w:val="auto"/>
          <w:sz w:val="24"/>
          <w:szCs w:val="24"/>
          <w:highlight w:val="none"/>
        </w:rPr>
        <w:t>须按</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要求提供供应物资的有效质量检验、</w:t>
      </w:r>
      <w:r>
        <w:rPr>
          <w:rFonts w:hint="eastAsia" w:ascii="方正仿宋_GBK" w:hAnsi="宋体" w:eastAsia="方正仿宋_GBK"/>
          <w:color w:val="auto"/>
          <w:sz w:val="24"/>
          <w:szCs w:val="24"/>
          <w:highlight w:val="none"/>
        </w:rPr>
        <w:t>农残检验</w:t>
      </w:r>
      <w:r>
        <w:rPr>
          <w:rFonts w:ascii="方正仿宋_GBK" w:hAnsi="宋体" w:eastAsia="方正仿宋_GBK"/>
          <w:color w:val="auto"/>
          <w:sz w:val="24"/>
          <w:szCs w:val="24"/>
          <w:highlight w:val="none"/>
        </w:rPr>
        <w:t>报告</w:t>
      </w:r>
      <w:r>
        <w:rPr>
          <w:rFonts w:hint="eastAsia" w:ascii="方正仿宋_GBK" w:hAnsi="宋体" w:eastAsia="方正仿宋_GBK"/>
          <w:color w:val="auto"/>
          <w:sz w:val="24"/>
          <w:szCs w:val="24"/>
          <w:highlight w:val="none"/>
        </w:rPr>
        <w:t>。</w:t>
      </w:r>
    </w:p>
    <w:p w14:paraId="58364B50">
      <w:pPr>
        <w:snapToGrid w:val="0"/>
        <w:spacing w:line="276" w:lineRule="auto"/>
        <w:ind w:firstLine="480" w:firstLineChars="200"/>
        <w:rPr>
          <w:rFonts w:ascii="方正仿宋_GBK" w:hAnsi="宋体" w:eastAsia="方正仿宋_GBK"/>
          <w:color w:val="auto"/>
          <w:sz w:val="24"/>
          <w:szCs w:val="24"/>
          <w:highlight w:val="none"/>
        </w:rPr>
      </w:pPr>
      <w:bookmarkStart w:id="76" w:name="_Toc24659"/>
      <w:bookmarkStart w:id="77" w:name="_Toc13633"/>
      <w:bookmarkStart w:id="78" w:name="_Toc1322"/>
      <w:r>
        <w:rPr>
          <w:rFonts w:hint="eastAsia" w:ascii="方正仿宋_GBK" w:hAnsi="宋体" w:eastAsia="方正仿宋_GBK"/>
          <w:color w:val="auto"/>
          <w:sz w:val="24"/>
          <w:szCs w:val="24"/>
          <w:highlight w:val="none"/>
        </w:rPr>
        <w:t>7.因市场特殊原因个别食材品种不能及时提供的，中标人应主动与采购人沟通协调，更换品种以满足需要。</w:t>
      </w:r>
    </w:p>
    <w:p w14:paraId="35F4196D">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8.合作期间，设专人对接工作，并保证周末及其他任何节假日24小时可联络到对接人。</w:t>
      </w:r>
    </w:p>
    <w:p w14:paraId="70802A82">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9.中标人应保证食品完好无损地到达采购人所在地，须无条件更换生产、配送、搬运过程中变质、不清洁、不卫生的产品。若发现不合格产品，采购人有权终止合同，带来的一切责任和影响由中标人全部负责。运输过程中出现的安全责任事故由中标人自行承担。</w:t>
      </w:r>
    </w:p>
    <w:p w14:paraId="7FEBBB1A">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10.在供货期间，中标人必须保障货源充足，如果出现断货现象，须做出书面说明，若非不可抗力因素，连续断货达 2 天及以上的，采购人有权终止合同，造成的一切后果和损失都由中标人负责。</w:t>
      </w:r>
    </w:p>
    <w:p w14:paraId="1175DAA5">
      <w:pPr>
        <w:snapToGrid w:val="0"/>
        <w:spacing w:line="276" w:lineRule="auto"/>
        <w:ind w:firstLine="482" w:firstLineChars="20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11.具有固定经营场所（提供场地房产证或有效的场地租赁协议复印件</w:t>
      </w:r>
      <w:r>
        <w:rPr>
          <w:rFonts w:hint="eastAsia" w:ascii="方正仿宋_GBK" w:hAnsi="宋体" w:eastAsia="方正仿宋_GBK"/>
          <w:b/>
          <w:bCs/>
          <w:color w:val="auto"/>
          <w:sz w:val="24"/>
          <w:szCs w:val="24"/>
          <w:highlight w:val="none"/>
          <w:lang w:eastAsia="zh-CN"/>
        </w:rPr>
        <w:t>、</w:t>
      </w:r>
      <w:r>
        <w:rPr>
          <w:rFonts w:hint="eastAsia" w:ascii="方正仿宋_GBK" w:hAnsi="方正仿宋_GBK" w:eastAsia="方正仿宋_GBK" w:cs="方正仿宋_GBK"/>
          <w:b/>
          <w:bCs/>
          <w:color w:val="auto"/>
          <w:sz w:val="24"/>
          <w:szCs w:val="24"/>
          <w:highlight w:val="none"/>
        </w:rPr>
        <w:t>挂有公司</w:t>
      </w:r>
      <w:r>
        <w:rPr>
          <w:rFonts w:hint="eastAsia" w:ascii="方正仿宋_GBK" w:hAnsi="方正仿宋_GBK" w:eastAsia="方正仿宋_GBK" w:cs="方正仿宋_GBK"/>
          <w:b/>
          <w:bCs/>
          <w:color w:val="auto"/>
          <w:sz w:val="24"/>
          <w:szCs w:val="24"/>
          <w:highlight w:val="none"/>
          <w:lang w:eastAsia="zh-CN"/>
        </w:rPr>
        <w:t>牌匾</w:t>
      </w:r>
      <w:r>
        <w:rPr>
          <w:rFonts w:hint="eastAsia" w:ascii="方正仿宋_GBK" w:hAnsi="方正仿宋_GBK" w:eastAsia="方正仿宋_GBK" w:cs="方正仿宋_GBK"/>
          <w:b/>
          <w:bCs/>
          <w:color w:val="auto"/>
          <w:sz w:val="24"/>
          <w:szCs w:val="24"/>
          <w:highlight w:val="none"/>
        </w:rPr>
        <w:t>的办公经营场所外观图像资料</w:t>
      </w:r>
      <w:r>
        <w:rPr>
          <w:rFonts w:hint="eastAsia" w:ascii="方正仿宋_GBK" w:hAnsi="宋体" w:eastAsia="方正仿宋_GBK"/>
          <w:b/>
          <w:bCs/>
          <w:color w:val="auto"/>
          <w:sz w:val="24"/>
          <w:szCs w:val="24"/>
          <w:highlight w:val="none"/>
        </w:rPr>
        <w:t>并加盖供应商鲜章）。</w:t>
      </w:r>
    </w:p>
    <w:p w14:paraId="7151ABB4">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12.供应商必须自行提供配送服务，不得将配送工作转包或分包给除投标文件中约定的企业。</w:t>
      </w:r>
    </w:p>
    <w:p w14:paraId="65350855">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（三）配送要求</w:t>
      </w:r>
    </w:p>
    <w:p w14:paraId="3E8D8D1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1.配送地点</w:t>
      </w:r>
    </w:p>
    <w:p w14:paraId="576B11AF">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重庆工商大学南岸校区、兰花湖片区各自营食堂指定存放地点。</w:t>
      </w:r>
    </w:p>
    <w:p w14:paraId="41924E5A">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供应商需根据所投分包实际需求配备足够的运力。需冷藏运输的货物运输过程采用冷藏设备，确保食品安全。所供车辆应为厢式冷藏货车或厢式货车，车体内外干净、整洁，所有车辆应做到每日清洗、消毒并做好消毒记录。实行专人专车采购，不得人货混装。并负责人员和车辆的安全和管理，保证人员和车辆遵守采购人相关规定。在配送过程中要做好报配送商品的保鲜、保质措施，同时不得喷洒有毒有害物质进行保鲜或保质。</w:t>
      </w:r>
    </w:p>
    <w:p w14:paraId="24D49C21">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3.车辆若为自有的，提供车辆行驶证复印件、购置发票复印件及车辆挂牌照片并加盖供应商公章；若车辆为租赁的，提供车辆挂牌照片、租赁合同复印件并加盖供应商公章。</w:t>
      </w:r>
    </w:p>
    <w:p w14:paraId="0B7651C4">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4.所有品种最终交易重量为净重（去除外包装/保鲜水瓶及黄叶/运输损坏鸡蛋），最终交易重量以双方3人或3人以上现场验收称重数为准。</w:t>
      </w:r>
    </w:p>
    <w:p w14:paraId="552B9362">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5.送货人员负责将货物送到指定地点验收后，再将货物按规定要求分类存放。</w:t>
      </w:r>
    </w:p>
    <w:p w14:paraId="03C205E0">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6.若供应商漏单则须无条件补货，补货物资必须在采购人规定时间内补货至指定地点。</w:t>
      </w:r>
    </w:p>
    <w:p w14:paraId="45680BBC">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7.供应商需在配送运输中要确保安全，在运输及装卸过程中发生的一切安全事故，包括人员、车辆事故等情况，由供应商负责处置，并依法承担所有责任。</w:t>
      </w:r>
    </w:p>
    <w:p w14:paraId="43970F54">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8.供应商为采购人食堂配送物资在运输过程中必须分类存放。</w:t>
      </w:r>
    </w:p>
    <w:p w14:paraId="1533CFCD">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9.急需物品在1个小时内送到，如供应商漏单则须无条件补货，补货物资必须在采购人规定时间内补货至指定地点。</w:t>
      </w:r>
    </w:p>
    <w:p w14:paraId="7FB7AD7B">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w:t>
      </w:r>
      <w:r>
        <w:rPr>
          <w:rFonts w:ascii="方正仿宋_GBK" w:hAnsi="宋体" w:eastAsia="方正仿宋_GBK"/>
          <w:color w:val="auto"/>
          <w:sz w:val="24"/>
          <w:szCs w:val="24"/>
          <w:highlight w:val="none"/>
        </w:rPr>
        <w:t>安全文明要求</w:t>
      </w:r>
      <w:bookmarkEnd w:id="76"/>
      <w:bookmarkEnd w:id="77"/>
      <w:bookmarkEnd w:id="78"/>
    </w:p>
    <w:p w14:paraId="448748DC">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1.中标人</w:t>
      </w:r>
      <w:r>
        <w:rPr>
          <w:rFonts w:ascii="方正仿宋_GBK" w:hAnsi="宋体" w:eastAsia="方正仿宋_GBK"/>
          <w:color w:val="auto"/>
          <w:sz w:val="24"/>
          <w:szCs w:val="24"/>
          <w:highlight w:val="none"/>
        </w:rPr>
        <w:t>供货人员和车辆应遵守</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校园管理的相关管理规定。运送车辆相对固定，以便于校园门卫管理系统申报、识别；运送车在校内行驶时必须保证慢速，并注意避让人员。在</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校区内，供货人员必须遵章守纪。如果由于</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供货人员和车辆，在</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校区内发生经济纠纷，在明确为</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责任和</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不愿及时解决纠纷或交通事故的情况下，</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有权暂缓支付货款或从货款扣除代为支付第三方。</w:t>
      </w:r>
      <w:r>
        <w:rPr>
          <w:rFonts w:hint="eastAsia" w:ascii="方正仿宋_GBK" w:hAnsi="宋体" w:eastAsia="方正仿宋_GBK"/>
          <w:color w:val="auto"/>
          <w:sz w:val="24"/>
          <w:szCs w:val="24"/>
          <w:highlight w:val="none"/>
        </w:rPr>
        <w:t>中标人工作</w:t>
      </w:r>
      <w:r>
        <w:rPr>
          <w:rFonts w:ascii="方正仿宋_GBK" w:hAnsi="宋体" w:eastAsia="方正仿宋_GBK"/>
          <w:color w:val="auto"/>
          <w:sz w:val="24"/>
          <w:szCs w:val="24"/>
          <w:highlight w:val="none"/>
        </w:rPr>
        <w:t>人员在食堂办理送事宜必须遵守食堂管理规定，发生安全问题责任自负。</w:t>
      </w:r>
    </w:p>
    <w:p w14:paraId="1502FF75">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w:t>
      </w:r>
      <w:r>
        <w:rPr>
          <w:rFonts w:ascii="方正仿宋_GBK" w:hAnsi="宋体" w:eastAsia="方正仿宋_GBK"/>
          <w:color w:val="auto"/>
          <w:sz w:val="24"/>
          <w:szCs w:val="24"/>
          <w:highlight w:val="none"/>
        </w:rPr>
        <w:t>因</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所供产品出现质量问题，造成</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服务对象及有关人员食用后出现一切不良反应的，经权威机构查实后，</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应承担全部法律、经济责任，并赔偿</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的损失。双方合同立即解除，没收履约保证金，</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保留向</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进一步追诉的权利。</w:t>
      </w:r>
    </w:p>
    <w:p w14:paraId="2F0EF5AF">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3.中标人</w:t>
      </w:r>
      <w:r>
        <w:rPr>
          <w:rFonts w:ascii="方正仿宋_GBK" w:hAnsi="宋体" w:eastAsia="方正仿宋_GBK"/>
          <w:color w:val="auto"/>
          <w:sz w:val="24"/>
          <w:szCs w:val="24"/>
          <w:highlight w:val="none"/>
        </w:rPr>
        <w:t>在供货期间，因</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原因造成事故事件等，</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不承担任何责任，所有后果由</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自行承担。</w:t>
      </w:r>
    </w:p>
    <w:p w14:paraId="6BF40DA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4.中标人</w:t>
      </w:r>
      <w:r>
        <w:rPr>
          <w:rFonts w:ascii="方正仿宋_GBK" w:hAnsi="宋体" w:eastAsia="方正仿宋_GBK"/>
          <w:color w:val="auto"/>
          <w:sz w:val="24"/>
          <w:szCs w:val="24"/>
          <w:highlight w:val="none"/>
        </w:rPr>
        <w:t>在供货期间，应搞好运输车辆、器具及附近地面的清洁卫生，不能污染所经过区域。</w:t>
      </w:r>
    </w:p>
    <w:p w14:paraId="0CBD43D3">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5.采购人</w:t>
      </w:r>
      <w:r>
        <w:rPr>
          <w:rFonts w:ascii="方正仿宋_GBK" w:hAnsi="宋体" w:eastAsia="方正仿宋_GBK"/>
          <w:color w:val="auto"/>
          <w:sz w:val="24"/>
          <w:szCs w:val="24"/>
          <w:highlight w:val="none"/>
        </w:rPr>
        <w:t>部分收货地点车辆不能直达，需要人力转运，</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自行负责转运费和转运工具。转运过程中，</w:t>
      </w:r>
      <w:r>
        <w:rPr>
          <w:rFonts w:hint="eastAsia" w:ascii="方正仿宋_GBK" w:hAnsi="宋体" w:eastAsia="方正仿宋_GBK"/>
          <w:color w:val="auto"/>
          <w:sz w:val="24"/>
          <w:szCs w:val="24"/>
          <w:highlight w:val="none"/>
        </w:rPr>
        <w:t>中标人</w:t>
      </w:r>
      <w:r>
        <w:rPr>
          <w:rFonts w:ascii="方正仿宋_GBK" w:hAnsi="宋体" w:eastAsia="方正仿宋_GBK"/>
          <w:color w:val="auto"/>
          <w:sz w:val="24"/>
          <w:szCs w:val="24"/>
          <w:highlight w:val="none"/>
        </w:rPr>
        <w:t>应爱护</w:t>
      </w:r>
      <w:r>
        <w:rPr>
          <w:rFonts w:hint="eastAsia" w:ascii="方正仿宋_GBK" w:hAnsi="宋体" w:eastAsia="方正仿宋_GBK"/>
          <w:color w:val="auto"/>
          <w:sz w:val="24"/>
          <w:szCs w:val="24"/>
          <w:highlight w:val="none"/>
        </w:rPr>
        <w:t>采购人</w:t>
      </w:r>
      <w:r>
        <w:rPr>
          <w:rFonts w:ascii="方正仿宋_GBK" w:hAnsi="宋体" w:eastAsia="方正仿宋_GBK"/>
          <w:color w:val="auto"/>
          <w:sz w:val="24"/>
          <w:szCs w:val="24"/>
          <w:highlight w:val="none"/>
        </w:rPr>
        <w:t>提供的电梯，如有损坏应赔偿</w:t>
      </w:r>
      <w:r>
        <w:rPr>
          <w:rFonts w:hint="eastAsia" w:ascii="方正仿宋_GBK" w:hAnsi="宋体" w:eastAsia="方正仿宋_GBK"/>
          <w:color w:val="auto"/>
          <w:sz w:val="24"/>
          <w:szCs w:val="24"/>
          <w:highlight w:val="none"/>
        </w:rPr>
        <w:t>。</w:t>
      </w:r>
    </w:p>
    <w:p w14:paraId="53DF9BF1">
      <w:pPr>
        <w:snapToGrid w:val="0"/>
        <w:spacing w:line="276" w:lineRule="auto"/>
        <w:ind w:firstLine="559" w:firstLineChars="233"/>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（五）服务人员</w:t>
      </w:r>
    </w:p>
    <w:p w14:paraId="446E3F6C">
      <w:pPr>
        <w:snapToGrid w:val="0"/>
        <w:spacing w:line="276" w:lineRule="auto"/>
        <w:ind w:firstLine="559" w:firstLineChars="233"/>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1.供应商应提供本项目负责人信息（包含但不限于姓名、身份证、职务等）。</w:t>
      </w:r>
    </w:p>
    <w:p w14:paraId="5483E807">
      <w:pPr>
        <w:snapToGrid w:val="0"/>
        <w:spacing w:line="276" w:lineRule="auto"/>
        <w:ind w:firstLine="559" w:firstLineChars="233"/>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2.供应商拟为本项目配备的固定的配送服务人员。中标人应在合同签订前提供配送人员供有效的身份证、健康证、驾驶证、在职证明等证明材料。</w:t>
      </w:r>
    </w:p>
    <w:p w14:paraId="63692D8E">
      <w:pPr>
        <w:snapToGrid w:val="0"/>
        <w:spacing w:line="276" w:lineRule="auto"/>
        <w:ind w:firstLine="559" w:firstLineChars="233"/>
        <w:rPr>
          <w:rFonts w:ascii="方正仿宋_GBK" w:hAnsi="宋体" w:eastAsia="方正仿宋_GBK" w:cs="宋体"/>
          <w:color w:val="auto"/>
          <w:kern w:val="0"/>
          <w:sz w:val="24"/>
          <w:szCs w:val="24"/>
          <w:highlight w:val="none"/>
        </w:rPr>
      </w:pPr>
      <w:r>
        <w:rPr>
          <w:rFonts w:hint="eastAsia" w:ascii="方正仿宋_GBK" w:hAnsi="宋体" w:eastAsia="方正仿宋_GBK"/>
          <w:color w:val="auto"/>
          <w:sz w:val="24"/>
          <w:szCs w:val="24"/>
          <w:highlight w:val="none"/>
        </w:rPr>
        <w:t>3.以上人员在项目实施期间未经采购人同意不得随意更换</w:t>
      </w:r>
      <w:r>
        <w:rPr>
          <w:rFonts w:hint="eastAsia" w:ascii="方正仿宋_GBK" w:hAnsi="宋体" w:eastAsia="方正仿宋_GBK"/>
          <w:color w:val="auto"/>
          <w:sz w:val="24"/>
          <w:szCs w:val="24"/>
          <w:highlight w:val="none"/>
          <w:lang w:val="zh-CN"/>
        </w:rPr>
        <w:t>，因客观原因确需调整的，中标人应提前书面申请，经采购人后勤处同意后方可实施</w:t>
      </w:r>
      <w:r>
        <w:rPr>
          <w:rFonts w:hint="eastAsia" w:ascii="方正仿宋_GBK" w:hAnsi="宋体" w:eastAsia="方正仿宋_GBK"/>
          <w:color w:val="auto"/>
          <w:sz w:val="24"/>
          <w:szCs w:val="24"/>
          <w:highlight w:val="none"/>
        </w:rPr>
        <w:t>。</w:t>
      </w:r>
    </w:p>
    <w:bookmarkEnd w:id="73"/>
    <w:p w14:paraId="550598B2">
      <w:pPr>
        <w:pStyle w:val="5"/>
        <w:rPr>
          <w:rFonts w:ascii="方正仿宋_GBK" w:hAnsi="方正仿宋_GBK" w:eastAsia="方正仿宋_GBK" w:cs="方正仿宋_GBK"/>
          <w:b/>
          <w:color w:val="auto"/>
          <w:sz w:val="24"/>
          <w:szCs w:val="24"/>
          <w:highlight w:val="none"/>
        </w:rPr>
      </w:pPr>
      <w:bookmarkStart w:id="79" w:name="_Toc75452490"/>
      <w:bookmarkStart w:id="80" w:name="_Toc17429"/>
      <w:bookmarkStart w:id="81" w:name="_Toc267320052"/>
      <w:r>
        <w:rPr>
          <w:rFonts w:hint="eastAsia" w:ascii="方正仿宋_GBK" w:eastAsia="方正仿宋_GBK"/>
          <w:color w:val="auto"/>
          <w:sz w:val="24"/>
          <w:szCs w:val="24"/>
          <w:highlight w:val="none"/>
        </w:rPr>
        <w:t>※</w:t>
      </w:r>
      <w:r>
        <w:rPr>
          <w:rFonts w:hint="eastAsia" w:ascii="方正仿宋_GBK" w:hAnsi="方正仿宋_GBK" w:eastAsia="方正仿宋_GBK" w:cs="方正仿宋_GBK"/>
          <w:b/>
          <w:color w:val="auto"/>
          <w:sz w:val="24"/>
          <w:szCs w:val="24"/>
          <w:highlight w:val="none"/>
        </w:rPr>
        <w:t>四、履约保证金</w:t>
      </w:r>
      <w:bookmarkEnd w:id="79"/>
      <w:bookmarkEnd w:id="80"/>
    </w:p>
    <w:p w14:paraId="52BFC505">
      <w:pPr>
        <w:snapToGrid w:val="0"/>
        <w:spacing w:line="276" w:lineRule="auto"/>
        <w:ind w:firstLine="559" w:firstLineChars="233"/>
        <w:rPr>
          <w:rFonts w:ascii="方正仿宋_GBK" w:hAnsi="宋体" w:eastAsia="方正仿宋_GBK"/>
          <w:b/>
          <w:bCs/>
          <w:color w:val="auto"/>
          <w:sz w:val="24"/>
          <w:szCs w:val="24"/>
          <w:highlight w:val="none"/>
        </w:rPr>
      </w:pPr>
      <w:r>
        <w:rPr>
          <w:rFonts w:hint="eastAsia" w:ascii="方正仿宋_GBK" w:hAnsi="宋体" w:eastAsia="方正仿宋_GBK"/>
          <w:color w:val="auto"/>
          <w:sz w:val="24"/>
          <w:szCs w:val="24"/>
          <w:highlight w:val="none"/>
        </w:rPr>
        <w:t>（一）中标人须在采购人签订合同前向采购人交纳履约保证金（包1:</w:t>
      </w:r>
      <w:r>
        <w:rPr>
          <w:rFonts w:ascii="方正仿宋_GBK" w:hAnsi="宋体" w:eastAsia="方正仿宋_GBK"/>
          <w:color w:val="auto"/>
          <w:sz w:val="24"/>
          <w:szCs w:val="24"/>
          <w:highlight w:val="none"/>
        </w:rPr>
        <w:t>5.7</w:t>
      </w:r>
      <w:r>
        <w:rPr>
          <w:rFonts w:hint="eastAsia" w:ascii="方正仿宋_GBK" w:hAnsi="宋体" w:eastAsia="方正仿宋_GBK"/>
          <w:color w:val="auto"/>
          <w:sz w:val="24"/>
          <w:szCs w:val="24"/>
          <w:highlight w:val="none"/>
        </w:rPr>
        <w:t>万元，包2：5</w:t>
      </w:r>
      <w:r>
        <w:rPr>
          <w:rFonts w:ascii="方正仿宋_GBK" w:hAnsi="宋体" w:eastAsia="方正仿宋_GBK"/>
          <w:color w:val="auto"/>
          <w:sz w:val="24"/>
          <w:szCs w:val="24"/>
          <w:highlight w:val="none"/>
        </w:rPr>
        <w:t>.6</w:t>
      </w:r>
      <w:r>
        <w:rPr>
          <w:rFonts w:hint="eastAsia" w:ascii="方正仿宋_GBK" w:hAnsi="宋体" w:eastAsia="方正仿宋_GBK"/>
          <w:color w:val="auto"/>
          <w:sz w:val="24"/>
          <w:szCs w:val="24"/>
          <w:highlight w:val="none"/>
        </w:rPr>
        <w:t>万元，包3：</w:t>
      </w:r>
      <w:r>
        <w:rPr>
          <w:rFonts w:ascii="方正仿宋_GBK" w:hAnsi="宋体" w:eastAsia="方正仿宋_GBK"/>
          <w:color w:val="auto"/>
          <w:sz w:val="24"/>
          <w:szCs w:val="24"/>
          <w:highlight w:val="none"/>
        </w:rPr>
        <w:t>8.6</w:t>
      </w:r>
      <w:r>
        <w:rPr>
          <w:rFonts w:hint="eastAsia" w:ascii="方正仿宋_GBK" w:hAnsi="宋体" w:eastAsia="方正仿宋_GBK"/>
          <w:color w:val="auto"/>
          <w:sz w:val="24"/>
          <w:szCs w:val="24"/>
          <w:highlight w:val="none"/>
        </w:rPr>
        <w:t>万元），确保项目按期、按质进行。中标人若发生部分违约现象，采购人从履约保证金中扣除相应金额的违约金；若发现严重违约现象，采购人有充分理由没收其全额保证金。</w:t>
      </w:r>
    </w:p>
    <w:p w14:paraId="21F64149">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履约保证金缴纳方式：以转账、电汇等方式交到重庆工商大学指定的银行基本账户，不得以现金或其他方式划入任何个人账户，否则由此产生的所有损失由中标人自行承担。中标人务必在汇款凭证上注明项目编号“CTBU-JZ2025XXX”。</w:t>
      </w:r>
    </w:p>
    <w:p w14:paraId="7F3359A5">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（三）履约保证金指定收取账户</w:t>
      </w:r>
    </w:p>
    <w:p w14:paraId="7002FDC2">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户名：重庆工商大学</w:t>
      </w:r>
    </w:p>
    <w:p w14:paraId="3DCDEE31">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开户行：工行重庆南岸学府支行</w:t>
      </w:r>
    </w:p>
    <w:p w14:paraId="2037AB3D">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账号：9558 8531 0075 3300 031</w:t>
      </w:r>
    </w:p>
    <w:p w14:paraId="12B10A0C">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（四）履约保证金补交</w:t>
      </w:r>
    </w:p>
    <w:p w14:paraId="2CDB1B65">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履约保证金被扣罚的金额，中标人应在扣罚之日起5个工作日内补缴履约保证金，若未</w:t>
      </w:r>
      <w:bookmarkStart w:id="82" w:name="OLE_LINK39"/>
      <w:bookmarkStart w:id="83" w:name="OLE_LINK38"/>
      <w:r>
        <w:rPr>
          <w:rFonts w:hint="eastAsia" w:ascii="方正仿宋_GBK" w:hAnsi="宋体" w:eastAsia="方正仿宋_GBK"/>
          <w:color w:val="auto"/>
          <w:sz w:val="24"/>
          <w:szCs w:val="24"/>
          <w:highlight w:val="none"/>
        </w:rPr>
        <w:t>按时补缴的，</w:t>
      </w:r>
      <w:bookmarkEnd w:id="82"/>
      <w:bookmarkEnd w:id="83"/>
      <w:r>
        <w:rPr>
          <w:rFonts w:hint="eastAsia" w:ascii="方正仿宋_GBK" w:hAnsi="宋体" w:eastAsia="方正仿宋_GBK"/>
          <w:color w:val="auto"/>
          <w:sz w:val="24"/>
          <w:szCs w:val="24"/>
          <w:highlight w:val="none"/>
        </w:rPr>
        <w:t>每逾期1个日历日，采购人有权要求中标人支付履约保证金总额1%的违约金；逾期超过15个日历日，采购人有权终止合同，并没收剩余的履约保证金。</w:t>
      </w:r>
    </w:p>
    <w:p w14:paraId="6CB6AB89">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（五）履约保证金退还方式</w:t>
      </w:r>
    </w:p>
    <w:p w14:paraId="36DF894D">
      <w:pPr>
        <w:snapToGrid w:val="0"/>
        <w:spacing w:line="276" w:lineRule="auto"/>
        <w:ind w:left="140" w:leftChars="50" w:firstLine="600" w:firstLineChars="2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1.合同服务期满，中标人履约完成且无任何遗留问题后，采购人全额无息退还履约保证金至中标人基本账户。</w:t>
      </w:r>
    </w:p>
    <w:p w14:paraId="38A3236B">
      <w:pPr>
        <w:snapToGrid w:val="0"/>
        <w:spacing w:line="276" w:lineRule="auto"/>
        <w:ind w:left="140" w:leftChars="50" w:firstLine="600" w:firstLineChars="2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2.中标人申请退履约保证金时提供需求部门、资产管理处签署的《重庆工商大学货物服务项目质量评估报告及履约保证金退还审核流程表》。</w:t>
      </w:r>
    </w:p>
    <w:bookmarkEnd w:id="81"/>
    <w:p w14:paraId="65928E8B">
      <w:pPr>
        <w:pStyle w:val="5"/>
        <w:rPr>
          <w:rFonts w:ascii="方正仿宋_GBK" w:hAnsi="方正仿宋_GBK" w:eastAsia="方正仿宋_GBK" w:cs="方正仿宋_GBK"/>
          <w:b/>
          <w:color w:val="auto"/>
          <w:sz w:val="24"/>
          <w:szCs w:val="24"/>
          <w:highlight w:val="none"/>
        </w:rPr>
      </w:pPr>
      <w:bookmarkStart w:id="84" w:name="_Toc75452491"/>
      <w:bookmarkStart w:id="85" w:name="_Toc13591"/>
      <w:bookmarkStart w:id="86" w:name="_Toc25557"/>
      <w:bookmarkStart w:id="87" w:name="_Toc7708"/>
      <w:bookmarkStart w:id="88" w:name="_Toc23969"/>
      <w:bookmarkStart w:id="89" w:name="_Toc267320053"/>
      <w:bookmarkStart w:id="90" w:name="_Toc524622133"/>
      <w:r>
        <w:rPr>
          <w:rFonts w:hint="eastAsia" w:ascii="方正仿宋_GBK" w:eastAsia="方正仿宋_GBK"/>
          <w:color w:val="auto"/>
          <w:sz w:val="24"/>
          <w:szCs w:val="24"/>
          <w:highlight w:val="none"/>
        </w:rPr>
        <w:t>※</w:t>
      </w:r>
      <w:r>
        <w:rPr>
          <w:rFonts w:hint="eastAsia" w:ascii="方正仿宋_GBK" w:hAnsi="方正仿宋_GBK" w:eastAsia="方正仿宋_GBK" w:cs="方正仿宋_GBK"/>
          <w:b/>
          <w:color w:val="auto"/>
          <w:sz w:val="24"/>
          <w:szCs w:val="24"/>
          <w:highlight w:val="none"/>
        </w:rPr>
        <w:t>五、付款方式</w:t>
      </w:r>
      <w:bookmarkEnd w:id="84"/>
      <w:bookmarkEnd w:id="85"/>
      <w:bookmarkEnd w:id="86"/>
      <w:bookmarkEnd w:id="87"/>
      <w:bookmarkEnd w:id="88"/>
    </w:p>
    <w:p w14:paraId="4273600F">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（一）付款方式：每月验收合格后按月支付。实行按月支付（寒暑假在开学后第一个月结算），原则上当月货款在次月26日前结清。若中标人未按照采购人规定的时间办理结账手续，当月不再结算。</w:t>
      </w:r>
    </w:p>
    <w:p w14:paraId="1C2E2727">
      <w:pPr>
        <w:adjustRightInd w:val="0"/>
        <w:snapToGrid w:val="0"/>
        <w:spacing w:line="240" w:lineRule="atLeast"/>
        <w:ind w:firstLine="480" w:firstLineChars="200"/>
        <w:rPr>
          <w:rFonts w:ascii="方正仿宋_GBK" w:hAnsi="方正仿宋_GBK" w:eastAsia="方正仿宋_GBK" w:cs="方正仿宋_GBK"/>
          <w:color w:val="auto"/>
          <w:sz w:val="24"/>
          <w:szCs w:val="24"/>
          <w:highlight w:val="none"/>
        </w:rPr>
      </w:pPr>
      <w:r>
        <w:rPr>
          <w:rFonts w:hint="eastAsia" w:ascii="方正仿宋_GBK" w:hAnsi="宋体" w:eastAsia="方正仿宋_GBK"/>
          <w:color w:val="auto"/>
          <w:sz w:val="24"/>
          <w:szCs w:val="24"/>
          <w:highlight w:val="none"/>
        </w:rPr>
        <w:t>（二）结算货款时，中标人</w:t>
      </w:r>
      <w:r>
        <w:rPr>
          <w:rFonts w:hint="eastAsia" w:ascii="方正仿宋_GBK" w:hAnsi="方正仿宋_GBK" w:eastAsia="方正仿宋_GBK" w:cs="方正仿宋_GBK"/>
          <w:color w:val="auto"/>
          <w:sz w:val="24"/>
          <w:szCs w:val="24"/>
          <w:highlight w:val="none"/>
        </w:rPr>
        <w:t>须向甲方采购人出具合法、有效、完整的完税发票及凭证资料，经双方核对后进行支付结算。</w:t>
      </w:r>
    </w:p>
    <w:p w14:paraId="27B7BDF2">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（三）结算</w:t>
      </w:r>
    </w:p>
    <w:p w14:paraId="4EFEAC4E">
      <w:pPr>
        <w:spacing w:line="400" w:lineRule="exact"/>
        <w:ind w:firstLine="480" w:firstLineChars="200"/>
        <w:rPr>
          <w:rFonts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1.以中标供应商填报的折扣系数为“</w:t>
      </w:r>
      <w:r>
        <w:rPr>
          <w:rFonts w:hint="eastAsia" w:ascii="方正仿宋_GBK" w:hAnsi="方正仿宋_GBK" w:eastAsia="方正仿宋_GBK" w:cs="方正仿宋_GBK"/>
          <w:b/>
          <w:color w:val="auto"/>
          <w:sz w:val="24"/>
          <w:szCs w:val="24"/>
          <w:highlight w:val="none"/>
        </w:rPr>
        <w:t>结算折扣系数</w:t>
      </w:r>
      <w:r>
        <w:rPr>
          <w:rFonts w:hint="eastAsia" w:ascii="方正仿宋_GBK" w:hAnsi="方正仿宋_GBK" w:eastAsia="方正仿宋_GBK" w:cs="方正仿宋_GBK"/>
          <w:bCs/>
          <w:color w:val="auto"/>
          <w:sz w:val="24"/>
          <w:szCs w:val="24"/>
          <w:highlight w:val="none"/>
        </w:rPr>
        <w:t>”；</w:t>
      </w:r>
    </w:p>
    <w:p w14:paraId="1B24F971">
      <w:pPr>
        <w:spacing w:line="400" w:lineRule="exact"/>
        <w:ind w:firstLine="480" w:firstLineChars="200"/>
        <w:rPr>
          <w:rFonts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2.以中标供应商和采购人双方确认的各货品的基价乘以中标结算折扣系数作为“</w:t>
      </w:r>
      <w:r>
        <w:rPr>
          <w:rFonts w:hint="eastAsia" w:ascii="方正仿宋_GBK" w:hAnsi="方正仿宋_GBK" w:eastAsia="方正仿宋_GBK" w:cs="方正仿宋_GBK"/>
          <w:b/>
          <w:color w:val="auto"/>
          <w:sz w:val="24"/>
          <w:szCs w:val="24"/>
          <w:highlight w:val="none"/>
        </w:rPr>
        <w:t>结算单价</w:t>
      </w:r>
      <w:r>
        <w:rPr>
          <w:rFonts w:hint="eastAsia" w:ascii="方正仿宋_GBK" w:hAnsi="方正仿宋_GBK" w:eastAsia="方正仿宋_GBK" w:cs="方正仿宋_GBK"/>
          <w:bCs/>
          <w:color w:val="auto"/>
          <w:sz w:val="24"/>
          <w:szCs w:val="24"/>
          <w:highlight w:val="none"/>
        </w:rPr>
        <w:t>”；</w:t>
      </w:r>
    </w:p>
    <w:p w14:paraId="74821401">
      <w:pPr>
        <w:snapToGrid w:val="0"/>
        <w:spacing w:line="276" w:lineRule="auto"/>
        <w:ind w:left="140" w:leftChars="50" w:firstLine="361" w:firstLineChars="150"/>
        <w:rPr>
          <w:rFonts w:ascii="方正仿宋_GBK" w:hAnsi="宋体" w:eastAsia="方正仿宋_GBK"/>
          <w:color w:val="auto"/>
          <w:sz w:val="24"/>
          <w:szCs w:val="24"/>
          <w:highlight w:val="none"/>
        </w:rPr>
      </w:pPr>
      <w:r>
        <w:rPr>
          <w:rFonts w:hint="eastAsia" w:ascii="方正仿宋_GBK" w:hAnsi="方正仿宋_GBK" w:eastAsia="方正仿宋_GBK" w:cs="方正仿宋_GBK"/>
          <w:b/>
          <w:color w:val="auto"/>
          <w:sz w:val="24"/>
          <w:szCs w:val="24"/>
          <w:highlight w:val="none"/>
        </w:rPr>
        <w:t>3.当月最终结算金额=</w:t>
      </w:r>
      <w:r>
        <w:rPr>
          <w:rFonts w:hint="eastAsia" w:ascii="微软雅黑" w:hAnsi="微软雅黑" w:eastAsia="微软雅黑" w:cs="微软雅黑"/>
          <w:b/>
          <w:color w:val="auto"/>
          <w:sz w:val="24"/>
          <w:szCs w:val="24"/>
          <w:highlight w:val="none"/>
        </w:rPr>
        <w:t>∑</w:t>
      </w:r>
      <w:r>
        <w:rPr>
          <w:rFonts w:hint="eastAsia" w:ascii="方正仿宋_GBK" w:hAnsi="方正仿宋_GBK" w:eastAsia="方正仿宋_GBK" w:cs="方正仿宋_GBK"/>
          <w:b/>
          <w:color w:val="auto"/>
          <w:sz w:val="24"/>
          <w:szCs w:val="24"/>
          <w:highlight w:val="none"/>
        </w:rPr>
        <w:t>（货品结算单价</w:t>
      </w:r>
      <w:r>
        <w:rPr>
          <w:rFonts w:hint="eastAsia" w:ascii="方正仿宋_GBK" w:hAnsi="宋体" w:eastAsia="方正仿宋_GBK"/>
          <w:color w:val="auto"/>
          <w:sz w:val="24"/>
          <w:szCs w:val="24"/>
          <w:highlight w:val="none"/>
        </w:rPr>
        <w:t>×</w:t>
      </w:r>
      <w:r>
        <w:rPr>
          <w:rFonts w:hint="eastAsia" w:ascii="方正仿宋_GBK" w:hAnsi="方正仿宋_GBK" w:eastAsia="方正仿宋_GBK" w:cs="方正仿宋_GBK"/>
          <w:b/>
          <w:color w:val="auto"/>
          <w:sz w:val="24"/>
          <w:szCs w:val="24"/>
          <w:highlight w:val="none"/>
        </w:rPr>
        <w:t>实际采购数量）-扣除金额（如有），据实结算。</w:t>
      </w:r>
    </w:p>
    <w:p w14:paraId="3D464DCB">
      <w:pPr>
        <w:pStyle w:val="5"/>
        <w:rPr>
          <w:rFonts w:ascii="方正仿宋_GBK" w:hAnsi="方正仿宋_GBK" w:eastAsia="方正仿宋_GBK" w:cs="方正仿宋_GBK"/>
          <w:b/>
          <w:color w:val="auto"/>
          <w:sz w:val="24"/>
          <w:szCs w:val="24"/>
          <w:highlight w:val="none"/>
        </w:rPr>
      </w:pPr>
      <w:bookmarkStart w:id="91" w:name="_Toc26440"/>
      <w:bookmarkStart w:id="92" w:name="_Toc26680"/>
      <w:bookmarkStart w:id="93" w:name="_Toc11176"/>
      <w:bookmarkStart w:id="94" w:name="_Toc75452492"/>
      <w:bookmarkStart w:id="95" w:name="_Toc14670"/>
      <w:r>
        <w:rPr>
          <w:rFonts w:hint="eastAsia" w:ascii="方正仿宋_GBK" w:eastAsia="方正仿宋_GBK"/>
          <w:color w:val="auto"/>
          <w:sz w:val="24"/>
          <w:szCs w:val="24"/>
          <w:highlight w:val="none"/>
        </w:rPr>
        <w:t>※</w:t>
      </w:r>
      <w:r>
        <w:rPr>
          <w:rFonts w:hint="eastAsia" w:ascii="方正仿宋_GBK" w:hAnsi="方正仿宋_GBK" w:eastAsia="方正仿宋_GBK" w:cs="方正仿宋_GBK"/>
          <w:b/>
          <w:color w:val="auto"/>
          <w:sz w:val="24"/>
          <w:szCs w:val="24"/>
          <w:highlight w:val="none"/>
        </w:rPr>
        <w:t>六、</w:t>
      </w:r>
      <w:bookmarkEnd w:id="91"/>
      <w:bookmarkEnd w:id="92"/>
      <w:bookmarkEnd w:id="93"/>
      <w:bookmarkEnd w:id="94"/>
      <w:r>
        <w:rPr>
          <w:rFonts w:hint="eastAsia" w:ascii="方正仿宋_GBK" w:hAnsi="方正仿宋_GBK" w:eastAsia="方正仿宋_GBK" w:cs="方正仿宋_GBK"/>
          <w:b/>
          <w:color w:val="auto"/>
          <w:sz w:val="24"/>
          <w:szCs w:val="24"/>
          <w:highlight w:val="none"/>
        </w:rPr>
        <w:t>结算方式</w:t>
      </w:r>
      <w:bookmarkEnd w:id="95"/>
    </w:p>
    <w:p w14:paraId="4D234015">
      <w:pPr>
        <w:snapToGrid w:val="0"/>
        <w:spacing w:line="276" w:lineRule="auto"/>
        <w:ind w:left="140" w:leftChars="50" w:firstLine="361" w:firstLineChars="15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（一）包1</w:t>
      </w:r>
    </w:p>
    <w:p w14:paraId="4FF18F66">
      <w:pPr>
        <w:snapToGrid w:val="0"/>
        <w:spacing w:line="276" w:lineRule="auto"/>
        <w:ind w:left="140" w:leftChars="50"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rPr>
        <w:t>首次供货价格为供货当日或供货当日前最新一期重庆市农业农村委员会官网（https://nyncw.cq.gov.cn/xxgk_161/sczx/）重庆农产品及农资价格周报公布的普通大米价格和粳米价格（珍珠米参照）、富强粉价格（面粉参照）乘以中标折扣系数</w:t>
      </w:r>
      <w:r>
        <w:rPr>
          <w:rFonts w:hint="eastAsia" w:ascii="方正仿宋_GBK" w:hAnsi="宋体" w:eastAsia="方正仿宋_GBK"/>
          <w:color w:val="auto"/>
          <w:sz w:val="24"/>
          <w:szCs w:val="24"/>
          <w:highlight w:val="none"/>
          <w:lang w:eastAsia="zh-CN"/>
        </w:rPr>
        <w:t>。</w:t>
      </w:r>
    </w:p>
    <w:p w14:paraId="291FB476">
      <w:pPr>
        <w:snapToGrid w:val="0"/>
        <w:spacing w:line="276" w:lineRule="auto"/>
        <w:ind w:left="140" w:leftChars="50" w:firstLine="360" w:firstLineChars="150"/>
        <w:rPr>
          <w:rFonts w:ascii="方正仿宋_GBK" w:hAnsi="宋体" w:eastAsia="方正仿宋_GBK"/>
          <w:color w:val="FF0000"/>
          <w:sz w:val="24"/>
          <w:szCs w:val="24"/>
          <w:highlight w:val="none"/>
        </w:rPr>
      </w:pPr>
      <w:r>
        <w:rPr>
          <w:rFonts w:hint="eastAsia" w:ascii="方正仿宋_GBK" w:hAnsi="宋体" w:eastAsia="方正仿宋_GBK"/>
          <w:color w:val="FF0000"/>
          <w:sz w:val="24"/>
          <w:szCs w:val="24"/>
          <w:highlight w:val="none"/>
        </w:rPr>
        <w:t>2</w:t>
      </w:r>
      <w:r>
        <w:rPr>
          <w:rFonts w:ascii="方正仿宋_GBK" w:hAnsi="宋体" w:eastAsia="方正仿宋_GBK"/>
          <w:color w:val="FF0000"/>
          <w:sz w:val="24"/>
          <w:szCs w:val="24"/>
          <w:highlight w:val="none"/>
        </w:rPr>
        <w:t>.</w:t>
      </w:r>
      <w:r>
        <w:rPr>
          <w:rFonts w:hint="eastAsia" w:ascii="方正仿宋_GBK" w:hAnsi="宋体" w:eastAsia="方正仿宋_GBK"/>
          <w:color w:val="FF0000"/>
          <w:sz w:val="24"/>
          <w:szCs w:val="24"/>
          <w:highlight w:val="none"/>
        </w:rPr>
        <w:t>价格调整方式：</w:t>
      </w:r>
    </w:p>
    <w:p w14:paraId="2372BBE2">
      <w:pPr>
        <w:snapToGrid w:val="0"/>
        <w:spacing w:line="276" w:lineRule="auto"/>
        <w:ind w:left="140" w:leftChars="50" w:firstLine="360" w:firstLineChars="150"/>
        <w:rPr>
          <w:rFonts w:hint="eastAsia" w:ascii="方正仿宋_GBK" w:hAnsi="宋体" w:eastAsia="方正仿宋_GBK"/>
          <w:color w:val="FF0000"/>
          <w:sz w:val="24"/>
          <w:szCs w:val="24"/>
          <w:highlight w:val="none"/>
        </w:rPr>
      </w:pPr>
      <w:r>
        <w:rPr>
          <w:rFonts w:hint="eastAsia" w:ascii="方正仿宋_GBK" w:hAnsi="宋体" w:eastAsia="方正仿宋_GBK"/>
          <w:color w:val="FF0000"/>
          <w:sz w:val="24"/>
          <w:szCs w:val="24"/>
          <w:highlight w:val="none"/>
        </w:rPr>
        <w:t>该项目价格每月调价一次，</w:t>
      </w:r>
      <w:r>
        <w:rPr>
          <w:rFonts w:hint="eastAsia" w:ascii="方正仿宋_GBK" w:hAnsi="宋体" w:eastAsia="方正仿宋_GBK"/>
          <w:color w:val="FF0000"/>
          <w:sz w:val="24"/>
          <w:szCs w:val="24"/>
          <w:highlight w:val="none"/>
          <w:lang w:val="en-US" w:eastAsia="zh-CN"/>
        </w:rPr>
        <w:t>初次供货之日起1个月内价格不变，从第2个月进行调价。若月环比涨跌幅度达到5%（不含5%）以上时，双方对第2个月超过或低于5%的部分进行调价管后执行，5%（含）以内的则不予调价，以后月份以此类推（环比期数以采购人账期内实际期数为准）。米类、面粉类月环比涨跌数据以重庆市农业农村委员会（http://nyncw.cq.gov.cn）发布的“重庆农产品及农资价格周报”中普通大米、粳米、富强粉周报数据为计算依据。</w:t>
      </w:r>
    </w:p>
    <w:p w14:paraId="7A999489">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rPr>
        <w:t>调价计算示例：</w:t>
      </w:r>
    </w:p>
    <w:p w14:paraId="70E447FF">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如重庆市农委网站公布的某月普通大米各周环比数据分别为+3.87%、+4.94%、+5.91%、+5.86%，则当月环比涨幅为（1+3.87%）×（1+4.94%）×（1+5.91%）×（1+5.86%）-1=22.21%＞5%，乙方当月普通大米实际结算单价=结算基价×[1+(22.21%-5%)]；</w:t>
      </w:r>
    </w:p>
    <w:p w14:paraId="00AB0823">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如重庆市农委网站公布普通大米的某月各周环比数据分别为+3.87%、-4.94%、-3.61%、-2.78%，则当月环比跌幅为（1+3.87%）×（1-4.94%）×（1-3.61%）×（1-2.78%）-1=-7.47%＜-5%，乙方当月普通大米实际结算单价=结算基价×[1-(7.47%-5%)]。</w:t>
      </w:r>
    </w:p>
    <w:p w14:paraId="3C63DBFD">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合同期内需方保留执行更科学、合理定价机制的权利。如遇政策变化，按照新的定价机制调整执行。</w:t>
      </w:r>
    </w:p>
    <w:p w14:paraId="5DFB585E">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rPr>
        <w:t>分歧处理</w:t>
      </w:r>
    </w:p>
    <w:p w14:paraId="0E7A0331">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无论需方还是中标人提出价格调整要求的，双方均应按上述价格调整机制重新确定新的供货价格。若中标人不遵守上述调价基础约定，拖延时间导致需方生产保障受影响的，需方有权全额扣除其履约保证金并终止合同。</w:t>
      </w:r>
    </w:p>
    <w:p w14:paraId="79D917A2">
      <w:pPr>
        <w:snapToGrid w:val="0"/>
        <w:spacing w:line="276" w:lineRule="auto"/>
        <w:ind w:left="140" w:leftChars="50" w:firstLine="361" w:firstLineChars="15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（二）包2</w:t>
      </w:r>
    </w:p>
    <w:p w14:paraId="41FD93A9">
      <w:pPr>
        <w:snapToGrid w:val="0"/>
        <w:spacing w:line="276" w:lineRule="auto"/>
        <w:ind w:left="140" w:leftChars="50"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val="en-US" w:eastAsia="zh-CN"/>
        </w:rPr>
        <w:t>首次供货价格为供货当日最新一期重庆市农业农村委员会官网（</w:t>
      </w:r>
      <w:r>
        <w:rPr>
          <w:rFonts w:hint="eastAsia" w:ascii="方正仿宋_GBK" w:hAnsi="宋体" w:eastAsia="方正仿宋_GBK"/>
          <w:color w:val="auto"/>
          <w:sz w:val="24"/>
          <w:szCs w:val="24"/>
          <w:highlight w:val="none"/>
          <w:lang w:val="en-US" w:eastAsia="zh-CN"/>
        </w:rPr>
        <w:fldChar w:fldCharType="begin"/>
      </w:r>
      <w:r>
        <w:rPr>
          <w:rFonts w:hint="eastAsia" w:ascii="方正仿宋_GBK" w:hAnsi="宋体" w:eastAsia="方正仿宋_GBK"/>
          <w:color w:val="auto"/>
          <w:sz w:val="24"/>
          <w:szCs w:val="24"/>
          <w:highlight w:val="none"/>
          <w:lang w:val="en-US" w:eastAsia="zh-CN"/>
        </w:rPr>
        <w:instrText xml:space="preserve"> HYPERLINK "http://www.cqnync.cn/marketsta" </w:instrText>
      </w:r>
      <w:r>
        <w:rPr>
          <w:rFonts w:hint="eastAsia" w:ascii="方正仿宋_GBK" w:hAnsi="宋体" w:eastAsia="方正仿宋_GBK"/>
          <w:color w:val="auto"/>
          <w:sz w:val="24"/>
          <w:szCs w:val="24"/>
          <w:highlight w:val="none"/>
          <w:lang w:val="en-US" w:eastAsia="zh-CN"/>
        </w:rPr>
        <w:fldChar w:fldCharType="separate"/>
      </w:r>
      <w:r>
        <w:rPr>
          <w:rFonts w:hint="eastAsia" w:ascii="方正仿宋_GBK" w:hAnsi="宋体" w:eastAsia="方正仿宋_GBK"/>
          <w:color w:val="auto"/>
          <w:sz w:val="24"/>
          <w:szCs w:val="24"/>
          <w:highlight w:val="none"/>
          <w:lang w:val="en-US" w:eastAsia="zh-CN"/>
        </w:rPr>
        <w:t>http://www.cqnync.cn/marketsta</w:t>
      </w:r>
      <w:r>
        <w:rPr>
          <w:rFonts w:hint="eastAsia" w:ascii="方正仿宋_GBK" w:hAnsi="宋体" w:eastAsia="方正仿宋_GBK"/>
          <w:color w:val="auto"/>
          <w:sz w:val="24"/>
          <w:szCs w:val="24"/>
          <w:highlight w:val="none"/>
          <w:lang w:val="en-US" w:eastAsia="zh-CN"/>
        </w:rPr>
        <w:fldChar w:fldCharType="end"/>
      </w:r>
      <w:r>
        <w:rPr>
          <w:rFonts w:hint="eastAsia" w:ascii="方正仿宋_GBK" w:hAnsi="宋体" w:eastAsia="方正仿宋_GBK"/>
          <w:color w:val="auto"/>
          <w:sz w:val="24"/>
          <w:szCs w:val="24"/>
          <w:highlight w:val="none"/>
          <w:lang w:val="en-US" w:eastAsia="zh-CN"/>
        </w:rPr>
        <w:t>）农产品市场行情查询中重庆双福国际农贸城或者九龙坡太慈农贸市场中5L桶装菜籽油和5L桶装色拉油价格（就低）折算成每升单价乘以中标折扣系数。</w:t>
      </w:r>
    </w:p>
    <w:p w14:paraId="1A892526">
      <w:pPr>
        <w:snapToGrid w:val="0"/>
        <w:spacing w:line="276" w:lineRule="auto"/>
        <w:ind w:left="140" w:leftChars="50" w:firstLine="360" w:firstLineChars="150"/>
        <w:rPr>
          <w:rFonts w:ascii="方正仿宋_GBK" w:hAnsi="宋体" w:eastAsia="方正仿宋_GBK"/>
          <w:color w:val="FF0000"/>
          <w:sz w:val="24"/>
          <w:szCs w:val="24"/>
          <w:highlight w:val="none"/>
        </w:rPr>
      </w:pPr>
      <w:r>
        <w:rPr>
          <w:rFonts w:hint="eastAsia" w:ascii="方正仿宋_GBK" w:hAnsi="宋体" w:eastAsia="方正仿宋_GBK"/>
          <w:color w:val="FF0000"/>
          <w:sz w:val="24"/>
          <w:szCs w:val="24"/>
          <w:highlight w:val="none"/>
        </w:rPr>
        <w:t>2</w:t>
      </w:r>
      <w:r>
        <w:rPr>
          <w:rFonts w:ascii="方正仿宋_GBK" w:hAnsi="宋体" w:eastAsia="方正仿宋_GBK"/>
          <w:color w:val="FF0000"/>
          <w:sz w:val="24"/>
          <w:szCs w:val="24"/>
          <w:highlight w:val="none"/>
        </w:rPr>
        <w:t>.</w:t>
      </w:r>
      <w:r>
        <w:rPr>
          <w:rFonts w:hint="eastAsia" w:ascii="方正仿宋_GBK" w:hAnsi="宋体" w:eastAsia="方正仿宋_GBK"/>
          <w:color w:val="FF0000"/>
          <w:sz w:val="24"/>
          <w:szCs w:val="24"/>
          <w:highlight w:val="none"/>
        </w:rPr>
        <w:t>价格调整方式</w:t>
      </w:r>
    </w:p>
    <w:p w14:paraId="1A62E232">
      <w:pPr>
        <w:snapToGrid w:val="0"/>
        <w:spacing w:line="276" w:lineRule="auto"/>
        <w:ind w:left="140" w:leftChars="50" w:firstLine="360" w:firstLineChars="150"/>
        <w:rPr>
          <w:rFonts w:ascii="方正仿宋_GBK" w:hAnsi="宋体" w:eastAsia="方正仿宋_GBK"/>
          <w:color w:val="FF0000"/>
          <w:sz w:val="24"/>
          <w:szCs w:val="24"/>
          <w:highlight w:val="none"/>
        </w:rPr>
      </w:pPr>
      <w:r>
        <w:rPr>
          <w:rFonts w:hint="eastAsia" w:ascii="方正仿宋_GBK" w:hAnsi="宋体" w:eastAsia="方正仿宋_GBK"/>
          <w:color w:val="FF0000"/>
          <w:sz w:val="24"/>
          <w:szCs w:val="24"/>
          <w:highlight w:val="none"/>
        </w:rPr>
        <w:t>该项目价格每月调整一次，</w:t>
      </w:r>
      <w:r>
        <w:rPr>
          <w:rFonts w:hint="eastAsia" w:ascii="方正仿宋_GBK" w:hAnsi="宋体" w:eastAsia="方正仿宋_GBK"/>
          <w:color w:val="FF0000"/>
          <w:sz w:val="24"/>
          <w:szCs w:val="24"/>
          <w:highlight w:val="none"/>
          <w:lang w:val="en-US" w:eastAsia="zh-CN"/>
        </w:rPr>
        <w:t>初次供货之日起1个月内价格不变，从第2个月进行调价。若月环比涨跌幅度达到5%（不含5%）以上时，双方对第2个月超过或低于5%的部分进行调价管后执行，5%（含）以内的则不予调价，以后月份以此类推（环比期数以采购人账期内实际期数为准）。食用油类月环比涨跌数据以重庆市农业农村委员会（http://nyncw.cq.gov.cn）发布的“重庆农产品及农资价格周报”中色拉油和菜籽油周报数据为计算依据</w:t>
      </w:r>
      <w:r>
        <w:rPr>
          <w:rFonts w:hint="eastAsia" w:ascii="方正仿宋_GBK" w:hAnsi="宋体" w:eastAsia="方正仿宋_GBK"/>
          <w:color w:val="FF0000"/>
          <w:sz w:val="24"/>
          <w:szCs w:val="24"/>
          <w:highlight w:val="none"/>
        </w:rPr>
        <w:t>。</w:t>
      </w:r>
    </w:p>
    <w:p w14:paraId="5E8C6544">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rPr>
        <w:t>调价计算示例：</w:t>
      </w:r>
    </w:p>
    <w:p w14:paraId="4B15B805">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如重庆市农委网站公布的某月各周色拉油环比数据分别为+3.87%、+4.94%、+5.91%、+5.86%，则当月环比涨幅为（1+3.87%）×（1+4.94%）×（1+5.91%）×（1+5.86%）-1=22.21%＞5%，乙方当月色拉油实际结算单价=结算基价×[1+(22.21%-5%)]；</w:t>
      </w:r>
    </w:p>
    <w:p w14:paraId="1B417B40">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如重庆市农委网站公布的某月各周环比数据分别为+3.87%、-4.94%、-3.61%、-2.78%，则当月环比跌幅为（1+3.87%）×（1-4.94%）×（1-3.61%）×（1-2.78%）-1=-7.47%＜-5%，乙方当月色拉油实际结算单价=结算基价×[1-(7.47%-5%)]。</w:t>
      </w:r>
    </w:p>
    <w:p w14:paraId="3A21FB26">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合同期内需方保留执行更科学、合理定价机制的权利。如遇政策变化，按照新的定价机制调整执行。</w:t>
      </w:r>
    </w:p>
    <w:p w14:paraId="44ACC3C9">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rPr>
        <w:t>分歧处理</w:t>
      </w:r>
    </w:p>
    <w:p w14:paraId="32DFCDD6">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无论需方还是中标人提出价格调整要求的，双方均应按上述价格调整机制重新确定新的供货价格。若中标人不遵守上述调价基础约定，拖延时间导致需方生产保障受影响的，需方有权全额扣除其履约保证金并终止合同。</w:t>
      </w:r>
    </w:p>
    <w:p w14:paraId="4EE86016">
      <w:pPr>
        <w:snapToGrid w:val="0"/>
        <w:spacing w:line="276" w:lineRule="auto"/>
        <w:ind w:firstLine="482" w:firstLineChars="20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（三）包3</w:t>
      </w:r>
    </w:p>
    <w:p w14:paraId="43BB018F">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val="en-US" w:eastAsia="zh-CN"/>
        </w:rPr>
        <w:t>首次供货价格为供货当日（最新一期）重庆市农业农村委员会官网（</w:t>
      </w:r>
      <w:r>
        <w:rPr>
          <w:rFonts w:hint="eastAsia" w:ascii="方正仿宋_GBK" w:hAnsi="宋体" w:eastAsia="方正仿宋_GBK"/>
          <w:color w:val="auto"/>
          <w:sz w:val="24"/>
          <w:szCs w:val="24"/>
          <w:highlight w:val="none"/>
          <w:lang w:val="en-US" w:eastAsia="zh-CN"/>
        </w:rPr>
        <w:fldChar w:fldCharType="begin"/>
      </w:r>
      <w:r>
        <w:rPr>
          <w:rFonts w:hint="eastAsia" w:ascii="方正仿宋_GBK" w:hAnsi="宋体" w:eastAsia="方正仿宋_GBK"/>
          <w:color w:val="auto"/>
          <w:sz w:val="24"/>
          <w:szCs w:val="24"/>
          <w:highlight w:val="none"/>
          <w:lang w:val="en-US" w:eastAsia="zh-CN"/>
        </w:rPr>
        <w:instrText xml:space="preserve"> HYPERLINK "http://www.cqnync.cn/marketsta" </w:instrText>
      </w:r>
      <w:r>
        <w:rPr>
          <w:rFonts w:hint="eastAsia" w:ascii="方正仿宋_GBK" w:hAnsi="宋体" w:eastAsia="方正仿宋_GBK"/>
          <w:color w:val="auto"/>
          <w:sz w:val="24"/>
          <w:szCs w:val="24"/>
          <w:highlight w:val="none"/>
          <w:lang w:val="en-US" w:eastAsia="zh-CN"/>
        </w:rPr>
        <w:fldChar w:fldCharType="separate"/>
      </w:r>
      <w:r>
        <w:rPr>
          <w:rFonts w:hint="eastAsia" w:ascii="方正仿宋_GBK" w:hAnsi="宋体" w:eastAsia="方正仿宋_GBK"/>
          <w:color w:val="auto"/>
          <w:sz w:val="24"/>
          <w:szCs w:val="24"/>
          <w:highlight w:val="none"/>
          <w:lang w:val="en-US" w:eastAsia="zh-CN"/>
        </w:rPr>
        <w:t>http://www.cqnync.cn/marketsta</w:t>
      </w:r>
      <w:r>
        <w:rPr>
          <w:rFonts w:hint="eastAsia" w:ascii="方正仿宋_GBK" w:hAnsi="宋体" w:eastAsia="方正仿宋_GBK"/>
          <w:color w:val="auto"/>
          <w:sz w:val="24"/>
          <w:szCs w:val="24"/>
          <w:highlight w:val="none"/>
          <w:lang w:val="en-US" w:eastAsia="zh-CN"/>
        </w:rPr>
        <w:fldChar w:fldCharType="end"/>
      </w:r>
      <w:r>
        <w:rPr>
          <w:rFonts w:hint="eastAsia" w:ascii="方正仿宋_GBK" w:hAnsi="宋体" w:eastAsia="方正仿宋_GBK"/>
          <w:color w:val="auto"/>
          <w:sz w:val="24"/>
          <w:szCs w:val="24"/>
          <w:highlight w:val="none"/>
          <w:lang w:val="en-US" w:eastAsia="zh-CN"/>
        </w:rPr>
        <w:t>）农产品市场重庆农投肉食品猪肉系列批发价乘以中标折扣系数</w:t>
      </w:r>
      <w:r>
        <w:rPr>
          <w:rFonts w:hint="eastAsia" w:ascii="方正仿宋_GBK" w:hAnsi="宋体" w:eastAsia="方正仿宋_GBK"/>
          <w:color w:val="auto"/>
          <w:sz w:val="24"/>
          <w:szCs w:val="24"/>
          <w:highlight w:val="none"/>
        </w:rPr>
        <w:t>。</w:t>
      </w:r>
    </w:p>
    <w:p w14:paraId="7837B56B">
      <w:pPr>
        <w:snapToGrid w:val="0"/>
        <w:spacing w:line="276" w:lineRule="auto"/>
        <w:ind w:left="140" w:leftChars="50" w:firstLine="360" w:firstLineChars="150"/>
        <w:rPr>
          <w:rFonts w:ascii="方正仿宋_GBK" w:hAnsi="宋体" w:eastAsia="方正仿宋_GBK"/>
          <w:color w:val="FF0000"/>
          <w:sz w:val="24"/>
          <w:szCs w:val="24"/>
          <w:highlight w:val="none"/>
        </w:rPr>
      </w:pPr>
      <w:r>
        <w:rPr>
          <w:rFonts w:hint="eastAsia" w:ascii="方正仿宋_GBK" w:hAnsi="宋体" w:eastAsia="方正仿宋_GBK"/>
          <w:color w:val="FF0000"/>
          <w:sz w:val="24"/>
          <w:szCs w:val="24"/>
          <w:highlight w:val="none"/>
        </w:rPr>
        <w:t>2</w:t>
      </w:r>
      <w:r>
        <w:rPr>
          <w:rFonts w:ascii="方正仿宋_GBK" w:hAnsi="宋体" w:eastAsia="方正仿宋_GBK"/>
          <w:color w:val="FF0000"/>
          <w:sz w:val="24"/>
          <w:szCs w:val="24"/>
          <w:highlight w:val="none"/>
        </w:rPr>
        <w:t>.</w:t>
      </w:r>
      <w:r>
        <w:rPr>
          <w:rFonts w:hint="eastAsia" w:ascii="方正仿宋_GBK" w:hAnsi="宋体" w:eastAsia="方正仿宋_GBK"/>
          <w:color w:val="FF0000"/>
          <w:sz w:val="24"/>
          <w:szCs w:val="24"/>
          <w:highlight w:val="none"/>
        </w:rPr>
        <w:t>价格调整方式</w:t>
      </w:r>
    </w:p>
    <w:p w14:paraId="0C37CE59">
      <w:pPr>
        <w:snapToGrid w:val="0"/>
        <w:spacing w:line="276" w:lineRule="auto"/>
        <w:ind w:left="140" w:leftChars="50" w:firstLine="360" w:firstLineChars="150"/>
        <w:rPr>
          <w:rFonts w:ascii="方正仿宋_GBK" w:hAnsi="宋体" w:eastAsia="方正仿宋_GBK"/>
          <w:color w:val="FF0000"/>
          <w:sz w:val="24"/>
          <w:szCs w:val="24"/>
          <w:highlight w:val="none"/>
        </w:rPr>
      </w:pPr>
      <w:r>
        <w:rPr>
          <w:rFonts w:hint="eastAsia" w:ascii="方正仿宋_GBK" w:hAnsi="宋体" w:eastAsia="方正仿宋_GBK"/>
          <w:color w:val="FF0000"/>
          <w:sz w:val="24"/>
          <w:szCs w:val="24"/>
          <w:highlight w:val="none"/>
        </w:rPr>
        <w:t>该项目价格每月调价一次，</w:t>
      </w:r>
      <w:r>
        <w:rPr>
          <w:rFonts w:hint="eastAsia" w:ascii="方正仿宋_GBK" w:hAnsi="宋体" w:eastAsia="方正仿宋_GBK"/>
          <w:color w:val="FF0000"/>
          <w:sz w:val="24"/>
          <w:szCs w:val="24"/>
          <w:highlight w:val="none"/>
          <w:lang w:val="en-US" w:eastAsia="zh-CN"/>
        </w:rPr>
        <w:t>每月调价一次，初次供货之日起1个月内价格不变，从第2个月进行调价。若月环比涨跌幅度达到5%（不含5%）以上时，双方对第2个月超过或低于5%的部分进行调价管后执行，5%（含）以内的则不予调价，以后月份以此类推（环比期数以采购人账期内实际期数为准）。白条猪月环比涨跌数据以重庆市农业农村委员会（http://nyncw.cq.gov.cn）发布的“重庆农产品及农资价格周报”中白条猪周报数据为计算依据</w:t>
      </w:r>
      <w:r>
        <w:rPr>
          <w:rFonts w:hint="eastAsia" w:ascii="方正仿宋_GBK" w:hAnsi="宋体" w:eastAsia="方正仿宋_GBK"/>
          <w:color w:val="FF0000"/>
          <w:sz w:val="24"/>
          <w:szCs w:val="24"/>
          <w:highlight w:val="none"/>
        </w:rPr>
        <w:t>。</w:t>
      </w:r>
    </w:p>
    <w:p w14:paraId="53F3E534">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rPr>
        <w:t>调价计算示例：</w:t>
      </w:r>
    </w:p>
    <w:p w14:paraId="4EACD08F">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如重庆市农委网站公布的白条猪某月各周环比数据分别为+3.87%、+4.94%、+5.91%、+5.86%，则当月环比涨幅为（1+3.87%）×（1+4.94%）×（1+5.91%）×（1+5.86%）-1=22.21%＞5%，乙方当月白条猪实际结算单价=结算基价×[1+(22.21%-5%)]；</w:t>
      </w:r>
    </w:p>
    <w:p w14:paraId="56C9E187">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如重庆市农委网站公布的某月各周环比数据分别为+3.87%、-4.94%、-3.61%、-2.78%，则当月环比跌幅为（1+3.87%）×（1-4.94%）×（1-3.61%）×（1-2.78%）-1=-7.47%＜-5%，乙方当月白条猪实际结算单价=结算基价×[1-(7.47%-5%)]。</w:t>
      </w:r>
    </w:p>
    <w:p w14:paraId="19DDE13F">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合同期内需方保留执行更科学、合理定价机制的权利。如遇政策变化，按照新的定价机制调整执行。</w:t>
      </w:r>
    </w:p>
    <w:p w14:paraId="7016E242">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rPr>
        <w:t>分歧处理</w:t>
      </w:r>
    </w:p>
    <w:p w14:paraId="38F2FCE8">
      <w:pPr>
        <w:snapToGrid w:val="0"/>
        <w:spacing w:line="276" w:lineRule="auto"/>
        <w:ind w:left="140" w:leftChars="50" w:firstLine="360" w:firstLineChars="150"/>
        <w:rPr>
          <w:rFonts w:ascii="方正仿宋_GBK" w:eastAsia="方正仿宋_GBK"/>
          <w:color w:val="auto"/>
          <w:sz w:val="24"/>
          <w:szCs w:val="24"/>
          <w:highlight w:val="none"/>
        </w:rPr>
      </w:pPr>
      <w:r>
        <w:rPr>
          <w:rFonts w:hint="eastAsia" w:ascii="方正仿宋_GBK" w:hAnsi="宋体" w:eastAsia="方正仿宋_GBK"/>
          <w:color w:val="auto"/>
          <w:sz w:val="24"/>
          <w:szCs w:val="24"/>
          <w:highlight w:val="none"/>
        </w:rPr>
        <w:t>无论需方还是中标人提出价格调整要求的，双方均应按上述价格调整机制重新确定新的供货价格。若中标人不遵守上述调价基础约定，拖延时间导致需方生产保障受影响的，需方有权全额扣除其履约保证金并终止合同</w:t>
      </w:r>
      <w:r>
        <w:rPr>
          <w:rFonts w:hint="eastAsia" w:ascii="方正仿宋_GBK" w:eastAsia="方正仿宋_GBK"/>
          <w:color w:val="auto"/>
          <w:sz w:val="24"/>
          <w:szCs w:val="24"/>
          <w:highlight w:val="none"/>
        </w:rPr>
        <w:t>。</w:t>
      </w:r>
    </w:p>
    <w:p w14:paraId="5CDD1EBB">
      <w:pPr>
        <w:pStyle w:val="5"/>
        <w:rPr>
          <w:rFonts w:ascii="方正仿宋_GBK" w:hAnsi="方正仿宋_GBK" w:eastAsia="方正仿宋_GBK" w:cs="方正仿宋_GBK"/>
          <w:b/>
          <w:color w:val="auto"/>
          <w:sz w:val="24"/>
          <w:szCs w:val="24"/>
          <w:highlight w:val="none"/>
        </w:rPr>
      </w:pPr>
      <w:bookmarkStart w:id="96" w:name="_Toc23269"/>
      <w:r>
        <w:rPr>
          <w:rFonts w:hint="eastAsia" w:ascii="方正仿宋_GBK" w:eastAsia="方正仿宋_GBK"/>
          <w:color w:val="auto"/>
          <w:sz w:val="24"/>
          <w:szCs w:val="24"/>
          <w:highlight w:val="none"/>
        </w:rPr>
        <w:t>※</w:t>
      </w:r>
      <w:r>
        <w:rPr>
          <w:rFonts w:hint="eastAsia" w:ascii="方正仿宋_GBK" w:hAnsi="方正仿宋_GBK" w:eastAsia="方正仿宋_GBK" w:cs="方正仿宋_GBK"/>
          <w:b/>
          <w:color w:val="auto"/>
          <w:sz w:val="24"/>
          <w:szCs w:val="24"/>
          <w:highlight w:val="none"/>
        </w:rPr>
        <w:t>七、违约责任</w:t>
      </w:r>
      <w:bookmarkEnd w:id="96"/>
    </w:p>
    <w:p w14:paraId="0DA6C29F">
      <w:pPr>
        <w:snapToGrid w:val="0"/>
        <w:spacing w:line="276" w:lineRule="auto"/>
        <w:ind w:left="140" w:leftChars="50" w:firstLine="360" w:firstLineChars="150"/>
        <w:rPr>
          <w:rFonts w:ascii="方正仿宋_GBK" w:hAnsi="宋体" w:eastAsia="方正仿宋_GBK"/>
          <w:color w:val="auto"/>
          <w:sz w:val="24"/>
          <w:szCs w:val="24"/>
          <w:highlight w:val="none"/>
        </w:rPr>
      </w:pPr>
      <w:bookmarkStart w:id="97" w:name="_Hlk68075709"/>
      <w:r>
        <w:rPr>
          <w:rFonts w:hint="eastAsia" w:ascii="方正仿宋_GBK" w:hAnsi="宋体" w:eastAsia="方正仿宋_GBK"/>
          <w:color w:val="auto"/>
          <w:sz w:val="24"/>
          <w:szCs w:val="24"/>
          <w:highlight w:val="none"/>
        </w:rPr>
        <w:t>（一）采购人可通过现场考察、函询等多种方式对中标人的响应文件响应情况予以核查，中标人须无条件配合并提供有关证明材料，证明其响应内容的真实有效性。合同签订前，采购人若发现中标人进行虚假响应或提供虚假材料的，有权取消中标人的中标资格，全额没收投标保证金（如有）；合同签订后，采购人若查实中标人进行虚假响应或提供虚假材料的，采购人有权单方面终止合同，全额没收履约保证金，采购人不承担任何责任。</w:t>
      </w:r>
    </w:p>
    <w:p w14:paraId="1C0D4E5A">
      <w:pPr>
        <w:snapToGrid w:val="0"/>
        <w:spacing w:line="276" w:lineRule="auto"/>
        <w:ind w:left="140" w:leftChars="50" w:firstLine="361" w:firstLineChars="15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（二）合同价款的扣除情形</w:t>
      </w:r>
    </w:p>
    <w:p w14:paraId="0E2BC8B4">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除不可抗力因素外，中标人供货不及时对采购人正常经营情况造成轻微影响的，中标人应以该批货物价款总额的50％向采购人支付赔偿金；中标人供货不及时，严重影响采购人正常经营的，采购人有权解除合同，中标人应以该批货款总额1倍向采购人支付赔偿金。</w:t>
      </w:r>
    </w:p>
    <w:p w14:paraId="5BF8D5A0">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2.中标人同一批次货物缺斤少两达到1％及其以上的，采购人扣罚中标人该批货物短缺部分的1倍货款。</w:t>
      </w:r>
    </w:p>
    <w:p w14:paraId="58796A07">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中标人同一批次货物所供质量不合格数量占该批次货物数量的1％及以上的，中标人应以该批次质量不合格货物价款的1倍向采购人支付赔偿金；在合同有效期内，上述情况连续出现三次的，采购人有权解除合同，中标人缴纳的履约保证金不予以退还。</w:t>
      </w:r>
    </w:p>
    <w:p w14:paraId="38E469DE">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4.未按时配送、擅自更改采购品种、未履行紧急配送义务等。首次违约扣除当日货款的10%；第二次违约扣除本周货款的10%；第三次违约扣除当月货款的10%并终止合同。</w:t>
      </w:r>
    </w:p>
    <w:p w14:paraId="00725A9C">
      <w:pPr>
        <w:snapToGrid w:val="0"/>
        <w:spacing w:line="276" w:lineRule="auto"/>
        <w:ind w:left="140" w:leftChars="50" w:firstLine="361" w:firstLineChars="15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（三）履约保证金全额不予退还且合同解除的情形</w:t>
      </w:r>
    </w:p>
    <w:p w14:paraId="72678FBF">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出现以下情形之一，属于严重违约情形，采购人有权解除合同，履约保证金全额不予退还，采购人有权处置所投设备。中标人承担由此造成的法律责任，以及给采购人带来的所有经济损失。</w:t>
      </w:r>
    </w:p>
    <w:p w14:paraId="474BB06C">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1.非不可抗力情况下，因中标人自身原因终止履行合同的，履约保证金全额不予退还。</w:t>
      </w:r>
    </w:p>
    <w:p w14:paraId="21BD43C7">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2.中标人</w:t>
      </w:r>
      <w:r>
        <w:rPr>
          <w:rFonts w:ascii="方正仿宋_GBK" w:hAnsi="宋体" w:eastAsia="方正仿宋_GBK"/>
          <w:color w:val="auto"/>
          <w:sz w:val="24"/>
          <w:szCs w:val="24"/>
          <w:highlight w:val="none"/>
        </w:rPr>
        <w:t>一年内累计</w:t>
      </w:r>
      <w:r>
        <w:rPr>
          <w:rFonts w:hint="eastAsia" w:ascii="方正仿宋_GBK" w:hAnsi="宋体" w:eastAsia="方正仿宋_GBK"/>
          <w:color w:val="auto"/>
          <w:sz w:val="24"/>
          <w:szCs w:val="24"/>
          <w:highlight w:val="none"/>
          <w:lang w:val="en-US" w:eastAsia="zh-CN"/>
        </w:rPr>
        <w:t>2</w:t>
      </w:r>
      <w:r>
        <w:rPr>
          <w:rFonts w:ascii="方正仿宋_GBK" w:hAnsi="宋体" w:eastAsia="方正仿宋_GBK"/>
          <w:color w:val="auto"/>
          <w:sz w:val="24"/>
          <w:szCs w:val="24"/>
          <w:highlight w:val="none"/>
        </w:rPr>
        <w:t>次</w:t>
      </w:r>
      <w:r>
        <w:rPr>
          <w:rFonts w:hint="eastAsia" w:ascii="方正仿宋_GBK" w:hAnsi="宋体" w:eastAsia="方正仿宋_GBK"/>
          <w:color w:val="auto"/>
          <w:sz w:val="24"/>
          <w:szCs w:val="24"/>
          <w:highlight w:val="none"/>
        </w:rPr>
        <w:t>季度</w:t>
      </w:r>
      <w:r>
        <w:rPr>
          <w:rFonts w:ascii="方正仿宋_GBK" w:hAnsi="宋体" w:eastAsia="方正仿宋_GBK"/>
          <w:color w:val="auto"/>
          <w:sz w:val="24"/>
          <w:szCs w:val="24"/>
          <w:highlight w:val="none"/>
        </w:rPr>
        <w:t>考核得分低于85分（不含85分）</w:t>
      </w:r>
      <w:r>
        <w:rPr>
          <w:rFonts w:hint="eastAsia" w:ascii="方正仿宋_GBK" w:hAnsi="宋体" w:eastAsia="方正仿宋_GBK"/>
          <w:color w:val="auto"/>
          <w:sz w:val="24"/>
          <w:szCs w:val="24"/>
          <w:highlight w:val="none"/>
        </w:rPr>
        <w:t>，或服务期内出现2次季度考核</w:t>
      </w:r>
      <w:r>
        <w:rPr>
          <w:rFonts w:ascii="方正仿宋_GBK" w:hAnsi="宋体" w:eastAsia="方正仿宋_GBK"/>
          <w:color w:val="auto"/>
          <w:sz w:val="24"/>
          <w:szCs w:val="24"/>
          <w:highlight w:val="none"/>
        </w:rPr>
        <w:t>得分低于85分（不含85分）</w:t>
      </w:r>
      <w:r>
        <w:rPr>
          <w:rFonts w:hint="eastAsia" w:ascii="方正仿宋_GBK" w:hAnsi="宋体" w:eastAsia="方正仿宋_GBK"/>
          <w:color w:val="auto"/>
          <w:sz w:val="24"/>
          <w:szCs w:val="24"/>
          <w:highlight w:val="none"/>
        </w:rPr>
        <w:t>的。</w:t>
      </w:r>
    </w:p>
    <w:p w14:paraId="1EB0D2D6">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3.中标人出现没有响应采购人的定期询价定价1次的。</w:t>
      </w:r>
    </w:p>
    <w:p w14:paraId="3129E404">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4.发生3次及以上因送货质量或送货时间未达到采购合同约定的。</w:t>
      </w:r>
    </w:p>
    <w:p w14:paraId="104C852E">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5.年度验收不合格的。</w:t>
      </w:r>
    </w:p>
    <w:p w14:paraId="736A4ECD">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6.中标人提供腐烂变质食品、过期食品或无《食品生产许可证》、《食品经营许可证》的企业生产加工的食品的。</w:t>
      </w:r>
    </w:p>
    <w:p w14:paraId="5D2EAF1A">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7.因中标人原因发生食物中毒等食品安全事故的。</w:t>
      </w:r>
    </w:p>
    <w:p w14:paraId="71455337">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8.擅自变更合同主体及经营管理主体，或出现包括但不限于转包、变相转包、分包、转借、转售、挂靠、合作、联合经营等情形导致损害合同主体及经营管理主体唯一性的；中标人委托任何个人或其他公司收取货款的；采购人发现非中标人送货的。</w:t>
      </w:r>
    </w:p>
    <w:p w14:paraId="1CDBE62E">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9.出现防疫、卫生等安全责任事故并造成严重影响的。</w:t>
      </w:r>
    </w:p>
    <w:p w14:paraId="6D88B4C8">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10.</w:t>
      </w:r>
      <w:r>
        <w:rPr>
          <w:rFonts w:hint="eastAsia" w:ascii="方正仿宋_GBK" w:hAnsi="宋体" w:eastAsia="方正仿宋_GBK" w:cs="宋体"/>
          <w:color w:val="auto"/>
          <w:kern w:val="0"/>
          <w:sz w:val="24"/>
          <w:szCs w:val="24"/>
          <w:highlight w:val="none"/>
        </w:rPr>
        <w:t>中标人在合同履约过程中有违约行为导致出现安全责任事故并造成严重影响的，或出现重大负面舆情给采购人声誉造成严重负面影响的，或严重影响采购人正常教学、生活秩序的</w:t>
      </w:r>
      <w:r>
        <w:rPr>
          <w:rFonts w:hint="eastAsia" w:ascii="方正仿宋_GBK" w:hAnsi="宋体" w:eastAsia="方正仿宋_GBK"/>
          <w:color w:val="auto"/>
          <w:sz w:val="24"/>
          <w:szCs w:val="24"/>
          <w:highlight w:val="none"/>
        </w:rPr>
        <w:t>。</w:t>
      </w:r>
    </w:p>
    <w:p w14:paraId="7616A7C6">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11.违反食品安全法相关法律法规被行政机关处罚的。</w:t>
      </w:r>
    </w:p>
    <w:p w14:paraId="1BC1C7B6">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12.因食材质量、供应服务等方面等未达到采购人要求而被中止服务或取消服务资格或公开挂网披露的。</w:t>
      </w:r>
    </w:p>
    <w:p w14:paraId="19E99AD1">
      <w:pPr>
        <w:snapToGrid w:val="0"/>
        <w:spacing w:line="276" w:lineRule="auto"/>
        <w:ind w:firstLine="501" w:firstLineChars="208"/>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（四）履约保证金部分不予退还的情形</w:t>
      </w:r>
    </w:p>
    <w:p w14:paraId="51AB6DF9">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若中标人发生部分违约现象，采购人从履约保证金中扣除相应金额的违约金；若发现严重违约现象，采购人有充分理由没收其全额保证金。</w:t>
      </w:r>
    </w:p>
    <w:p w14:paraId="380946E9">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1.中标人出现季度</w:t>
      </w:r>
      <w:r>
        <w:rPr>
          <w:rFonts w:ascii="方正仿宋_GBK" w:hAnsi="宋体" w:eastAsia="方正仿宋_GBK"/>
          <w:color w:val="auto"/>
          <w:sz w:val="24"/>
          <w:szCs w:val="24"/>
          <w:highlight w:val="none"/>
        </w:rPr>
        <w:t>考核得分低于85分（不含85分）</w:t>
      </w:r>
      <w:r>
        <w:rPr>
          <w:rFonts w:hint="eastAsia" w:ascii="方正仿宋_GBK" w:hAnsi="宋体" w:eastAsia="方正仿宋_GBK"/>
          <w:color w:val="auto"/>
          <w:sz w:val="24"/>
          <w:szCs w:val="24"/>
          <w:highlight w:val="none"/>
        </w:rPr>
        <w:t>的，单次扣罚履约保证金5000元。</w:t>
      </w:r>
    </w:p>
    <w:p w14:paraId="6AED706E">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2.因送货质量未达到采购合同约定的，单次扣罚履约保证金1000元。</w:t>
      </w:r>
    </w:p>
    <w:p w14:paraId="487EB8EE">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3.中标人送货时间未达到采购合同规定的，单次扣罚履约保证金1000元。</w:t>
      </w:r>
    </w:p>
    <w:p w14:paraId="77A52978">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4.非不可抗力情况下，因中标人自身原因，超过合同交货期限仍未送货达到验收要求的，超期1天，采购人扣除中标人履约保证金的3%作为违约惩罚，以此类推。</w:t>
      </w:r>
    </w:p>
    <w:p w14:paraId="3E615D3F">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因不可抗力，或采购人自身原因，致使交货期限延后的，中标人不承担相应违约责任。但中标人须提供采购人需求部门出具的同意延迟交货以及确定延迟交货期的书面情况说明，采购人需求部门负责人签字并加盖部门公章。</w:t>
      </w:r>
    </w:p>
    <w:p w14:paraId="7F699C5F">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6.漏送货在不影响开餐的情况下，首次违约扣除当日货款的10%；第二次违约扣除本周货款的10%；第三次违约扣除当月货款的10%</w:t>
      </w:r>
    </w:p>
    <w:p w14:paraId="135962C4">
      <w:pPr>
        <w:snapToGrid w:val="0"/>
        <w:spacing w:line="276" w:lineRule="auto"/>
        <w:ind w:firstLine="499" w:firstLineChars="208"/>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7.违反需方管理规定或造成不良影响等情况一次扣500元。</w:t>
      </w:r>
    </w:p>
    <w:p w14:paraId="786E1EF4">
      <w:pPr>
        <w:snapToGrid w:val="0"/>
        <w:spacing w:line="276" w:lineRule="auto"/>
        <w:ind w:left="140" w:leftChars="50" w:firstLine="360" w:firstLineChars="150"/>
        <w:rPr>
          <w:rFonts w:ascii="方正仿宋_GBK" w:hAnsi="宋体" w:eastAsia="方正仿宋_GBK" w:cs="宋体"/>
          <w:color w:val="auto"/>
          <w:kern w:val="0"/>
          <w:sz w:val="24"/>
          <w:szCs w:val="24"/>
          <w:highlight w:val="none"/>
        </w:rPr>
      </w:pPr>
      <w:r>
        <w:rPr>
          <w:rFonts w:hint="eastAsia" w:ascii="方正仿宋_GBK" w:hAnsi="宋体" w:eastAsia="方正仿宋_GBK"/>
          <w:color w:val="auto"/>
          <w:sz w:val="24"/>
          <w:szCs w:val="24"/>
          <w:highlight w:val="none"/>
        </w:rPr>
        <w:t>（五）其他履约保证金扣罚事宜按“八、考核要求及具体考核细则”执行。</w:t>
      </w:r>
    </w:p>
    <w:p w14:paraId="5E60A42B">
      <w:pPr>
        <w:spacing w:line="400" w:lineRule="exact"/>
        <w:ind w:firstLine="480" w:firstLineChars="200"/>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（六）</w:t>
      </w:r>
      <w:r>
        <w:rPr>
          <w:rFonts w:hint="eastAsia" w:ascii="方正仿宋_GBK" w:hAnsi="宋体" w:eastAsia="方正仿宋_GBK"/>
          <w:color w:val="auto"/>
          <w:sz w:val="24"/>
          <w:szCs w:val="24"/>
          <w:highlight w:val="none"/>
        </w:rPr>
        <w:t>若中标人在投标过程中有虚假响应或合同履约过程中有违约行为的，或正式验收或使用过程中，若经采购人或第三方检测机构验证不合格，采购人立即封存报经市场监管、卫生健康、财政等相关部门依照招标文件、采购合同及相关的法律法规进行质量监测认证后，由中标人承担一切民事赔偿、行政处罚和刑事责任，采购人有权单方解除合同并要求中标人赔偿所造成的所有损失，履约保证金全额不予退还，同时列入采购人黑名单，若造成刑事责任，移送司法机关处理</w:t>
      </w:r>
      <w:r>
        <w:rPr>
          <w:rFonts w:hint="eastAsia" w:ascii="方正仿宋_GBK" w:hAnsi="宋体" w:eastAsia="方正仿宋_GBK" w:cs="宋体"/>
          <w:color w:val="auto"/>
          <w:kern w:val="0"/>
          <w:sz w:val="24"/>
          <w:szCs w:val="24"/>
          <w:highlight w:val="none"/>
        </w:rPr>
        <w:t>。</w:t>
      </w:r>
    </w:p>
    <w:p w14:paraId="796C7A61">
      <w:pPr>
        <w:spacing w:line="400" w:lineRule="exact"/>
        <w:ind w:firstLine="604" w:firstLineChars="252"/>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七）供应商有下列情形之一的，列入采购人采招供应商黑名单，采购人视情况禁止供应商及关联关系方（指单位负责人为同一人或存在直接控股、关联关系的不同供应商）6个月至3年内参加采购人采招项目投标。</w:t>
      </w:r>
    </w:p>
    <w:p w14:paraId="006341F8">
      <w:pPr>
        <w:spacing w:line="400" w:lineRule="exact"/>
        <w:ind w:firstLine="604" w:firstLineChars="252"/>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1.投标人在投标过程中有虚假投标、围标、串标行为的。</w:t>
      </w:r>
    </w:p>
    <w:p w14:paraId="1D9BA2E4">
      <w:pPr>
        <w:spacing w:line="400" w:lineRule="exact"/>
        <w:ind w:firstLine="604" w:firstLineChars="252"/>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2.不按规定提交履约保证金。</w:t>
      </w:r>
    </w:p>
    <w:p w14:paraId="08080041">
      <w:pPr>
        <w:spacing w:line="400" w:lineRule="exact"/>
        <w:ind w:firstLine="604" w:firstLineChars="252"/>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3.非不可抗力原因，中标人无故放弃项目中标资格的、或不与采购人签订合同的、或合同签订后拒绝履行合同义务的。</w:t>
      </w:r>
    </w:p>
    <w:p w14:paraId="03258696">
      <w:pPr>
        <w:spacing w:line="400" w:lineRule="exact"/>
        <w:ind w:firstLine="604" w:firstLineChars="252"/>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4.中标人在合同履约过程中有违约行为，整改后再次违约的。</w:t>
      </w:r>
    </w:p>
    <w:p w14:paraId="4A76647E">
      <w:pPr>
        <w:spacing w:line="400" w:lineRule="exact"/>
        <w:ind w:firstLine="604" w:firstLineChars="252"/>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5.中标人因自身原因未按合同约定完成送货、安装调试达到验收要求，给采购人造成负面影响的。</w:t>
      </w:r>
    </w:p>
    <w:p w14:paraId="43A53B58">
      <w:pPr>
        <w:spacing w:line="400" w:lineRule="exact"/>
        <w:ind w:firstLine="604" w:firstLineChars="252"/>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6.其他违反采购与招投标法律法规和采购人规章制度的。</w:t>
      </w:r>
    </w:p>
    <w:p w14:paraId="6DB4E674">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（八）其他未尽事宜按《中华人民共和国民法典》、《政府采购法》执行。</w:t>
      </w:r>
    </w:p>
    <w:p w14:paraId="4F39FEBC">
      <w:pPr>
        <w:pStyle w:val="5"/>
        <w:spacing w:line="400" w:lineRule="exact"/>
        <w:rPr>
          <w:rFonts w:ascii="方正仿宋_GBK" w:eastAsia="方正仿宋_GBK"/>
          <w:b/>
          <w:color w:val="auto"/>
          <w:sz w:val="24"/>
          <w:highlight w:val="none"/>
        </w:rPr>
      </w:pPr>
      <w:bookmarkStart w:id="98" w:name="_Toc3999"/>
      <w:r>
        <w:rPr>
          <w:rFonts w:hint="eastAsia" w:ascii="方正仿宋_GBK" w:eastAsia="方正仿宋_GBK"/>
          <w:b/>
          <w:bCs/>
          <w:color w:val="auto"/>
          <w:sz w:val="24"/>
          <w:szCs w:val="24"/>
          <w:highlight w:val="none"/>
        </w:rPr>
        <w:t>※八</w:t>
      </w:r>
      <w:r>
        <w:rPr>
          <w:rFonts w:hint="eastAsia" w:ascii="方正仿宋_GBK" w:eastAsia="方正仿宋_GBK"/>
          <w:color w:val="auto"/>
          <w:sz w:val="24"/>
          <w:szCs w:val="24"/>
          <w:highlight w:val="none"/>
        </w:rPr>
        <w:t>、</w:t>
      </w:r>
      <w:r>
        <w:rPr>
          <w:rFonts w:hint="eastAsia" w:ascii="方正仿宋_GBK" w:eastAsia="方正仿宋_GBK"/>
          <w:b/>
          <w:color w:val="auto"/>
          <w:sz w:val="24"/>
          <w:highlight w:val="none"/>
        </w:rPr>
        <w:t>考核要求及具体考核细则</w:t>
      </w:r>
      <w:bookmarkEnd w:id="98"/>
    </w:p>
    <w:p w14:paraId="00BF5DEC">
      <w:pPr>
        <w:snapToGrid w:val="0"/>
        <w:spacing w:line="400" w:lineRule="exact"/>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（一）考核要求</w:t>
      </w:r>
    </w:p>
    <w:p w14:paraId="3075D1C1">
      <w:pPr>
        <w:snapToGrid w:val="0"/>
        <w:spacing w:line="400" w:lineRule="exact"/>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1.以季度为单位进行考核，考核基准分为100分，95分（含95分）以上为“合格”等级（小数点后数字四舍五入,下同）；</w:t>
      </w:r>
    </w:p>
    <w:p w14:paraId="4CCCA911">
      <w:pPr>
        <w:snapToGrid w:val="0"/>
        <w:spacing w:line="400" w:lineRule="exact"/>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2.达到90分（含90分）以上且低于95分（不含95分）的为“基本合格”等级；</w:t>
      </w:r>
    </w:p>
    <w:p w14:paraId="60B93F03">
      <w:pPr>
        <w:snapToGrid w:val="0"/>
        <w:spacing w:line="400" w:lineRule="exact"/>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3.达到85分（含85分）以上且低于90分（不含90分）的为“较差”等级，以90分为基准分值，差1分从</w:t>
      </w:r>
      <w:r>
        <w:rPr>
          <w:rFonts w:hint="eastAsia" w:ascii="方正仿宋_GBK" w:hAnsi="宋体" w:eastAsia="方正仿宋_GBK"/>
          <w:color w:val="auto"/>
          <w:sz w:val="24"/>
          <w:szCs w:val="24"/>
          <w:highlight w:val="none"/>
        </w:rPr>
        <w:t>履约保证金</w:t>
      </w:r>
      <w:r>
        <w:rPr>
          <w:rFonts w:ascii="方正仿宋_GBK" w:hAnsi="宋体" w:eastAsia="方正仿宋_GBK"/>
          <w:color w:val="auto"/>
          <w:sz w:val="24"/>
          <w:szCs w:val="24"/>
          <w:highlight w:val="none"/>
        </w:rPr>
        <w:t>中直接扣除1000元；</w:t>
      </w:r>
    </w:p>
    <w:p w14:paraId="35E50E7E">
      <w:pPr>
        <w:snapToGrid w:val="0"/>
        <w:spacing w:line="400" w:lineRule="exact"/>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4.低于85分（不含85分）为“差”等级，以90分为基准分值，差1分从</w:t>
      </w:r>
      <w:r>
        <w:rPr>
          <w:rFonts w:hint="eastAsia" w:ascii="方正仿宋_GBK" w:hAnsi="宋体" w:eastAsia="方正仿宋_GBK"/>
          <w:color w:val="auto"/>
          <w:sz w:val="24"/>
          <w:szCs w:val="24"/>
          <w:highlight w:val="none"/>
        </w:rPr>
        <w:t>履约保证金</w:t>
      </w:r>
      <w:r>
        <w:rPr>
          <w:rFonts w:ascii="方正仿宋_GBK" w:hAnsi="宋体" w:eastAsia="方正仿宋_GBK"/>
          <w:color w:val="auto"/>
          <w:sz w:val="24"/>
          <w:szCs w:val="24"/>
          <w:highlight w:val="none"/>
        </w:rPr>
        <w:t>中直接扣除1000元；</w:t>
      </w:r>
    </w:p>
    <w:p w14:paraId="61BBF27A">
      <w:pPr>
        <w:snapToGrid w:val="0"/>
        <w:spacing w:line="400" w:lineRule="exact"/>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5.一年内累计</w:t>
      </w:r>
      <w:r>
        <w:rPr>
          <w:rFonts w:hint="eastAsia" w:ascii="方正仿宋_GBK" w:hAnsi="宋体" w:eastAsia="方正仿宋_GBK"/>
          <w:color w:val="auto"/>
          <w:sz w:val="24"/>
          <w:szCs w:val="24"/>
          <w:highlight w:val="none"/>
          <w:lang w:val="en-US" w:eastAsia="zh-CN"/>
        </w:rPr>
        <w:t>2</w:t>
      </w:r>
      <w:r>
        <w:rPr>
          <w:rFonts w:ascii="方正仿宋_GBK" w:hAnsi="宋体" w:eastAsia="方正仿宋_GBK"/>
          <w:color w:val="auto"/>
          <w:sz w:val="24"/>
          <w:szCs w:val="24"/>
          <w:highlight w:val="none"/>
        </w:rPr>
        <w:t>次考核得分低于85分（不含85分），</w:t>
      </w:r>
      <w:r>
        <w:rPr>
          <w:rFonts w:hint="eastAsia" w:ascii="方正仿宋_GBK" w:hAnsi="宋体" w:eastAsia="方正仿宋_GBK"/>
          <w:color w:val="auto"/>
          <w:sz w:val="24"/>
          <w:szCs w:val="24"/>
          <w:highlight w:val="none"/>
        </w:rPr>
        <w:t>或服务期内出现2次季度</w:t>
      </w:r>
      <w:r>
        <w:rPr>
          <w:rFonts w:ascii="方正仿宋_GBK" w:hAnsi="宋体" w:eastAsia="方正仿宋_GBK"/>
          <w:color w:val="auto"/>
          <w:sz w:val="24"/>
          <w:szCs w:val="24"/>
          <w:highlight w:val="none"/>
        </w:rPr>
        <w:t>考核得分低于85分（不含85分）</w:t>
      </w:r>
      <w:r>
        <w:rPr>
          <w:rFonts w:hint="eastAsia" w:ascii="方正仿宋_GBK" w:hAnsi="宋体" w:eastAsia="方正仿宋_GBK"/>
          <w:color w:val="auto"/>
          <w:sz w:val="24"/>
          <w:szCs w:val="24"/>
          <w:highlight w:val="none"/>
        </w:rPr>
        <w:t>的，</w:t>
      </w:r>
      <w:r>
        <w:rPr>
          <w:rFonts w:ascii="方正仿宋_GBK" w:hAnsi="宋体" w:eastAsia="方正仿宋_GBK"/>
          <w:color w:val="auto"/>
          <w:sz w:val="24"/>
          <w:szCs w:val="24"/>
          <w:highlight w:val="none"/>
        </w:rPr>
        <w:t>采购人有权终止合同并</w:t>
      </w:r>
      <w:r>
        <w:rPr>
          <w:rFonts w:hint="eastAsia" w:ascii="方正仿宋_GBK" w:hAnsi="宋体" w:eastAsia="方正仿宋_GBK"/>
          <w:color w:val="auto"/>
          <w:sz w:val="24"/>
          <w:szCs w:val="24"/>
          <w:highlight w:val="none"/>
        </w:rPr>
        <w:t>全额</w:t>
      </w:r>
      <w:r>
        <w:rPr>
          <w:rFonts w:ascii="方正仿宋_GBK" w:hAnsi="宋体" w:eastAsia="方正仿宋_GBK"/>
          <w:color w:val="auto"/>
          <w:sz w:val="24"/>
          <w:szCs w:val="24"/>
          <w:highlight w:val="none"/>
        </w:rPr>
        <w:t>扣除</w:t>
      </w:r>
      <w:r>
        <w:rPr>
          <w:rFonts w:hint="eastAsia" w:ascii="方正仿宋_GBK" w:hAnsi="宋体" w:eastAsia="方正仿宋_GBK"/>
          <w:color w:val="auto"/>
          <w:sz w:val="24"/>
          <w:szCs w:val="24"/>
          <w:highlight w:val="none"/>
        </w:rPr>
        <w:t>履约</w:t>
      </w:r>
      <w:r>
        <w:rPr>
          <w:rFonts w:ascii="方正仿宋_GBK" w:hAnsi="宋体" w:eastAsia="方正仿宋_GBK"/>
          <w:color w:val="auto"/>
          <w:sz w:val="24"/>
          <w:szCs w:val="24"/>
          <w:highlight w:val="none"/>
        </w:rPr>
        <w:t>保证金。</w:t>
      </w:r>
    </w:p>
    <w:p w14:paraId="7E0C1C6C">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6.考核由采购人后勤处执行。</w:t>
      </w:r>
      <w:bookmarkEnd w:id="97"/>
    </w:p>
    <w:p w14:paraId="31AB4C27">
      <w:pPr>
        <w:adjustRightInd w:val="0"/>
        <w:snapToGrid w:val="0"/>
        <w:spacing w:line="240" w:lineRule="atLeast"/>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rPr>
        <w:t>二</w:t>
      </w:r>
      <w:r>
        <w:rPr>
          <w:rFonts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rPr>
        <w:t>包1</w:t>
      </w:r>
      <w:r>
        <w:rPr>
          <w:rFonts w:ascii="方正仿宋_GBK" w:hAnsi="宋体" w:eastAsia="方正仿宋_GBK"/>
          <w:color w:val="auto"/>
          <w:sz w:val="24"/>
          <w:szCs w:val="24"/>
          <w:highlight w:val="none"/>
        </w:rPr>
        <w:t>具体考核细则如下：</w:t>
      </w:r>
    </w:p>
    <w:tbl>
      <w:tblPr>
        <w:tblStyle w:val="20"/>
        <w:tblW w:w="9112"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925"/>
        <w:gridCol w:w="6250"/>
      </w:tblGrid>
      <w:tr w14:paraId="21A1B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7" w:type="dxa"/>
            <w:vAlign w:val="center"/>
          </w:tcPr>
          <w:p w14:paraId="4CB96B65">
            <w:pPr>
              <w:snapToGrid w:val="0"/>
              <w:spacing w:line="400" w:lineRule="exact"/>
              <w:jc w:val="center"/>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项目</w:t>
            </w:r>
          </w:p>
        </w:tc>
        <w:tc>
          <w:tcPr>
            <w:tcW w:w="1925" w:type="dxa"/>
            <w:vAlign w:val="center"/>
          </w:tcPr>
          <w:p w14:paraId="0471AB7E">
            <w:pPr>
              <w:snapToGrid w:val="0"/>
              <w:spacing w:line="400" w:lineRule="exact"/>
              <w:jc w:val="center"/>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考核指标</w:t>
            </w:r>
          </w:p>
        </w:tc>
        <w:tc>
          <w:tcPr>
            <w:tcW w:w="6250" w:type="dxa"/>
            <w:vAlign w:val="center"/>
          </w:tcPr>
          <w:p w14:paraId="2BAD8C29">
            <w:pPr>
              <w:snapToGrid w:val="0"/>
              <w:spacing w:line="400" w:lineRule="exact"/>
              <w:jc w:val="center"/>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考核说明</w:t>
            </w:r>
          </w:p>
        </w:tc>
      </w:tr>
      <w:tr w14:paraId="1A9E1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7" w:type="dxa"/>
            <w:vMerge w:val="restart"/>
            <w:vAlign w:val="center"/>
          </w:tcPr>
          <w:p w14:paraId="14EA4173">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货物质量</w:t>
            </w:r>
          </w:p>
        </w:tc>
        <w:tc>
          <w:tcPr>
            <w:tcW w:w="1925" w:type="dxa"/>
            <w:vAlign w:val="center"/>
          </w:tcPr>
          <w:p w14:paraId="5A2E0AB9">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配送货物</w:t>
            </w:r>
            <w:r>
              <w:rPr>
                <w:rFonts w:hint="eastAsia" w:ascii="方正仿宋_GBK" w:hAnsi="方正仿宋_GBK" w:eastAsia="方正仿宋_GBK" w:cs="方正仿宋_GBK"/>
                <w:color w:val="auto"/>
                <w:sz w:val="24"/>
                <w:szCs w:val="24"/>
                <w:highlight w:val="none"/>
              </w:rPr>
              <w:t>品质</w:t>
            </w:r>
            <w:r>
              <w:rPr>
                <w:rFonts w:hint="eastAsia" w:ascii="方正仿宋_GBK" w:hAnsi="宋体" w:eastAsia="方正仿宋_GBK"/>
                <w:color w:val="auto"/>
                <w:sz w:val="24"/>
                <w:szCs w:val="24"/>
                <w:highlight w:val="none"/>
              </w:rPr>
              <w:t>合格</w:t>
            </w:r>
          </w:p>
        </w:tc>
        <w:tc>
          <w:tcPr>
            <w:tcW w:w="6250" w:type="dxa"/>
            <w:vAlign w:val="center"/>
          </w:tcPr>
          <w:p w14:paraId="4FF13243">
            <w:pPr>
              <w:snapToGrid w:val="0"/>
              <w:spacing w:line="400" w:lineRule="exact"/>
              <w:jc w:val="left"/>
              <w:rPr>
                <w:rFonts w:ascii="仿宋_GB2312" w:hAnsi="仿宋" w:eastAsia="仿宋_GB2312" w:cs="宋体"/>
                <w:color w:val="auto"/>
                <w:kern w:val="0"/>
                <w:sz w:val="24"/>
                <w:szCs w:val="24"/>
                <w:highlight w:val="none"/>
              </w:rPr>
            </w:pPr>
            <w:r>
              <w:rPr>
                <w:rFonts w:hint="eastAsia" w:ascii="方正仿宋_GBK" w:hAnsi="方正仿宋_GBK" w:eastAsia="方正仿宋_GBK" w:cs="方正仿宋_GBK"/>
                <w:color w:val="auto"/>
                <w:sz w:val="24"/>
                <w:szCs w:val="24"/>
                <w:highlight w:val="none"/>
              </w:rPr>
              <w:t>物资送达时，包装破损、泄漏、外观不清楚、不规范等问题，每发现一次扣3分</w:t>
            </w:r>
            <w:r>
              <w:rPr>
                <w:rFonts w:hint="eastAsia" w:ascii="方正仿宋_GBK" w:hAnsi="宋体" w:eastAsia="方正仿宋_GBK"/>
                <w:color w:val="auto"/>
                <w:sz w:val="24"/>
                <w:szCs w:val="24"/>
                <w:highlight w:val="none"/>
              </w:rPr>
              <w:t>并做退货处理</w:t>
            </w:r>
            <w:r>
              <w:rPr>
                <w:rFonts w:hint="eastAsia" w:ascii="方正仿宋_GBK" w:hAnsi="方正仿宋_GBK" w:eastAsia="方正仿宋_GBK" w:cs="方正仿宋_GBK"/>
                <w:color w:val="auto"/>
                <w:sz w:val="24"/>
                <w:szCs w:val="24"/>
                <w:highlight w:val="none"/>
              </w:rPr>
              <w:t>；对需冷链环境配送的物资，配送全程温湿度不符合规定，若出现物资解冻、软化等问题发现一次扣3分。</w:t>
            </w:r>
            <w:r>
              <w:rPr>
                <w:rFonts w:hint="eastAsia" w:ascii="仿宋_GB2312" w:hAnsi="仿宋" w:eastAsia="仿宋_GB2312" w:cs="宋体"/>
                <w:color w:val="auto"/>
                <w:kern w:val="0"/>
                <w:sz w:val="24"/>
                <w:szCs w:val="24"/>
                <w:highlight w:val="none"/>
              </w:rPr>
              <w:t>所送货物出现以次充好或假冒伪劣等情况，需方拒收，且每次扣5分。</w:t>
            </w:r>
          </w:p>
          <w:p w14:paraId="445E928C">
            <w:pPr>
              <w:snapToGrid w:val="0"/>
              <w:spacing w:line="400" w:lineRule="exact"/>
              <w:jc w:val="left"/>
              <w:rPr>
                <w:rFonts w:ascii="方正仿宋_GBK" w:hAnsi="方正仿宋_GBK" w:eastAsia="方正仿宋_GBK" w:cs="方正仿宋_GBK"/>
                <w:color w:val="auto"/>
                <w:sz w:val="24"/>
                <w:szCs w:val="24"/>
                <w:highlight w:val="none"/>
              </w:rPr>
            </w:pPr>
          </w:p>
        </w:tc>
      </w:tr>
      <w:tr w14:paraId="3A283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937" w:type="dxa"/>
            <w:vMerge w:val="continue"/>
            <w:vAlign w:val="center"/>
          </w:tcPr>
          <w:p w14:paraId="6B93AADC">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3C0094A4">
            <w:pPr>
              <w:snapToGrid w:val="0"/>
              <w:spacing w:line="40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配送品种、规格、等符合约定标准的货物</w:t>
            </w:r>
          </w:p>
        </w:tc>
        <w:tc>
          <w:tcPr>
            <w:tcW w:w="6250" w:type="dxa"/>
            <w:vAlign w:val="center"/>
          </w:tcPr>
          <w:p w14:paraId="2F9D5459">
            <w:pPr>
              <w:snapToGrid w:val="0"/>
              <w:spacing w:line="40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未按时配送、擅自更改采购品种等,每个单品一次扣2分并做退货处理。</w:t>
            </w:r>
          </w:p>
        </w:tc>
      </w:tr>
      <w:tr w14:paraId="760EA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937" w:type="dxa"/>
            <w:vMerge w:val="continue"/>
            <w:vAlign w:val="center"/>
          </w:tcPr>
          <w:p w14:paraId="4AA7C996">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06D67DE3">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配送具备相关产品信息的货物（包括生产日期、保质期、生产厂家、生产许可证号、检验检疫票据等）</w:t>
            </w:r>
          </w:p>
        </w:tc>
        <w:tc>
          <w:tcPr>
            <w:tcW w:w="6250" w:type="dxa"/>
            <w:vAlign w:val="center"/>
          </w:tcPr>
          <w:p w14:paraId="7C938A4A">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未及时提供货物应有相关产品信息（包括生产日期、保质期、生产厂家（基地）、合格证、检验报告、动物检疫证明、肉品品质检验合格证等，</w:t>
            </w:r>
            <w:r>
              <w:rPr>
                <w:rFonts w:hint="eastAsia" w:ascii="仿宋_GB2312" w:hAnsi="仿宋" w:eastAsia="仿宋_GB2312" w:cs="宋体"/>
                <w:color w:val="auto"/>
                <w:kern w:val="0"/>
                <w:sz w:val="24"/>
                <w:szCs w:val="24"/>
                <w:highlight w:val="none"/>
              </w:rPr>
              <w:t>目的地为甲方指定送货地</w:t>
            </w:r>
            <w:r>
              <w:rPr>
                <w:rFonts w:hint="eastAsia" w:ascii="方正仿宋_GBK" w:hAnsi="宋体" w:eastAsia="方正仿宋_GBK"/>
                <w:color w:val="auto"/>
                <w:sz w:val="24"/>
                <w:szCs w:val="24"/>
                <w:highlight w:val="none"/>
              </w:rPr>
              <w:t>）,每个单品每次扣2分。</w:t>
            </w:r>
            <w:r>
              <w:rPr>
                <w:rFonts w:hint="eastAsia" w:ascii="仿宋_GB2312" w:hAnsi="仿宋" w:eastAsia="仿宋_GB2312" w:cs="宋体"/>
                <w:color w:val="auto"/>
                <w:kern w:val="0"/>
                <w:sz w:val="24"/>
                <w:szCs w:val="24"/>
                <w:highlight w:val="none"/>
              </w:rPr>
              <w:t>所送的货物无送货单或送货单格式不符合甲方要求等情况，每次扣2分</w:t>
            </w:r>
          </w:p>
        </w:tc>
      </w:tr>
      <w:tr w14:paraId="7BA7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937" w:type="dxa"/>
            <w:vMerge w:val="continue"/>
            <w:vAlign w:val="center"/>
          </w:tcPr>
          <w:p w14:paraId="41EC4B51">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7FEC056F">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配送数量浮动标准</w:t>
            </w:r>
          </w:p>
        </w:tc>
        <w:tc>
          <w:tcPr>
            <w:tcW w:w="6250" w:type="dxa"/>
            <w:vAlign w:val="center"/>
          </w:tcPr>
          <w:p w14:paraId="7A828293">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一般货物实际供应量在计划数量基础上，上下浮动不得超过±5%，如超过相应比例视作违规配送，每个单品一次扣1分（特殊情况经需方同意的除外）。</w:t>
            </w:r>
          </w:p>
        </w:tc>
      </w:tr>
      <w:tr w14:paraId="1A31E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37" w:type="dxa"/>
            <w:vMerge w:val="restart"/>
            <w:vAlign w:val="center"/>
          </w:tcPr>
          <w:p w14:paraId="0858136A">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服务质量</w:t>
            </w:r>
          </w:p>
        </w:tc>
        <w:tc>
          <w:tcPr>
            <w:tcW w:w="1925" w:type="dxa"/>
            <w:vAlign w:val="center"/>
          </w:tcPr>
          <w:p w14:paraId="05B89E4E">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配送时间</w:t>
            </w:r>
          </w:p>
        </w:tc>
        <w:tc>
          <w:tcPr>
            <w:tcW w:w="6250" w:type="dxa"/>
            <w:vAlign w:val="center"/>
          </w:tcPr>
          <w:p w14:paraId="245B26F3">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每日所需物资须于当日需方要求供货时间送达，临时供餐任务所需的桌餐食材、应急采购任务（</w:t>
            </w:r>
            <w:r>
              <w:rPr>
                <w:rFonts w:hint="eastAsia" w:ascii="方正仿宋_GBK" w:hAnsi="方正仿宋_GBK" w:eastAsia="方正仿宋_GBK" w:cs="方正仿宋_GBK"/>
                <w:color w:val="auto"/>
                <w:kern w:val="0"/>
                <w:sz w:val="24"/>
                <w:szCs w:val="24"/>
                <w:highlight w:val="none"/>
              </w:rPr>
              <w:t>重大活动、</w:t>
            </w:r>
            <w:r>
              <w:rPr>
                <w:rFonts w:hint="eastAsia" w:ascii="方正仿宋_GBK" w:hAnsi="宋体" w:eastAsia="方正仿宋_GBK"/>
                <w:color w:val="auto"/>
                <w:sz w:val="24"/>
                <w:szCs w:val="24"/>
                <w:highlight w:val="none"/>
              </w:rPr>
              <w:t>突发事件保障）必须按照约定时间送达，迟到30分钟内（含30分钟），每次扣2分；迟到30分钟以上60分钟以内（含60分钟）每次扣3分；迟到60分钟以上扣5分。</w:t>
            </w:r>
            <w:r>
              <w:rPr>
                <w:rFonts w:hint="eastAsia" w:ascii="方正仿宋_GBK" w:hAnsi="方正仿宋_GBK" w:eastAsia="方正仿宋_GBK" w:cs="方正仿宋_GBK"/>
                <w:color w:val="auto"/>
                <w:kern w:val="0"/>
                <w:sz w:val="24"/>
                <w:szCs w:val="24"/>
                <w:highlight w:val="none"/>
              </w:rPr>
              <w:t>推诿、敷衍拒绝送货等情况，每次扣5分。</w:t>
            </w:r>
          </w:p>
        </w:tc>
      </w:tr>
      <w:tr w14:paraId="2663B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937" w:type="dxa"/>
            <w:vMerge w:val="continue"/>
            <w:vAlign w:val="center"/>
          </w:tcPr>
          <w:p w14:paraId="2842AF04">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40BB3F55">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漏送货情况，退换、补货情况</w:t>
            </w:r>
          </w:p>
        </w:tc>
        <w:tc>
          <w:tcPr>
            <w:tcW w:w="6250" w:type="dxa"/>
            <w:vAlign w:val="center"/>
          </w:tcPr>
          <w:p w14:paraId="45C83B38">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漏送货在不影响开餐的情况下，第一次扣2分，第二次扣5分，因漏送货、退货等原因导致货物不足的，必须按照规定时间补足货物</w:t>
            </w:r>
            <w:r>
              <w:rPr>
                <w:rFonts w:hint="eastAsia" w:ascii="方正仿宋_GBK" w:hAnsi="方正仿宋_GBK" w:eastAsia="方正仿宋_GBK" w:cs="方正仿宋_GBK"/>
                <w:color w:val="auto"/>
                <w:kern w:val="0"/>
                <w:sz w:val="24"/>
                <w:szCs w:val="24"/>
                <w:highlight w:val="none"/>
              </w:rPr>
              <w:t>。</w:t>
            </w:r>
          </w:p>
        </w:tc>
      </w:tr>
      <w:tr w14:paraId="5B1F6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37" w:type="dxa"/>
            <w:vMerge w:val="continue"/>
            <w:vAlign w:val="center"/>
          </w:tcPr>
          <w:p w14:paraId="7740D68D">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52211085">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价格确认</w:t>
            </w:r>
          </w:p>
        </w:tc>
        <w:tc>
          <w:tcPr>
            <w:tcW w:w="6250" w:type="dxa"/>
            <w:vAlign w:val="center"/>
          </w:tcPr>
          <w:p w14:paraId="36F48EE0">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接到需方定价表后如有异议，必须于12小时内按约定格式回复，不按照规定时间回复的，视为无异议，需方将按照定价表执行；不按约定格式回复的，一次扣2分。</w:t>
            </w:r>
          </w:p>
        </w:tc>
      </w:tr>
      <w:tr w14:paraId="7DFFC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937" w:type="dxa"/>
            <w:vMerge w:val="continue"/>
            <w:vAlign w:val="center"/>
          </w:tcPr>
          <w:p w14:paraId="7BA0F0AD">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54B631A8">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对账及结算</w:t>
            </w:r>
          </w:p>
        </w:tc>
        <w:tc>
          <w:tcPr>
            <w:tcW w:w="6250" w:type="dxa"/>
            <w:vAlign w:val="center"/>
          </w:tcPr>
          <w:p w14:paraId="61967674">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对账及时准确，每月5日前核对清楚上月账目，因供方原因延误一天扣1分，以此类推；每月对账确认后，供方应在每月10日前开具发票，每逾期一日扣1分。</w:t>
            </w:r>
          </w:p>
        </w:tc>
      </w:tr>
      <w:tr w14:paraId="4377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937" w:type="dxa"/>
            <w:vMerge w:val="restart"/>
            <w:vAlign w:val="center"/>
          </w:tcPr>
          <w:p w14:paraId="319A9C3B">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人员车辆管理</w:t>
            </w:r>
          </w:p>
        </w:tc>
        <w:tc>
          <w:tcPr>
            <w:tcW w:w="1925" w:type="dxa"/>
            <w:vAlign w:val="center"/>
          </w:tcPr>
          <w:p w14:paraId="3C9E37D5">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员工健康、个人卫生管理。</w:t>
            </w:r>
          </w:p>
        </w:tc>
        <w:tc>
          <w:tcPr>
            <w:tcW w:w="6250" w:type="dxa"/>
            <w:vAlign w:val="center"/>
          </w:tcPr>
          <w:p w14:paraId="66847C4D">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员工需衣着整洁，个人清洁卫生干净，不符合要求一次扣1分；抽检配送员工的《健康证》，如没有的一人次扣2分，要求更换配送员工。</w:t>
            </w:r>
          </w:p>
        </w:tc>
      </w:tr>
      <w:tr w14:paraId="7C10D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937" w:type="dxa"/>
            <w:vMerge w:val="continue"/>
            <w:vAlign w:val="center"/>
          </w:tcPr>
          <w:p w14:paraId="16DA180B">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6B0C8755">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配送车辆管理</w:t>
            </w:r>
          </w:p>
        </w:tc>
        <w:tc>
          <w:tcPr>
            <w:tcW w:w="6250" w:type="dxa"/>
            <w:vAlign w:val="center"/>
          </w:tcPr>
          <w:p w14:paraId="55700F7D">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配送物流车必须干净整洁，外观破损或车内有明显异味一次扣0.5分，车内脏乱差一次扣1分。</w:t>
            </w:r>
          </w:p>
        </w:tc>
      </w:tr>
      <w:tr w14:paraId="119BB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937" w:type="dxa"/>
            <w:vMerge w:val="restart"/>
            <w:vAlign w:val="center"/>
          </w:tcPr>
          <w:p w14:paraId="15F0E1FD">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其他</w:t>
            </w:r>
          </w:p>
        </w:tc>
        <w:tc>
          <w:tcPr>
            <w:tcW w:w="1925" w:type="dxa"/>
            <w:vAlign w:val="center"/>
          </w:tcPr>
          <w:p w14:paraId="43A319B0">
            <w:pPr>
              <w:snapToGrid w:val="0"/>
              <w:spacing w:line="400" w:lineRule="exac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履行合同约定情况</w:t>
            </w:r>
          </w:p>
        </w:tc>
        <w:tc>
          <w:tcPr>
            <w:tcW w:w="6250" w:type="dxa"/>
            <w:vAlign w:val="center"/>
          </w:tcPr>
          <w:p w14:paraId="5219C4E0">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合同、投标文件、招标文件、供应商承诺书等约定或承诺的相关事项，未完成一项每次扣2分。</w:t>
            </w:r>
          </w:p>
        </w:tc>
      </w:tr>
      <w:tr w14:paraId="67F14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7" w:type="dxa"/>
            <w:vMerge w:val="continue"/>
            <w:vAlign w:val="center"/>
          </w:tcPr>
          <w:p w14:paraId="4D906FAB">
            <w:pPr>
              <w:snapToGrid w:val="0"/>
              <w:spacing w:line="400" w:lineRule="exact"/>
              <w:jc w:val="center"/>
              <w:rPr>
                <w:rFonts w:ascii="方正仿宋_GBK" w:hAnsi="宋体" w:eastAsia="方正仿宋_GBK"/>
                <w:color w:val="auto"/>
                <w:sz w:val="24"/>
                <w:szCs w:val="24"/>
                <w:highlight w:val="none"/>
              </w:rPr>
            </w:pPr>
          </w:p>
        </w:tc>
        <w:tc>
          <w:tcPr>
            <w:tcW w:w="1925" w:type="dxa"/>
            <w:vMerge w:val="restart"/>
            <w:vAlign w:val="center"/>
          </w:tcPr>
          <w:p w14:paraId="71AAF407">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其他</w:t>
            </w:r>
          </w:p>
        </w:tc>
        <w:tc>
          <w:tcPr>
            <w:tcW w:w="6250" w:type="dxa"/>
            <w:vAlign w:val="center"/>
          </w:tcPr>
          <w:p w14:paraId="39C70C96">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违反需方管理规定或对需方造成不良影响等情况一次扣3分。</w:t>
            </w:r>
          </w:p>
        </w:tc>
      </w:tr>
      <w:tr w14:paraId="160D1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937" w:type="dxa"/>
            <w:vMerge w:val="continue"/>
            <w:vAlign w:val="center"/>
          </w:tcPr>
          <w:p w14:paraId="601F0330">
            <w:pPr>
              <w:snapToGrid w:val="0"/>
              <w:spacing w:line="400" w:lineRule="exact"/>
              <w:jc w:val="center"/>
              <w:rPr>
                <w:rFonts w:ascii="方正仿宋_GBK" w:hAnsi="宋体" w:eastAsia="方正仿宋_GBK"/>
                <w:color w:val="auto"/>
                <w:sz w:val="24"/>
                <w:szCs w:val="24"/>
                <w:highlight w:val="none"/>
              </w:rPr>
            </w:pPr>
          </w:p>
        </w:tc>
        <w:tc>
          <w:tcPr>
            <w:tcW w:w="1925" w:type="dxa"/>
            <w:vMerge w:val="continue"/>
            <w:vAlign w:val="center"/>
          </w:tcPr>
          <w:p w14:paraId="15C4B0B2">
            <w:pPr>
              <w:snapToGrid w:val="0"/>
              <w:spacing w:line="400" w:lineRule="exact"/>
              <w:jc w:val="center"/>
              <w:rPr>
                <w:rFonts w:ascii="方正仿宋_GBK" w:hAnsi="宋体" w:eastAsia="方正仿宋_GBK"/>
                <w:color w:val="auto"/>
                <w:sz w:val="24"/>
                <w:szCs w:val="24"/>
                <w:highlight w:val="none"/>
              </w:rPr>
            </w:pPr>
          </w:p>
        </w:tc>
        <w:tc>
          <w:tcPr>
            <w:tcW w:w="6250" w:type="dxa"/>
            <w:vAlign w:val="center"/>
          </w:tcPr>
          <w:p w14:paraId="3E72170B">
            <w:pPr>
              <w:snapToGrid w:val="0"/>
              <w:spacing w:line="400" w:lineRule="exact"/>
              <w:jc w:val="left"/>
              <w:rPr>
                <w:rFonts w:ascii="方正仿宋_GBK" w:hAnsi="宋体" w:eastAsia="方正仿宋_GBK"/>
                <w:color w:val="auto"/>
                <w:sz w:val="24"/>
                <w:szCs w:val="24"/>
                <w:highlight w:val="none"/>
              </w:rPr>
            </w:pPr>
            <w:r>
              <w:rPr>
                <w:rFonts w:hint="eastAsia" w:ascii="仿宋_GB2312" w:hAnsi="仿宋" w:eastAsia="仿宋_GB2312" w:cs="宋体"/>
                <w:color w:val="auto"/>
                <w:kern w:val="0"/>
                <w:sz w:val="24"/>
                <w:szCs w:val="24"/>
                <w:highlight w:val="none"/>
              </w:rPr>
              <w:t>寒暑假期间，乙方应将食堂剩余的未拆装整件物资免费运回，并在假期结束后更换同数量、质量的新鲜物资配送回食堂，拒绝响应的扣5分。</w:t>
            </w:r>
          </w:p>
        </w:tc>
      </w:tr>
    </w:tbl>
    <w:p w14:paraId="0A12566B">
      <w:pPr>
        <w:adjustRightInd w:val="0"/>
        <w:snapToGrid w:val="0"/>
        <w:spacing w:line="240" w:lineRule="atLeas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（三）包2</w:t>
      </w:r>
      <w:r>
        <w:rPr>
          <w:rFonts w:ascii="方正仿宋_GBK" w:hAnsi="宋体" w:eastAsia="方正仿宋_GBK"/>
          <w:color w:val="auto"/>
          <w:sz w:val="24"/>
          <w:szCs w:val="24"/>
          <w:highlight w:val="none"/>
        </w:rPr>
        <w:t>具体考核细则如下：</w:t>
      </w:r>
    </w:p>
    <w:tbl>
      <w:tblPr>
        <w:tblStyle w:val="20"/>
        <w:tblW w:w="9112"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925"/>
        <w:gridCol w:w="6250"/>
      </w:tblGrid>
      <w:tr w14:paraId="517CA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7" w:type="dxa"/>
            <w:vAlign w:val="center"/>
          </w:tcPr>
          <w:p w14:paraId="26787423">
            <w:pPr>
              <w:snapToGrid w:val="0"/>
              <w:spacing w:line="400" w:lineRule="exact"/>
              <w:jc w:val="center"/>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项目</w:t>
            </w:r>
          </w:p>
        </w:tc>
        <w:tc>
          <w:tcPr>
            <w:tcW w:w="1925" w:type="dxa"/>
            <w:vAlign w:val="center"/>
          </w:tcPr>
          <w:p w14:paraId="4703F491">
            <w:pPr>
              <w:snapToGrid w:val="0"/>
              <w:spacing w:line="400" w:lineRule="exact"/>
              <w:jc w:val="center"/>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考核指标</w:t>
            </w:r>
          </w:p>
        </w:tc>
        <w:tc>
          <w:tcPr>
            <w:tcW w:w="6250" w:type="dxa"/>
            <w:vAlign w:val="center"/>
          </w:tcPr>
          <w:p w14:paraId="4401D437">
            <w:pPr>
              <w:snapToGrid w:val="0"/>
              <w:spacing w:line="400" w:lineRule="exact"/>
              <w:jc w:val="center"/>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考核说明</w:t>
            </w:r>
          </w:p>
        </w:tc>
      </w:tr>
      <w:tr w14:paraId="4012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7" w:type="dxa"/>
            <w:vMerge w:val="restart"/>
            <w:vAlign w:val="center"/>
          </w:tcPr>
          <w:p w14:paraId="7B07DF69">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货物质量</w:t>
            </w:r>
          </w:p>
        </w:tc>
        <w:tc>
          <w:tcPr>
            <w:tcW w:w="1925" w:type="dxa"/>
            <w:vAlign w:val="center"/>
          </w:tcPr>
          <w:p w14:paraId="37E7A96D">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配送货物</w:t>
            </w:r>
            <w:r>
              <w:rPr>
                <w:rFonts w:hint="eastAsia" w:ascii="方正仿宋_GBK" w:hAnsi="方正仿宋_GBK" w:eastAsia="方正仿宋_GBK" w:cs="方正仿宋_GBK"/>
                <w:color w:val="auto"/>
                <w:sz w:val="24"/>
                <w:szCs w:val="24"/>
                <w:highlight w:val="none"/>
              </w:rPr>
              <w:t>品质</w:t>
            </w:r>
            <w:r>
              <w:rPr>
                <w:rFonts w:hint="eastAsia" w:ascii="方正仿宋_GBK" w:hAnsi="宋体" w:eastAsia="方正仿宋_GBK"/>
                <w:color w:val="auto"/>
                <w:sz w:val="24"/>
                <w:szCs w:val="24"/>
                <w:highlight w:val="none"/>
              </w:rPr>
              <w:t>合格</w:t>
            </w:r>
          </w:p>
        </w:tc>
        <w:tc>
          <w:tcPr>
            <w:tcW w:w="6250" w:type="dxa"/>
            <w:vAlign w:val="center"/>
          </w:tcPr>
          <w:p w14:paraId="572DF648">
            <w:pPr>
              <w:snapToGrid w:val="0"/>
              <w:spacing w:line="400" w:lineRule="exact"/>
              <w:jc w:val="left"/>
              <w:rPr>
                <w:rFonts w:ascii="仿宋_GB2312" w:hAnsi="仿宋" w:eastAsia="仿宋_GB2312" w:cs="宋体"/>
                <w:color w:val="auto"/>
                <w:kern w:val="0"/>
                <w:sz w:val="24"/>
                <w:szCs w:val="24"/>
                <w:highlight w:val="none"/>
              </w:rPr>
            </w:pPr>
            <w:r>
              <w:rPr>
                <w:rFonts w:hint="eastAsia" w:ascii="方正仿宋_GBK" w:hAnsi="方正仿宋_GBK" w:eastAsia="方正仿宋_GBK" w:cs="方正仿宋_GBK"/>
                <w:color w:val="auto"/>
                <w:sz w:val="24"/>
                <w:szCs w:val="24"/>
                <w:highlight w:val="none"/>
              </w:rPr>
              <w:t>物资送达时，包装破损、泄漏、外观不清楚、不规范等问题，每发现一次扣3分</w:t>
            </w:r>
            <w:r>
              <w:rPr>
                <w:rFonts w:hint="eastAsia" w:ascii="方正仿宋_GBK" w:hAnsi="宋体" w:eastAsia="方正仿宋_GBK"/>
                <w:color w:val="auto"/>
                <w:sz w:val="24"/>
                <w:szCs w:val="24"/>
                <w:highlight w:val="none"/>
              </w:rPr>
              <w:t>并做退货处理</w:t>
            </w:r>
            <w:r>
              <w:rPr>
                <w:rFonts w:hint="eastAsia" w:ascii="方正仿宋_GBK" w:hAnsi="方正仿宋_GBK" w:eastAsia="方正仿宋_GBK" w:cs="方正仿宋_GBK"/>
                <w:color w:val="auto"/>
                <w:sz w:val="24"/>
                <w:szCs w:val="24"/>
                <w:highlight w:val="none"/>
              </w:rPr>
              <w:t>；对需冷链环境配送的物资，配送全程温湿度不符合规定，若出现物资解冻、软化等问题发现一次扣3分。</w:t>
            </w:r>
            <w:r>
              <w:rPr>
                <w:rFonts w:hint="eastAsia" w:ascii="仿宋_GB2312" w:hAnsi="仿宋" w:eastAsia="仿宋_GB2312" w:cs="宋体"/>
                <w:color w:val="auto"/>
                <w:kern w:val="0"/>
                <w:sz w:val="24"/>
                <w:szCs w:val="24"/>
                <w:highlight w:val="none"/>
              </w:rPr>
              <w:t>所送货物出现以次充好或假冒伪劣等情况，需方拒收，且每次扣5分。</w:t>
            </w:r>
          </w:p>
          <w:p w14:paraId="12296636">
            <w:pPr>
              <w:snapToGrid w:val="0"/>
              <w:spacing w:line="400" w:lineRule="exact"/>
              <w:jc w:val="left"/>
              <w:rPr>
                <w:rFonts w:ascii="方正仿宋_GBK" w:hAnsi="方正仿宋_GBK" w:eastAsia="方正仿宋_GBK" w:cs="方正仿宋_GBK"/>
                <w:color w:val="auto"/>
                <w:sz w:val="24"/>
                <w:szCs w:val="24"/>
                <w:highlight w:val="none"/>
              </w:rPr>
            </w:pPr>
          </w:p>
        </w:tc>
      </w:tr>
      <w:tr w14:paraId="7CA2A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937" w:type="dxa"/>
            <w:vMerge w:val="continue"/>
            <w:vAlign w:val="center"/>
          </w:tcPr>
          <w:p w14:paraId="6804628F">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7F0249DC">
            <w:pPr>
              <w:snapToGrid w:val="0"/>
              <w:spacing w:line="40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配送品种、规格、等符合约定标准的货物</w:t>
            </w:r>
          </w:p>
        </w:tc>
        <w:tc>
          <w:tcPr>
            <w:tcW w:w="6250" w:type="dxa"/>
            <w:vAlign w:val="center"/>
          </w:tcPr>
          <w:p w14:paraId="105963A8">
            <w:pPr>
              <w:snapToGrid w:val="0"/>
              <w:spacing w:line="40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未按时配送、擅自更改采购品种等,每个单品一次扣2分并做退货处理。</w:t>
            </w:r>
          </w:p>
        </w:tc>
      </w:tr>
      <w:tr w14:paraId="1E334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937" w:type="dxa"/>
            <w:vMerge w:val="continue"/>
            <w:vAlign w:val="center"/>
          </w:tcPr>
          <w:p w14:paraId="78314BDB">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45C92719">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配送具备相关产品信息的货物（包括生产日期、保质期、生产厂家、生产许可证号、检验检疫票据等）</w:t>
            </w:r>
          </w:p>
        </w:tc>
        <w:tc>
          <w:tcPr>
            <w:tcW w:w="6250" w:type="dxa"/>
            <w:vAlign w:val="center"/>
          </w:tcPr>
          <w:p w14:paraId="057B00D0">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未及时提供货物应有相关产品信息（包括生产日期、保质期、生产厂家（基地）、合格证、检验报告、动物检疫证明、肉品品质检验合格证等，</w:t>
            </w:r>
            <w:r>
              <w:rPr>
                <w:rFonts w:hint="eastAsia" w:ascii="仿宋_GB2312" w:hAnsi="仿宋" w:eastAsia="仿宋_GB2312" w:cs="宋体"/>
                <w:color w:val="auto"/>
                <w:kern w:val="0"/>
                <w:sz w:val="24"/>
                <w:szCs w:val="24"/>
                <w:highlight w:val="none"/>
              </w:rPr>
              <w:t>目的地为甲方指定送货地</w:t>
            </w:r>
            <w:r>
              <w:rPr>
                <w:rFonts w:hint="eastAsia" w:ascii="方正仿宋_GBK" w:hAnsi="宋体" w:eastAsia="方正仿宋_GBK"/>
                <w:color w:val="auto"/>
                <w:sz w:val="24"/>
                <w:szCs w:val="24"/>
                <w:highlight w:val="none"/>
              </w:rPr>
              <w:t>）,每个单品每次扣2分。</w:t>
            </w:r>
            <w:r>
              <w:rPr>
                <w:rFonts w:hint="eastAsia" w:ascii="仿宋_GB2312" w:hAnsi="仿宋" w:eastAsia="仿宋_GB2312" w:cs="宋体"/>
                <w:color w:val="auto"/>
                <w:kern w:val="0"/>
                <w:sz w:val="24"/>
                <w:szCs w:val="24"/>
                <w:highlight w:val="none"/>
              </w:rPr>
              <w:t>所送的货物无送货单或送货单格式不符合甲方要求等情况，每次扣2分</w:t>
            </w:r>
          </w:p>
        </w:tc>
      </w:tr>
      <w:tr w14:paraId="67A7F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937" w:type="dxa"/>
            <w:vMerge w:val="continue"/>
            <w:vAlign w:val="center"/>
          </w:tcPr>
          <w:p w14:paraId="4D94E59D">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3B00F6A6">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配送数量浮动标准</w:t>
            </w:r>
          </w:p>
        </w:tc>
        <w:tc>
          <w:tcPr>
            <w:tcW w:w="6250" w:type="dxa"/>
            <w:vAlign w:val="center"/>
          </w:tcPr>
          <w:p w14:paraId="5C8DF8D2">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一般货物实际供应量在计划数量基础上，上下浮动不得超过±5%，如超过相应比例视作违规配送，每个单品一次扣1分（特殊情况经需方同意的除外）。</w:t>
            </w:r>
          </w:p>
        </w:tc>
      </w:tr>
      <w:tr w14:paraId="1EB4C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37" w:type="dxa"/>
            <w:vMerge w:val="restart"/>
            <w:vAlign w:val="center"/>
          </w:tcPr>
          <w:p w14:paraId="3893DF4A">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服务质量</w:t>
            </w:r>
          </w:p>
        </w:tc>
        <w:tc>
          <w:tcPr>
            <w:tcW w:w="1925" w:type="dxa"/>
            <w:vAlign w:val="center"/>
          </w:tcPr>
          <w:p w14:paraId="057AA3D3">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配送时间</w:t>
            </w:r>
          </w:p>
        </w:tc>
        <w:tc>
          <w:tcPr>
            <w:tcW w:w="6250" w:type="dxa"/>
            <w:vAlign w:val="center"/>
          </w:tcPr>
          <w:p w14:paraId="5E7DDC35">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每日所需物资须于当日需方要求供货时间送达，临时供餐任务所需的桌餐食材、应急采购任务（</w:t>
            </w:r>
            <w:r>
              <w:rPr>
                <w:rFonts w:hint="eastAsia" w:ascii="方正仿宋_GBK" w:hAnsi="方正仿宋_GBK" w:eastAsia="方正仿宋_GBK" w:cs="方正仿宋_GBK"/>
                <w:color w:val="auto"/>
                <w:kern w:val="0"/>
                <w:sz w:val="24"/>
                <w:szCs w:val="24"/>
                <w:highlight w:val="none"/>
              </w:rPr>
              <w:t>重大活动、</w:t>
            </w:r>
            <w:r>
              <w:rPr>
                <w:rFonts w:hint="eastAsia" w:ascii="方正仿宋_GBK" w:hAnsi="宋体" w:eastAsia="方正仿宋_GBK"/>
                <w:color w:val="auto"/>
                <w:sz w:val="24"/>
                <w:szCs w:val="24"/>
                <w:highlight w:val="none"/>
              </w:rPr>
              <w:t>突发事件保障）必须按照约定时间送达，迟到30分钟内（含30分钟），每次扣2分；迟到30分钟以上60分钟以内（含60分钟）每次扣3分；迟到60分钟以上扣5分。</w:t>
            </w:r>
            <w:r>
              <w:rPr>
                <w:rFonts w:hint="eastAsia" w:ascii="方正仿宋_GBK" w:hAnsi="方正仿宋_GBK" w:eastAsia="方正仿宋_GBK" w:cs="方正仿宋_GBK"/>
                <w:color w:val="auto"/>
                <w:kern w:val="0"/>
                <w:sz w:val="24"/>
                <w:szCs w:val="24"/>
                <w:highlight w:val="none"/>
              </w:rPr>
              <w:t>推诿、敷衍拒绝送货等情况，每次扣5分。</w:t>
            </w:r>
          </w:p>
        </w:tc>
      </w:tr>
      <w:tr w14:paraId="02906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937" w:type="dxa"/>
            <w:vMerge w:val="continue"/>
            <w:vAlign w:val="center"/>
          </w:tcPr>
          <w:p w14:paraId="60A9DCD4">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2FD96538">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漏送货情况，退换、补货情况</w:t>
            </w:r>
          </w:p>
        </w:tc>
        <w:tc>
          <w:tcPr>
            <w:tcW w:w="6250" w:type="dxa"/>
            <w:vAlign w:val="center"/>
          </w:tcPr>
          <w:p w14:paraId="2CBDFAC0">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漏送货在不影响开餐的情况下，第一次扣2分，第二次扣5分，因漏送货、退货等原因导致货物不足的，必须按照规定时间补足货物</w:t>
            </w:r>
            <w:r>
              <w:rPr>
                <w:rFonts w:hint="eastAsia" w:ascii="方正仿宋_GBK" w:hAnsi="方正仿宋_GBK" w:eastAsia="方正仿宋_GBK" w:cs="方正仿宋_GBK"/>
                <w:color w:val="auto"/>
                <w:kern w:val="0"/>
                <w:sz w:val="24"/>
                <w:szCs w:val="24"/>
                <w:highlight w:val="none"/>
              </w:rPr>
              <w:t>。</w:t>
            </w:r>
          </w:p>
        </w:tc>
      </w:tr>
      <w:tr w14:paraId="30EDD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37" w:type="dxa"/>
            <w:vMerge w:val="continue"/>
            <w:vAlign w:val="center"/>
          </w:tcPr>
          <w:p w14:paraId="172CDD74">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1824E798">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价格确认</w:t>
            </w:r>
          </w:p>
        </w:tc>
        <w:tc>
          <w:tcPr>
            <w:tcW w:w="6250" w:type="dxa"/>
            <w:vAlign w:val="center"/>
          </w:tcPr>
          <w:p w14:paraId="5F61B61C">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接到需方定价表后如有异议，必须于12小时内按约定格式回复，不按照规定时间回复的，视为无异议，需方将按照定价表执行；不按约定格式回复的，一次扣2分。</w:t>
            </w:r>
          </w:p>
        </w:tc>
      </w:tr>
      <w:tr w14:paraId="3160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937" w:type="dxa"/>
            <w:vMerge w:val="continue"/>
            <w:vAlign w:val="center"/>
          </w:tcPr>
          <w:p w14:paraId="505B1182">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7EA422F4">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对账及结算</w:t>
            </w:r>
          </w:p>
        </w:tc>
        <w:tc>
          <w:tcPr>
            <w:tcW w:w="6250" w:type="dxa"/>
            <w:vAlign w:val="center"/>
          </w:tcPr>
          <w:p w14:paraId="03BCD6E3">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对账及时准确，每月5日前核对清楚上月账目，因供方原因延误一天扣1分，以此类推；每月对账确认后，供方应在每月10日前开具发票，每逾期一日扣1分。</w:t>
            </w:r>
          </w:p>
        </w:tc>
      </w:tr>
      <w:tr w14:paraId="3745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937" w:type="dxa"/>
            <w:vMerge w:val="restart"/>
            <w:vAlign w:val="center"/>
          </w:tcPr>
          <w:p w14:paraId="000DE40C">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人员车辆管理</w:t>
            </w:r>
          </w:p>
        </w:tc>
        <w:tc>
          <w:tcPr>
            <w:tcW w:w="1925" w:type="dxa"/>
            <w:vAlign w:val="center"/>
          </w:tcPr>
          <w:p w14:paraId="2521128B">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员工健康、个人卫生管理。</w:t>
            </w:r>
          </w:p>
        </w:tc>
        <w:tc>
          <w:tcPr>
            <w:tcW w:w="6250" w:type="dxa"/>
            <w:vAlign w:val="center"/>
          </w:tcPr>
          <w:p w14:paraId="5DD096B7">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员工需衣着整洁，个人清洁卫生干净，不符合要求一次扣1分；抽检配送员工的《健康证》，如没有的一人次扣2分，要求更换配送员工。</w:t>
            </w:r>
          </w:p>
        </w:tc>
      </w:tr>
      <w:tr w14:paraId="5C473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937" w:type="dxa"/>
            <w:vMerge w:val="continue"/>
            <w:vAlign w:val="center"/>
          </w:tcPr>
          <w:p w14:paraId="7960619B">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5CB8EF02">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配送车辆管理</w:t>
            </w:r>
          </w:p>
        </w:tc>
        <w:tc>
          <w:tcPr>
            <w:tcW w:w="6250" w:type="dxa"/>
            <w:vAlign w:val="center"/>
          </w:tcPr>
          <w:p w14:paraId="7ADEEE94">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配送物流车必须干净整洁，外观破损或车内有明显异味一次扣0.5分，车内脏乱差一次扣1分。</w:t>
            </w:r>
          </w:p>
        </w:tc>
      </w:tr>
      <w:tr w14:paraId="15DA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937" w:type="dxa"/>
            <w:vMerge w:val="restart"/>
            <w:vAlign w:val="center"/>
          </w:tcPr>
          <w:p w14:paraId="22C6EBE5">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其他</w:t>
            </w:r>
          </w:p>
        </w:tc>
        <w:tc>
          <w:tcPr>
            <w:tcW w:w="1925" w:type="dxa"/>
            <w:vAlign w:val="center"/>
          </w:tcPr>
          <w:p w14:paraId="416695C9">
            <w:pPr>
              <w:snapToGrid w:val="0"/>
              <w:spacing w:line="400" w:lineRule="exac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履行合同约定情况</w:t>
            </w:r>
          </w:p>
        </w:tc>
        <w:tc>
          <w:tcPr>
            <w:tcW w:w="6250" w:type="dxa"/>
            <w:vAlign w:val="center"/>
          </w:tcPr>
          <w:p w14:paraId="3AEC4AD2">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合同、投标文件、招标文件、供应商承诺书等约定或承诺的相关事项，未完成一项每次扣2分。</w:t>
            </w:r>
          </w:p>
        </w:tc>
      </w:tr>
      <w:tr w14:paraId="18F1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7" w:type="dxa"/>
            <w:vMerge w:val="continue"/>
            <w:vAlign w:val="center"/>
          </w:tcPr>
          <w:p w14:paraId="36F2FF76">
            <w:pPr>
              <w:snapToGrid w:val="0"/>
              <w:spacing w:line="400" w:lineRule="exact"/>
              <w:jc w:val="center"/>
              <w:rPr>
                <w:rFonts w:ascii="方正仿宋_GBK" w:hAnsi="宋体" w:eastAsia="方正仿宋_GBK"/>
                <w:color w:val="auto"/>
                <w:sz w:val="24"/>
                <w:szCs w:val="24"/>
                <w:highlight w:val="none"/>
              </w:rPr>
            </w:pPr>
          </w:p>
        </w:tc>
        <w:tc>
          <w:tcPr>
            <w:tcW w:w="1925" w:type="dxa"/>
            <w:vMerge w:val="restart"/>
            <w:vAlign w:val="center"/>
          </w:tcPr>
          <w:p w14:paraId="11AF7F99">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其他</w:t>
            </w:r>
          </w:p>
        </w:tc>
        <w:tc>
          <w:tcPr>
            <w:tcW w:w="6250" w:type="dxa"/>
            <w:vAlign w:val="center"/>
          </w:tcPr>
          <w:p w14:paraId="06A74886">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违反需方管理规定或对需方造成不良影响等情况一次扣3分。</w:t>
            </w:r>
          </w:p>
        </w:tc>
      </w:tr>
      <w:tr w14:paraId="03BCD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937" w:type="dxa"/>
            <w:vMerge w:val="continue"/>
            <w:vAlign w:val="center"/>
          </w:tcPr>
          <w:p w14:paraId="75085051">
            <w:pPr>
              <w:snapToGrid w:val="0"/>
              <w:spacing w:line="400" w:lineRule="exact"/>
              <w:jc w:val="center"/>
              <w:rPr>
                <w:rFonts w:ascii="方正仿宋_GBK" w:hAnsi="宋体" w:eastAsia="方正仿宋_GBK"/>
                <w:color w:val="auto"/>
                <w:sz w:val="24"/>
                <w:szCs w:val="24"/>
                <w:highlight w:val="none"/>
              </w:rPr>
            </w:pPr>
          </w:p>
        </w:tc>
        <w:tc>
          <w:tcPr>
            <w:tcW w:w="1925" w:type="dxa"/>
            <w:vMerge w:val="continue"/>
            <w:vAlign w:val="center"/>
          </w:tcPr>
          <w:p w14:paraId="4195E1A1">
            <w:pPr>
              <w:snapToGrid w:val="0"/>
              <w:spacing w:line="400" w:lineRule="exact"/>
              <w:jc w:val="center"/>
              <w:rPr>
                <w:rFonts w:ascii="方正仿宋_GBK" w:hAnsi="宋体" w:eastAsia="方正仿宋_GBK"/>
                <w:color w:val="auto"/>
                <w:sz w:val="24"/>
                <w:szCs w:val="24"/>
                <w:highlight w:val="none"/>
              </w:rPr>
            </w:pPr>
          </w:p>
        </w:tc>
        <w:tc>
          <w:tcPr>
            <w:tcW w:w="6250" w:type="dxa"/>
            <w:vAlign w:val="center"/>
          </w:tcPr>
          <w:p w14:paraId="1FD4F581">
            <w:pPr>
              <w:snapToGrid w:val="0"/>
              <w:spacing w:line="400" w:lineRule="exact"/>
              <w:jc w:val="left"/>
              <w:rPr>
                <w:rFonts w:ascii="方正仿宋_GBK" w:hAnsi="宋体" w:eastAsia="方正仿宋_GBK"/>
                <w:color w:val="auto"/>
                <w:sz w:val="24"/>
                <w:szCs w:val="24"/>
                <w:highlight w:val="none"/>
              </w:rPr>
            </w:pPr>
            <w:r>
              <w:rPr>
                <w:rFonts w:hint="eastAsia" w:ascii="仿宋_GB2312" w:hAnsi="仿宋" w:eastAsia="仿宋_GB2312" w:cs="宋体"/>
                <w:color w:val="auto"/>
                <w:kern w:val="0"/>
                <w:sz w:val="24"/>
                <w:szCs w:val="24"/>
                <w:highlight w:val="none"/>
              </w:rPr>
              <w:t>寒暑假期间，乙方应将食堂剩余的未拆装整件物资免费运回，并在假期结束后更换同数量、质量的新鲜物资配送回食堂，拒绝响应的扣5分。</w:t>
            </w:r>
          </w:p>
        </w:tc>
      </w:tr>
    </w:tbl>
    <w:p w14:paraId="09DADEA8">
      <w:pPr>
        <w:numPr>
          <w:ilvl w:val="255"/>
          <w:numId w:val="0"/>
        </w:numPr>
        <w:adjustRightInd w:val="0"/>
        <w:snapToGrid w:val="0"/>
        <w:spacing w:line="240" w:lineRule="atLeas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（四）包</w:t>
      </w:r>
      <w:r>
        <w:rPr>
          <w:rFonts w:ascii="方正仿宋_GBK" w:hAnsi="宋体" w:eastAsia="方正仿宋_GBK"/>
          <w:color w:val="auto"/>
          <w:sz w:val="24"/>
          <w:szCs w:val="24"/>
          <w:highlight w:val="none"/>
        </w:rPr>
        <w:t>3</w:t>
      </w:r>
      <w:bookmarkEnd w:id="89"/>
      <w:bookmarkEnd w:id="90"/>
      <w:bookmarkStart w:id="99" w:name="_Toc267320054"/>
      <w:bookmarkStart w:id="100" w:name="_Toc75452494"/>
      <w:bookmarkStart w:id="101" w:name="_Toc505608536"/>
      <w:r>
        <w:rPr>
          <w:rFonts w:ascii="方正仿宋_GBK" w:hAnsi="宋体" w:eastAsia="方正仿宋_GBK"/>
          <w:color w:val="auto"/>
          <w:sz w:val="24"/>
          <w:szCs w:val="24"/>
          <w:highlight w:val="none"/>
        </w:rPr>
        <w:t>具体考核细则如下：</w:t>
      </w:r>
    </w:p>
    <w:tbl>
      <w:tblPr>
        <w:tblStyle w:val="20"/>
        <w:tblW w:w="9112"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925"/>
        <w:gridCol w:w="6250"/>
      </w:tblGrid>
      <w:tr w14:paraId="799EC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7" w:type="dxa"/>
            <w:vAlign w:val="center"/>
          </w:tcPr>
          <w:p w14:paraId="78457221">
            <w:pPr>
              <w:snapToGrid w:val="0"/>
              <w:spacing w:line="400" w:lineRule="exact"/>
              <w:jc w:val="center"/>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项目</w:t>
            </w:r>
          </w:p>
        </w:tc>
        <w:tc>
          <w:tcPr>
            <w:tcW w:w="1925" w:type="dxa"/>
            <w:vAlign w:val="center"/>
          </w:tcPr>
          <w:p w14:paraId="249A1A79">
            <w:pPr>
              <w:snapToGrid w:val="0"/>
              <w:spacing w:line="400" w:lineRule="exact"/>
              <w:jc w:val="center"/>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考核指标</w:t>
            </w:r>
          </w:p>
        </w:tc>
        <w:tc>
          <w:tcPr>
            <w:tcW w:w="6250" w:type="dxa"/>
            <w:vAlign w:val="center"/>
          </w:tcPr>
          <w:p w14:paraId="377D034B">
            <w:pPr>
              <w:snapToGrid w:val="0"/>
              <w:spacing w:line="400" w:lineRule="exact"/>
              <w:jc w:val="center"/>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考核说明</w:t>
            </w:r>
          </w:p>
        </w:tc>
      </w:tr>
      <w:tr w14:paraId="499AF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7" w:type="dxa"/>
            <w:vMerge w:val="restart"/>
            <w:vAlign w:val="center"/>
          </w:tcPr>
          <w:p w14:paraId="05C20363">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货物质量</w:t>
            </w:r>
          </w:p>
        </w:tc>
        <w:tc>
          <w:tcPr>
            <w:tcW w:w="1925" w:type="dxa"/>
            <w:vAlign w:val="center"/>
          </w:tcPr>
          <w:p w14:paraId="2C8FD35E">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配送货物</w:t>
            </w:r>
            <w:r>
              <w:rPr>
                <w:rFonts w:hint="eastAsia" w:ascii="方正仿宋_GBK" w:hAnsi="方正仿宋_GBK" w:eastAsia="方正仿宋_GBK" w:cs="方正仿宋_GBK"/>
                <w:color w:val="auto"/>
                <w:sz w:val="24"/>
                <w:szCs w:val="24"/>
                <w:highlight w:val="none"/>
              </w:rPr>
              <w:t>品质</w:t>
            </w:r>
            <w:r>
              <w:rPr>
                <w:rFonts w:hint="eastAsia" w:ascii="方正仿宋_GBK" w:hAnsi="宋体" w:eastAsia="方正仿宋_GBK"/>
                <w:color w:val="auto"/>
                <w:sz w:val="24"/>
                <w:szCs w:val="24"/>
                <w:highlight w:val="none"/>
              </w:rPr>
              <w:t>合格</w:t>
            </w:r>
          </w:p>
        </w:tc>
        <w:tc>
          <w:tcPr>
            <w:tcW w:w="6250" w:type="dxa"/>
            <w:vAlign w:val="center"/>
          </w:tcPr>
          <w:p w14:paraId="4A71145E">
            <w:pPr>
              <w:snapToGrid w:val="0"/>
              <w:spacing w:line="400" w:lineRule="exact"/>
              <w:jc w:val="left"/>
              <w:rPr>
                <w:rFonts w:ascii="仿宋_GB2312" w:hAnsi="仿宋" w:eastAsia="仿宋_GB2312" w:cs="宋体"/>
                <w:color w:val="auto"/>
                <w:kern w:val="0"/>
                <w:sz w:val="24"/>
                <w:szCs w:val="24"/>
                <w:highlight w:val="none"/>
              </w:rPr>
            </w:pPr>
            <w:r>
              <w:rPr>
                <w:rFonts w:hint="eastAsia" w:ascii="方正仿宋_GBK" w:hAnsi="方正仿宋_GBK" w:eastAsia="方正仿宋_GBK" w:cs="方正仿宋_GBK"/>
                <w:color w:val="auto"/>
                <w:sz w:val="24"/>
                <w:szCs w:val="24"/>
                <w:highlight w:val="none"/>
              </w:rPr>
              <w:t>物资送达时，包装破损、泄漏、外观不清楚、不规范等问题，每发现一次扣3分</w:t>
            </w:r>
            <w:r>
              <w:rPr>
                <w:rFonts w:hint="eastAsia" w:ascii="方正仿宋_GBK" w:hAnsi="宋体" w:eastAsia="方正仿宋_GBK"/>
                <w:color w:val="auto"/>
                <w:sz w:val="24"/>
                <w:szCs w:val="24"/>
                <w:highlight w:val="none"/>
              </w:rPr>
              <w:t>并做退货处理</w:t>
            </w:r>
            <w:r>
              <w:rPr>
                <w:rFonts w:hint="eastAsia" w:ascii="方正仿宋_GBK" w:hAnsi="方正仿宋_GBK" w:eastAsia="方正仿宋_GBK" w:cs="方正仿宋_GBK"/>
                <w:color w:val="auto"/>
                <w:sz w:val="24"/>
                <w:szCs w:val="24"/>
                <w:highlight w:val="none"/>
              </w:rPr>
              <w:t>；对需冷链环境配送的物资，配送全程温湿度不符合规定，若出现物资解冻、软化等问题发现一次扣3分。</w:t>
            </w:r>
            <w:r>
              <w:rPr>
                <w:rFonts w:hint="eastAsia" w:ascii="仿宋_GB2312" w:hAnsi="仿宋" w:eastAsia="仿宋_GB2312" w:cs="宋体"/>
                <w:color w:val="auto"/>
                <w:kern w:val="0"/>
                <w:sz w:val="24"/>
                <w:szCs w:val="24"/>
                <w:highlight w:val="none"/>
              </w:rPr>
              <w:t>所送货物出现以次充好或假冒伪劣等情况，需方拒收，且每次扣5分。</w:t>
            </w:r>
          </w:p>
          <w:p w14:paraId="47BFC782">
            <w:pPr>
              <w:snapToGrid w:val="0"/>
              <w:spacing w:line="400" w:lineRule="exact"/>
              <w:jc w:val="left"/>
              <w:rPr>
                <w:rFonts w:ascii="方正仿宋_GBK" w:hAnsi="方正仿宋_GBK" w:eastAsia="方正仿宋_GBK" w:cs="方正仿宋_GBK"/>
                <w:color w:val="auto"/>
                <w:sz w:val="24"/>
                <w:szCs w:val="24"/>
                <w:highlight w:val="none"/>
              </w:rPr>
            </w:pPr>
          </w:p>
        </w:tc>
      </w:tr>
      <w:tr w14:paraId="13B2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937" w:type="dxa"/>
            <w:vMerge w:val="continue"/>
            <w:vAlign w:val="center"/>
          </w:tcPr>
          <w:p w14:paraId="0758C471">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1080F674">
            <w:pPr>
              <w:snapToGrid w:val="0"/>
              <w:spacing w:line="40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配送品种、规格、等符合约定标准的货物</w:t>
            </w:r>
          </w:p>
        </w:tc>
        <w:tc>
          <w:tcPr>
            <w:tcW w:w="6250" w:type="dxa"/>
            <w:vAlign w:val="center"/>
          </w:tcPr>
          <w:p w14:paraId="2E6603A3">
            <w:pPr>
              <w:snapToGrid w:val="0"/>
              <w:spacing w:line="40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未按时配送、擅自更改采购品种等,每个单品一次扣2分并做退货处理。</w:t>
            </w:r>
          </w:p>
        </w:tc>
      </w:tr>
      <w:tr w14:paraId="083DD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937" w:type="dxa"/>
            <w:vMerge w:val="continue"/>
            <w:vAlign w:val="center"/>
          </w:tcPr>
          <w:p w14:paraId="39542C9A">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25B81E9C">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配送具备相关产品信息的货物（包括生产日期、保质期、生产厂家、生产许可证号、检验检疫票据等）</w:t>
            </w:r>
          </w:p>
        </w:tc>
        <w:tc>
          <w:tcPr>
            <w:tcW w:w="6250" w:type="dxa"/>
            <w:vAlign w:val="center"/>
          </w:tcPr>
          <w:p w14:paraId="560F5817">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未及时提供货物应有相关产品信息（包括生产日期、保质期、生产厂家（基地）、合格证、检验报告、动物检疫证明、肉品品质检验合格证等，</w:t>
            </w:r>
            <w:r>
              <w:rPr>
                <w:rFonts w:hint="eastAsia" w:ascii="仿宋_GB2312" w:hAnsi="仿宋" w:eastAsia="仿宋_GB2312" w:cs="宋体"/>
                <w:color w:val="auto"/>
                <w:kern w:val="0"/>
                <w:sz w:val="24"/>
                <w:szCs w:val="24"/>
                <w:highlight w:val="none"/>
              </w:rPr>
              <w:t>目的地为甲方指定送货地</w:t>
            </w:r>
            <w:r>
              <w:rPr>
                <w:rFonts w:hint="eastAsia" w:ascii="方正仿宋_GBK" w:hAnsi="宋体" w:eastAsia="方正仿宋_GBK"/>
                <w:color w:val="auto"/>
                <w:sz w:val="24"/>
                <w:szCs w:val="24"/>
                <w:highlight w:val="none"/>
              </w:rPr>
              <w:t>）,每个单品每次扣2分。</w:t>
            </w:r>
            <w:r>
              <w:rPr>
                <w:rFonts w:hint="eastAsia" w:ascii="仿宋_GB2312" w:hAnsi="仿宋" w:eastAsia="仿宋_GB2312" w:cs="宋体"/>
                <w:color w:val="auto"/>
                <w:kern w:val="0"/>
                <w:sz w:val="24"/>
                <w:szCs w:val="24"/>
                <w:highlight w:val="none"/>
              </w:rPr>
              <w:t>所送的货物无送货单或送货单格式不符合甲方要求等情况，每次扣2分</w:t>
            </w:r>
          </w:p>
        </w:tc>
      </w:tr>
      <w:tr w14:paraId="35475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937" w:type="dxa"/>
            <w:vMerge w:val="continue"/>
            <w:vAlign w:val="center"/>
          </w:tcPr>
          <w:p w14:paraId="1F1595F4">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52132D64">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配送数量浮动标准</w:t>
            </w:r>
          </w:p>
        </w:tc>
        <w:tc>
          <w:tcPr>
            <w:tcW w:w="6250" w:type="dxa"/>
            <w:vAlign w:val="center"/>
          </w:tcPr>
          <w:p w14:paraId="53D8E59E">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一般货物实际供应量在计划数量基础上，上下浮动不得超过±5%，如超过相应比例视作违规配送，每个单品一次扣1分（特殊情况经需方同意的除外）。</w:t>
            </w:r>
          </w:p>
        </w:tc>
      </w:tr>
      <w:tr w14:paraId="6ADA5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37" w:type="dxa"/>
            <w:vMerge w:val="restart"/>
            <w:vAlign w:val="center"/>
          </w:tcPr>
          <w:p w14:paraId="0ACDA0AF">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服务质量</w:t>
            </w:r>
          </w:p>
        </w:tc>
        <w:tc>
          <w:tcPr>
            <w:tcW w:w="1925" w:type="dxa"/>
            <w:vAlign w:val="center"/>
          </w:tcPr>
          <w:p w14:paraId="35EA2E48">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配送时间</w:t>
            </w:r>
          </w:p>
        </w:tc>
        <w:tc>
          <w:tcPr>
            <w:tcW w:w="6250" w:type="dxa"/>
            <w:vAlign w:val="center"/>
          </w:tcPr>
          <w:p w14:paraId="010AF944">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每日所需物资须于当日需方要求供货时间送达，临时供餐任务所需的桌餐食材、应急采购任务（</w:t>
            </w:r>
            <w:r>
              <w:rPr>
                <w:rFonts w:hint="eastAsia" w:ascii="方正仿宋_GBK" w:hAnsi="方正仿宋_GBK" w:eastAsia="方正仿宋_GBK" w:cs="方正仿宋_GBK"/>
                <w:color w:val="auto"/>
                <w:kern w:val="0"/>
                <w:sz w:val="24"/>
                <w:szCs w:val="24"/>
                <w:highlight w:val="none"/>
              </w:rPr>
              <w:t>重大活动、</w:t>
            </w:r>
            <w:r>
              <w:rPr>
                <w:rFonts w:hint="eastAsia" w:ascii="方正仿宋_GBK" w:hAnsi="宋体" w:eastAsia="方正仿宋_GBK"/>
                <w:color w:val="auto"/>
                <w:sz w:val="24"/>
                <w:szCs w:val="24"/>
                <w:highlight w:val="none"/>
              </w:rPr>
              <w:t>突发事件保障）必须按照约定时间送达，迟到30分钟内（含30分钟），每次扣2分；迟到30分钟以上60分钟以内（含60分钟）每次扣3分；迟到60分钟以上扣5分。</w:t>
            </w:r>
            <w:r>
              <w:rPr>
                <w:rFonts w:hint="eastAsia" w:ascii="方正仿宋_GBK" w:hAnsi="方正仿宋_GBK" w:eastAsia="方正仿宋_GBK" w:cs="方正仿宋_GBK"/>
                <w:color w:val="auto"/>
                <w:kern w:val="0"/>
                <w:sz w:val="24"/>
                <w:szCs w:val="24"/>
                <w:highlight w:val="none"/>
              </w:rPr>
              <w:t>推诿、敷衍拒绝送货等情况，每次扣5分。</w:t>
            </w:r>
          </w:p>
        </w:tc>
      </w:tr>
      <w:tr w14:paraId="5DAE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937" w:type="dxa"/>
            <w:vMerge w:val="continue"/>
            <w:vAlign w:val="center"/>
          </w:tcPr>
          <w:p w14:paraId="224E621E">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2D2D8E8D">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漏送货情况，退换、补货情况</w:t>
            </w:r>
          </w:p>
        </w:tc>
        <w:tc>
          <w:tcPr>
            <w:tcW w:w="6250" w:type="dxa"/>
            <w:vAlign w:val="center"/>
          </w:tcPr>
          <w:p w14:paraId="5CF1C426">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漏送货在不影响开餐的情况下，第一次扣2分，第二次扣5分，因漏送货、退货等原因导致货物不足的，必须按照规定时间补足货物</w:t>
            </w:r>
            <w:r>
              <w:rPr>
                <w:rFonts w:hint="eastAsia" w:ascii="方正仿宋_GBK" w:hAnsi="方正仿宋_GBK" w:eastAsia="方正仿宋_GBK" w:cs="方正仿宋_GBK"/>
                <w:color w:val="auto"/>
                <w:kern w:val="0"/>
                <w:sz w:val="24"/>
                <w:szCs w:val="24"/>
                <w:highlight w:val="none"/>
              </w:rPr>
              <w:t>。</w:t>
            </w:r>
          </w:p>
        </w:tc>
      </w:tr>
      <w:tr w14:paraId="14671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37" w:type="dxa"/>
            <w:vMerge w:val="continue"/>
            <w:vAlign w:val="center"/>
          </w:tcPr>
          <w:p w14:paraId="39E3E13B">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6DCB0AE5">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价格确认</w:t>
            </w:r>
          </w:p>
        </w:tc>
        <w:tc>
          <w:tcPr>
            <w:tcW w:w="6250" w:type="dxa"/>
            <w:vAlign w:val="center"/>
          </w:tcPr>
          <w:p w14:paraId="350FE9D6">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接到需方定价表后如有异议，必须于12小时内按约定格式回复，不按照规定时间回复的，视为无异议，需方将按照定价表执行；不按约定格式回复的，一次扣2分。</w:t>
            </w:r>
          </w:p>
        </w:tc>
      </w:tr>
      <w:tr w14:paraId="1215C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937" w:type="dxa"/>
            <w:vMerge w:val="continue"/>
            <w:vAlign w:val="center"/>
          </w:tcPr>
          <w:p w14:paraId="4B8D9F65">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48DB85B5">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对账及结算</w:t>
            </w:r>
          </w:p>
        </w:tc>
        <w:tc>
          <w:tcPr>
            <w:tcW w:w="6250" w:type="dxa"/>
            <w:vAlign w:val="center"/>
          </w:tcPr>
          <w:p w14:paraId="1EC61AE6">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对账及时准确，每月5日前核对清楚上月账目，因供方原因延误一天扣1分，以此类推；每月对账确认后，供方应在每月10日前开具发票，每逾期一日扣1分。</w:t>
            </w:r>
          </w:p>
        </w:tc>
      </w:tr>
      <w:tr w14:paraId="40EE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937" w:type="dxa"/>
            <w:vMerge w:val="restart"/>
            <w:vAlign w:val="center"/>
          </w:tcPr>
          <w:p w14:paraId="18822103">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人员车辆管理</w:t>
            </w:r>
          </w:p>
        </w:tc>
        <w:tc>
          <w:tcPr>
            <w:tcW w:w="1925" w:type="dxa"/>
            <w:vAlign w:val="center"/>
          </w:tcPr>
          <w:p w14:paraId="76FE1713">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员工健康、个人卫生管理。</w:t>
            </w:r>
          </w:p>
        </w:tc>
        <w:tc>
          <w:tcPr>
            <w:tcW w:w="6250" w:type="dxa"/>
            <w:vAlign w:val="center"/>
          </w:tcPr>
          <w:p w14:paraId="203C02F2">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员工需衣着整洁，个人清洁卫生干净，不符合要求一次扣1分；抽检配送员工的《健康证》，如没有的一人次扣2分，要求更换配送员工。</w:t>
            </w:r>
          </w:p>
        </w:tc>
      </w:tr>
      <w:tr w14:paraId="6BAD8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937" w:type="dxa"/>
            <w:vMerge w:val="continue"/>
            <w:vAlign w:val="center"/>
          </w:tcPr>
          <w:p w14:paraId="79862417">
            <w:pPr>
              <w:snapToGrid w:val="0"/>
              <w:spacing w:line="400" w:lineRule="exact"/>
              <w:jc w:val="center"/>
              <w:rPr>
                <w:rFonts w:ascii="方正仿宋_GBK" w:hAnsi="宋体" w:eastAsia="方正仿宋_GBK"/>
                <w:color w:val="auto"/>
                <w:sz w:val="24"/>
                <w:szCs w:val="24"/>
                <w:highlight w:val="none"/>
              </w:rPr>
            </w:pPr>
          </w:p>
        </w:tc>
        <w:tc>
          <w:tcPr>
            <w:tcW w:w="1925" w:type="dxa"/>
            <w:vAlign w:val="center"/>
          </w:tcPr>
          <w:p w14:paraId="09F4930A">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配送车辆管理</w:t>
            </w:r>
          </w:p>
        </w:tc>
        <w:tc>
          <w:tcPr>
            <w:tcW w:w="6250" w:type="dxa"/>
            <w:vAlign w:val="center"/>
          </w:tcPr>
          <w:p w14:paraId="6D4504A1">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配送物流车必须干净整洁，外观破损或车内有明显异味一次扣0.5分，车内脏乱差一次扣1分。</w:t>
            </w:r>
          </w:p>
        </w:tc>
      </w:tr>
      <w:tr w14:paraId="195EF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937" w:type="dxa"/>
            <w:vMerge w:val="restart"/>
            <w:vAlign w:val="center"/>
          </w:tcPr>
          <w:p w14:paraId="29968E35">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其他</w:t>
            </w:r>
          </w:p>
        </w:tc>
        <w:tc>
          <w:tcPr>
            <w:tcW w:w="1925" w:type="dxa"/>
            <w:vAlign w:val="center"/>
          </w:tcPr>
          <w:p w14:paraId="34DB65E9">
            <w:pPr>
              <w:snapToGrid w:val="0"/>
              <w:spacing w:line="400" w:lineRule="exac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履行合同约定情况</w:t>
            </w:r>
          </w:p>
        </w:tc>
        <w:tc>
          <w:tcPr>
            <w:tcW w:w="6250" w:type="dxa"/>
            <w:vAlign w:val="center"/>
          </w:tcPr>
          <w:p w14:paraId="57337A27">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合同、投标文件、招标文件、供应商承诺书等约定或承诺的相关事项，未完成一项每次扣2分。</w:t>
            </w:r>
          </w:p>
        </w:tc>
      </w:tr>
      <w:tr w14:paraId="6AA8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7" w:type="dxa"/>
            <w:vMerge w:val="continue"/>
            <w:vAlign w:val="center"/>
          </w:tcPr>
          <w:p w14:paraId="2EA77799">
            <w:pPr>
              <w:snapToGrid w:val="0"/>
              <w:spacing w:line="400" w:lineRule="exact"/>
              <w:jc w:val="center"/>
              <w:rPr>
                <w:rFonts w:ascii="方正仿宋_GBK" w:hAnsi="宋体" w:eastAsia="方正仿宋_GBK"/>
                <w:color w:val="auto"/>
                <w:sz w:val="24"/>
                <w:szCs w:val="24"/>
                <w:highlight w:val="none"/>
              </w:rPr>
            </w:pPr>
          </w:p>
        </w:tc>
        <w:tc>
          <w:tcPr>
            <w:tcW w:w="1925" w:type="dxa"/>
            <w:vMerge w:val="restart"/>
            <w:vAlign w:val="center"/>
          </w:tcPr>
          <w:p w14:paraId="11356B4E">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其他</w:t>
            </w:r>
          </w:p>
        </w:tc>
        <w:tc>
          <w:tcPr>
            <w:tcW w:w="6250" w:type="dxa"/>
            <w:vAlign w:val="center"/>
          </w:tcPr>
          <w:p w14:paraId="6480E293">
            <w:pPr>
              <w:snapToGrid w:val="0"/>
              <w:spacing w:line="400" w:lineRule="exact"/>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违反需方管理规定或对需方造成不良影响等情况一次扣3分。</w:t>
            </w:r>
          </w:p>
        </w:tc>
      </w:tr>
      <w:tr w14:paraId="54C9F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937" w:type="dxa"/>
            <w:vMerge w:val="continue"/>
            <w:vAlign w:val="center"/>
          </w:tcPr>
          <w:p w14:paraId="70964EC1">
            <w:pPr>
              <w:snapToGrid w:val="0"/>
              <w:spacing w:line="400" w:lineRule="exact"/>
              <w:jc w:val="center"/>
              <w:rPr>
                <w:rFonts w:ascii="方正仿宋_GBK" w:hAnsi="宋体" w:eastAsia="方正仿宋_GBK"/>
                <w:color w:val="auto"/>
                <w:sz w:val="24"/>
                <w:szCs w:val="24"/>
                <w:highlight w:val="none"/>
              </w:rPr>
            </w:pPr>
          </w:p>
        </w:tc>
        <w:tc>
          <w:tcPr>
            <w:tcW w:w="1925" w:type="dxa"/>
            <w:vMerge w:val="continue"/>
            <w:vAlign w:val="center"/>
          </w:tcPr>
          <w:p w14:paraId="3677D6C7">
            <w:pPr>
              <w:snapToGrid w:val="0"/>
              <w:spacing w:line="400" w:lineRule="exact"/>
              <w:jc w:val="center"/>
              <w:rPr>
                <w:rFonts w:ascii="方正仿宋_GBK" w:hAnsi="宋体" w:eastAsia="方正仿宋_GBK"/>
                <w:color w:val="auto"/>
                <w:sz w:val="24"/>
                <w:szCs w:val="24"/>
                <w:highlight w:val="none"/>
              </w:rPr>
            </w:pPr>
          </w:p>
        </w:tc>
        <w:tc>
          <w:tcPr>
            <w:tcW w:w="6250" w:type="dxa"/>
            <w:vAlign w:val="center"/>
          </w:tcPr>
          <w:p w14:paraId="00FF8E14">
            <w:pPr>
              <w:snapToGrid w:val="0"/>
              <w:spacing w:line="400" w:lineRule="exact"/>
              <w:jc w:val="left"/>
              <w:rPr>
                <w:rFonts w:ascii="方正仿宋_GBK" w:hAnsi="宋体" w:eastAsia="方正仿宋_GBK"/>
                <w:color w:val="auto"/>
                <w:sz w:val="24"/>
                <w:szCs w:val="24"/>
                <w:highlight w:val="none"/>
              </w:rPr>
            </w:pPr>
            <w:r>
              <w:rPr>
                <w:rFonts w:hint="eastAsia" w:ascii="仿宋_GB2312" w:hAnsi="仿宋" w:eastAsia="仿宋_GB2312" w:cs="宋体"/>
                <w:color w:val="auto"/>
                <w:kern w:val="0"/>
                <w:sz w:val="24"/>
                <w:szCs w:val="24"/>
                <w:highlight w:val="none"/>
              </w:rPr>
              <w:t>寒暑假期间，乙方应将食堂剩余的未拆装整件物资免费运回，并在假期结束后更换同数量、质量的新鲜物资配送回食堂，拒绝响应的扣5分。</w:t>
            </w:r>
          </w:p>
        </w:tc>
      </w:tr>
    </w:tbl>
    <w:p w14:paraId="62377B41">
      <w:pPr>
        <w:snapToGrid w:val="0"/>
        <w:spacing w:line="400" w:lineRule="exact"/>
        <w:ind w:firstLine="240" w:firstLineChars="100"/>
        <w:jc w:val="left"/>
        <w:rPr>
          <w:rFonts w:ascii="方正仿宋_GBK" w:hAnsi="方正仿宋_GBK" w:eastAsia="方正仿宋_GBK" w:cs="方正仿宋_GBK"/>
          <w:b/>
          <w:color w:val="auto"/>
          <w:sz w:val="24"/>
          <w:szCs w:val="24"/>
          <w:highlight w:val="none"/>
        </w:rPr>
      </w:pPr>
      <w:r>
        <w:rPr>
          <w:rFonts w:hint="eastAsia" w:ascii="方正仿宋_GBK" w:eastAsia="方正仿宋_GBK"/>
          <w:color w:val="auto"/>
          <w:sz w:val="24"/>
          <w:szCs w:val="24"/>
          <w:highlight w:val="none"/>
        </w:rPr>
        <w:t>※九</w:t>
      </w:r>
      <w:r>
        <w:rPr>
          <w:rFonts w:hint="eastAsia" w:ascii="方正仿宋_GBK" w:hAnsi="方正仿宋_GBK" w:eastAsia="方正仿宋_GBK" w:cs="方正仿宋_GBK"/>
          <w:b/>
          <w:color w:val="auto"/>
          <w:sz w:val="24"/>
          <w:szCs w:val="24"/>
          <w:highlight w:val="none"/>
        </w:rPr>
        <w:t>、</w:t>
      </w:r>
      <w:bookmarkEnd w:id="99"/>
      <w:r>
        <w:rPr>
          <w:rFonts w:hint="eastAsia" w:ascii="方正仿宋_GBK" w:hAnsi="方正仿宋_GBK" w:eastAsia="方正仿宋_GBK" w:cs="方正仿宋_GBK"/>
          <w:b/>
          <w:color w:val="auto"/>
          <w:sz w:val="24"/>
          <w:szCs w:val="24"/>
          <w:highlight w:val="none"/>
        </w:rPr>
        <w:t>其他商务要求内容</w:t>
      </w:r>
      <w:bookmarkEnd w:id="100"/>
      <w:bookmarkEnd w:id="101"/>
    </w:p>
    <w:p w14:paraId="058061BB">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1.招标工作完成后，采购人后勤处代表采购人实施本项目的履约管理。</w:t>
      </w:r>
    </w:p>
    <w:p w14:paraId="2931F2BD">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2．中标人供货人员和车辆的安全责任，由中标人承担并完善相关保险手续等。</w:t>
      </w:r>
    </w:p>
    <w:p w14:paraId="7C3A1226">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3．中标人所供产品出现质量问题，中标人应承担全部法律、经济责任。</w:t>
      </w:r>
    </w:p>
    <w:p w14:paraId="5AD745AC">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4．中标人在供货期间，因自身原因造成事故事件等，所有后果由中标人自行承担。</w:t>
      </w:r>
    </w:p>
    <w:p w14:paraId="0F98B9B8">
      <w:pPr>
        <w:snapToGrid w:val="0"/>
        <w:spacing w:line="276" w:lineRule="auto"/>
        <w:ind w:left="140" w:leftChars="50" w:firstLine="360" w:firstLineChars="15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5.中标人须保证所供产品的卫生、质量及包装等必须符合《中华人民共和国产品质量法》《中华人民共和国计量法》《中华人民共和国食品安全法》《中华人民共和国消费者权益保护法》等要求。</w:t>
      </w:r>
    </w:p>
    <w:p w14:paraId="71198056">
      <w:pPr>
        <w:spacing w:line="276" w:lineRule="auto"/>
        <w:ind w:firstLine="480" w:firstLineChars="200"/>
        <w:rPr>
          <w:rFonts w:ascii="方正仿宋_GBK" w:hAnsi="宋体" w:eastAsia="方正仿宋_GBK"/>
          <w:b/>
          <w:bCs/>
          <w:color w:val="auto"/>
          <w:sz w:val="24"/>
          <w:szCs w:val="24"/>
          <w:highlight w:val="none"/>
        </w:rPr>
      </w:pPr>
      <w:r>
        <w:rPr>
          <w:rFonts w:hint="eastAsia" w:ascii="方正仿宋_GBK" w:hAnsi="宋体" w:eastAsia="方正仿宋_GBK"/>
          <w:color w:val="auto"/>
          <w:sz w:val="24"/>
          <w:szCs w:val="24"/>
          <w:highlight w:val="none"/>
        </w:rPr>
        <w:t>6.中标人在合同期内未能严格履约，存在诸如货品质量问题、服务满意度评价等未达到合同要求时，采购人有权终止采购合同。</w:t>
      </w:r>
    </w:p>
    <w:p w14:paraId="47E8B77C">
      <w:pPr>
        <w:snapToGrid w:val="0"/>
        <w:spacing w:line="276" w:lineRule="auto"/>
        <w:rPr>
          <w:rFonts w:ascii="方正仿宋_GBK" w:hAnsi="宋体" w:eastAsia="方正仿宋_GBK" w:cs="宋体"/>
          <w:color w:val="auto"/>
          <w:kern w:val="0"/>
          <w:sz w:val="24"/>
          <w:szCs w:val="24"/>
          <w:highlight w:val="none"/>
        </w:rPr>
        <w:sectPr>
          <w:footerReference r:id="rId8" w:type="default"/>
          <w:footerReference r:id="rId9" w:type="even"/>
          <w:pgSz w:w="11907" w:h="16840"/>
          <w:pgMar w:top="1134" w:right="1191" w:bottom="1134" w:left="1304" w:header="964" w:footer="992" w:gutter="0"/>
          <w:pgNumType w:fmt="numberInDash"/>
          <w:cols w:space="720" w:num="1"/>
          <w:docGrid w:linePitch="312" w:charSpace="0"/>
        </w:sectPr>
      </w:pPr>
    </w:p>
    <w:p w14:paraId="4D9691BB">
      <w:pPr>
        <w:pStyle w:val="4"/>
        <w:spacing w:before="0" w:beforeLines="0" w:after="0" w:afterLines="0" w:line="276" w:lineRule="auto"/>
        <w:rPr>
          <w:rFonts w:ascii="方正仿宋_GBK" w:hAnsi="宋体" w:eastAsia="方正仿宋_GBK"/>
          <w:b/>
          <w:color w:val="auto"/>
          <w:szCs w:val="44"/>
          <w:highlight w:val="none"/>
        </w:rPr>
      </w:pPr>
      <w:bookmarkStart w:id="102" w:name="_Toc129178881"/>
      <w:bookmarkStart w:id="103" w:name="_Toc30822"/>
      <w:bookmarkStart w:id="104" w:name="_Toc19378"/>
      <w:bookmarkStart w:id="105" w:name="_Toc115877705"/>
      <w:r>
        <w:rPr>
          <w:rFonts w:hint="eastAsia" w:ascii="方正仿宋_GBK" w:hAnsi="宋体" w:eastAsia="方正仿宋_GBK"/>
          <w:b/>
          <w:color w:val="auto"/>
          <w:szCs w:val="44"/>
          <w:highlight w:val="none"/>
        </w:rPr>
        <w:t>第四篇  资格审查及评标办法</w:t>
      </w:r>
      <w:bookmarkEnd w:id="102"/>
      <w:bookmarkEnd w:id="103"/>
      <w:bookmarkEnd w:id="104"/>
      <w:bookmarkEnd w:id="105"/>
    </w:p>
    <w:p w14:paraId="2461A234">
      <w:pPr>
        <w:pStyle w:val="5"/>
        <w:spacing w:line="276" w:lineRule="auto"/>
        <w:ind w:firstLine="482" w:firstLineChars="200"/>
        <w:rPr>
          <w:rFonts w:ascii="方正仿宋_GBK" w:eastAsia="方正仿宋_GBK"/>
          <w:b/>
          <w:color w:val="auto"/>
          <w:sz w:val="24"/>
          <w:szCs w:val="24"/>
          <w:highlight w:val="none"/>
        </w:rPr>
      </w:pPr>
      <w:bookmarkStart w:id="106" w:name="_Toc115877706"/>
      <w:bookmarkStart w:id="107" w:name="_Toc2979"/>
      <w:bookmarkStart w:id="108" w:name="_Toc129178882"/>
      <w:bookmarkStart w:id="109" w:name="_Toc492721015"/>
      <w:bookmarkStart w:id="110" w:name="_Toc28382"/>
      <w:r>
        <w:rPr>
          <w:rFonts w:hint="eastAsia" w:ascii="方正仿宋_GBK" w:eastAsia="方正仿宋_GBK"/>
          <w:b/>
          <w:color w:val="auto"/>
          <w:sz w:val="24"/>
          <w:szCs w:val="24"/>
          <w:highlight w:val="none"/>
        </w:rPr>
        <w:t>一、资格审查</w:t>
      </w:r>
      <w:bookmarkEnd w:id="106"/>
      <w:bookmarkEnd w:id="107"/>
      <w:bookmarkEnd w:id="108"/>
      <w:bookmarkEnd w:id="109"/>
      <w:bookmarkEnd w:id="110"/>
    </w:p>
    <w:p w14:paraId="5098749D">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依据政府采购相关法律法规规定，由采购人或采购代理机构对投标文件中的资格证明文件进行审查。资格审查资料表如下：</w:t>
      </w:r>
    </w:p>
    <w:tbl>
      <w:tblPr>
        <w:tblStyle w:val="20"/>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139"/>
        <w:gridCol w:w="3641"/>
        <w:gridCol w:w="3730"/>
      </w:tblGrid>
      <w:tr w14:paraId="05DF6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846" w:type="dxa"/>
            <w:vAlign w:val="center"/>
          </w:tcPr>
          <w:p w14:paraId="03BE8F12">
            <w:pPr>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序号</w:t>
            </w:r>
          </w:p>
        </w:tc>
        <w:tc>
          <w:tcPr>
            <w:tcW w:w="4780" w:type="dxa"/>
            <w:gridSpan w:val="2"/>
            <w:vAlign w:val="center"/>
          </w:tcPr>
          <w:p w14:paraId="40834575">
            <w:pPr>
              <w:snapToGrid w:val="0"/>
              <w:ind w:firstLine="480" w:firstLineChars="20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检查因素</w:t>
            </w:r>
          </w:p>
        </w:tc>
        <w:tc>
          <w:tcPr>
            <w:tcW w:w="3730" w:type="dxa"/>
            <w:vAlign w:val="center"/>
          </w:tcPr>
          <w:p w14:paraId="070C81E2">
            <w:pPr>
              <w:snapToGrid w:val="0"/>
              <w:ind w:firstLine="480" w:firstLineChars="20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检查内容</w:t>
            </w:r>
          </w:p>
        </w:tc>
      </w:tr>
      <w:tr w14:paraId="6B6ED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restart"/>
            <w:vAlign w:val="center"/>
          </w:tcPr>
          <w:p w14:paraId="67C753C1">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（一）</w:t>
            </w:r>
          </w:p>
        </w:tc>
        <w:tc>
          <w:tcPr>
            <w:tcW w:w="1139" w:type="dxa"/>
            <w:vMerge w:val="restart"/>
            <w:vAlign w:val="center"/>
          </w:tcPr>
          <w:p w14:paraId="64E503A7">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《中华人民共和国政府采购法》第二十二条规定</w:t>
            </w:r>
          </w:p>
        </w:tc>
        <w:tc>
          <w:tcPr>
            <w:tcW w:w="3641" w:type="dxa"/>
            <w:vAlign w:val="center"/>
          </w:tcPr>
          <w:p w14:paraId="40CA1721">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1.具有独立承担民事责任的能力</w:t>
            </w:r>
          </w:p>
        </w:tc>
        <w:tc>
          <w:tcPr>
            <w:tcW w:w="3730" w:type="dxa"/>
            <w:vAlign w:val="center"/>
          </w:tcPr>
          <w:p w14:paraId="23E61153">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1.供应商企业法人营业执照（副本）（提供复印件）。 </w:t>
            </w:r>
          </w:p>
          <w:p w14:paraId="4C3369CE">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2.供应商法定代表人身份证明和法定代表人授权代表委托书。</w:t>
            </w:r>
          </w:p>
        </w:tc>
      </w:tr>
      <w:tr w14:paraId="0C86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14:paraId="162FB38D">
            <w:pPr>
              <w:snapToGrid w:val="0"/>
              <w:ind w:firstLine="480" w:firstLineChars="200"/>
              <w:rPr>
                <w:rFonts w:ascii="方正仿宋_GBK" w:hAnsi="方正仿宋_GBK" w:eastAsia="方正仿宋_GBK" w:cs="方正仿宋_GBK"/>
                <w:color w:val="auto"/>
                <w:sz w:val="24"/>
                <w:szCs w:val="24"/>
                <w:highlight w:val="none"/>
              </w:rPr>
            </w:pPr>
          </w:p>
        </w:tc>
        <w:tc>
          <w:tcPr>
            <w:tcW w:w="1139" w:type="dxa"/>
            <w:vMerge w:val="continue"/>
            <w:vAlign w:val="center"/>
          </w:tcPr>
          <w:p w14:paraId="3F07DAF3">
            <w:pPr>
              <w:snapToGrid w:val="0"/>
              <w:ind w:firstLine="480" w:firstLineChars="200"/>
              <w:rPr>
                <w:rFonts w:ascii="方正仿宋_GBK" w:hAnsi="方正仿宋_GBK" w:eastAsia="方正仿宋_GBK" w:cs="方正仿宋_GBK"/>
                <w:color w:val="auto"/>
                <w:sz w:val="24"/>
                <w:szCs w:val="24"/>
                <w:highlight w:val="none"/>
              </w:rPr>
            </w:pPr>
          </w:p>
        </w:tc>
        <w:tc>
          <w:tcPr>
            <w:tcW w:w="3641" w:type="dxa"/>
            <w:vAlign w:val="center"/>
          </w:tcPr>
          <w:p w14:paraId="2B6774FE">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2.具有良好的商业信誉和健全的财务会计制度</w:t>
            </w:r>
          </w:p>
        </w:tc>
        <w:tc>
          <w:tcPr>
            <w:tcW w:w="3730" w:type="dxa"/>
            <w:vMerge w:val="restart"/>
            <w:vAlign w:val="center"/>
          </w:tcPr>
          <w:p w14:paraId="3B001083">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供应商提供“基本资格条件承诺函”（详见第七篇）</w:t>
            </w:r>
          </w:p>
        </w:tc>
      </w:tr>
      <w:tr w14:paraId="4DF7D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14:paraId="14BB4726">
            <w:pPr>
              <w:snapToGrid w:val="0"/>
              <w:ind w:firstLine="480" w:firstLineChars="200"/>
              <w:rPr>
                <w:rFonts w:ascii="方正仿宋_GBK" w:hAnsi="方正仿宋_GBK" w:eastAsia="方正仿宋_GBK" w:cs="方正仿宋_GBK"/>
                <w:color w:val="auto"/>
                <w:sz w:val="24"/>
                <w:szCs w:val="24"/>
                <w:highlight w:val="none"/>
              </w:rPr>
            </w:pPr>
          </w:p>
        </w:tc>
        <w:tc>
          <w:tcPr>
            <w:tcW w:w="1139" w:type="dxa"/>
            <w:vMerge w:val="continue"/>
            <w:vAlign w:val="center"/>
          </w:tcPr>
          <w:p w14:paraId="6FA530A7">
            <w:pPr>
              <w:snapToGrid w:val="0"/>
              <w:ind w:firstLine="480" w:firstLineChars="200"/>
              <w:rPr>
                <w:rFonts w:ascii="方正仿宋_GBK" w:hAnsi="方正仿宋_GBK" w:eastAsia="方正仿宋_GBK" w:cs="方正仿宋_GBK"/>
                <w:color w:val="auto"/>
                <w:sz w:val="24"/>
                <w:szCs w:val="24"/>
                <w:highlight w:val="none"/>
              </w:rPr>
            </w:pPr>
          </w:p>
        </w:tc>
        <w:tc>
          <w:tcPr>
            <w:tcW w:w="3641" w:type="dxa"/>
            <w:vAlign w:val="center"/>
          </w:tcPr>
          <w:p w14:paraId="2F486B2F">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3.具有履行合同所必需的设备和专业技术能力</w:t>
            </w:r>
          </w:p>
        </w:tc>
        <w:tc>
          <w:tcPr>
            <w:tcW w:w="3730" w:type="dxa"/>
            <w:vMerge w:val="continue"/>
            <w:vAlign w:val="center"/>
          </w:tcPr>
          <w:p w14:paraId="0844AEF0">
            <w:pPr>
              <w:snapToGrid w:val="0"/>
              <w:ind w:firstLine="480" w:firstLineChars="200"/>
              <w:rPr>
                <w:rFonts w:ascii="方正仿宋_GBK" w:hAnsi="方正仿宋_GBK" w:eastAsia="方正仿宋_GBK" w:cs="方正仿宋_GBK"/>
                <w:color w:val="auto"/>
                <w:sz w:val="24"/>
                <w:szCs w:val="24"/>
                <w:highlight w:val="none"/>
              </w:rPr>
            </w:pPr>
          </w:p>
        </w:tc>
      </w:tr>
      <w:tr w14:paraId="7B981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14:paraId="39085037">
            <w:pPr>
              <w:snapToGrid w:val="0"/>
              <w:ind w:firstLine="480" w:firstLineChars="200"/>
              <w:rPr>
                <w:rFonts w:ascii="方正仿宋_GBK" w:hAnsi="方正仿宋_GBK" w:eastAsia="方正仿宋_GBK" w:cs="方正仿宋_GBK"/>
                <w:color w:val="auto"/>
                <w:sz w:val="24"/>
                <w:szCs w:val="24"/>
                <w:highlight w:val="none"/>
              </w:rPr>
            </w:pPr>
          </w:p>
        </w:tc>
        <w:tc>
          <w:tcPr>
            <w:tcW w:w="1139" w:type="dxa"/>
            <w:vMerge w:val="continue"/>
            <w:vAlign w:val="center"/>
          </w:tcPr>
          <w:p w14:paraId="0EFA2666">
            <w:pPr>
              <w:snapToGrid w:val="0"/>
              <w:ind w:firstLine="480" w:firstLineChars="200"/>
              <w:rPr>
                <w:rFonts w:ascii="方正仿宋_GBK" w:hAnsi="方正仿宋_GBK" w:eastAsia="方正仿宋_GBK" w:cs="方正仿宋_GBK"/>
                <w:color w:val="auto"/>
                <w:sz w:val="24"/>
                <w:szCs w:val="24"/>
                <w:highlight w:val="none"/>
              </w:rPr>
            </w:pPr>
          </w:p>
        </w:tc>
        <w:tc>
          <w:tcPr>
            <w:tcW w:w="3641" w:type="dxa"/>
            <w:vAlign w:val="center"/>
          </w:tcPr>
          <w:p w14:paraId="2D9FD76B">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4.有依法缴纳税收和社会保障金的良好记录</w:t>
            </w:r>
          </w:p>
        </w:tc>
        <w:tc>
          <w:tcPr>
            <w:tcW w:w="3730" w:type="dxa"/>
            <w:vMerge w:val="continue"/>
            <w:vAlign w:val="center"/>
          </w:tcPr>
          <w:p w14:paraId="6817FED5">
            <w:pPr>
              <w:snapToGrid w:val="0"/>
              <w:ind w:firstLine="480" w:firstLineChars="200"/>
              <w:rPr>
                <w:rFonts w:ascii="方正仿宋_GBK" w:hAnsi="方正仿宋_GBK" w:eastAsia="方正仿宋_GBK" w:cs="方正仿宋_GBK"/>
                <w:color w:val="auto"/>
                <w:sz w:val="24"/>
                <w:szCs w:val="24"/>
                <w:highlight w:val="none"/>
              </w:rPr>
            </w:pPr>
          </w:p>
        </w:tc>
      </w:tr>
      <w:tr w14:paraId="6219B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14:paraId="15E45323">
            <w:pPr>
              <w:snapToGrid w:val="0"/>
              <w:ind w:firstLine="480" w:firstLineChars="200"/>
              <w:rPr>
                <w:rFonts w:ascii="方正仿宋_GBK" w:hAnsi="方正仿宋_GBK" w:eastAsia="方正仿宋_GBK" w:cs="方正仿宋_GBK"/>
                <w:color w:val="auto"/>
                <w:sz w:val="24"/>
                <w:szCs w:val="24"/>
                <w:highlight w:val="none"/>
              </w:rPr>
            </w:pPr>
          </w:p>
        </w:tc>
        <w:tc>
          <w:tcPr>
            <w:tcW w:w="1139" w:type="dxa"/>
            <w:vMerge w:val="continue"/>
            <w:vAlign w:val="center"/>
          </w:tcPr>
          <w:p w14:paraId="73561332">
            <w:pPr>
              <w:snapToGrid w:val="0"/>
              <w:ind w:firstLine="480" w:firstLineChars="200"/>
              <w:rPr>
                <w:rFonts w:ascii="方正仿宋_GBK" w:hAnsi="方正仿宋_GBK" w:eastAsia="方正仿宋_GBK" w:cs="方正仿宋_GBK"/>
                <w:color w:val="auto"/>
                <w:sz w:val="24"/>
                <w:szCs w:val="24"/>
                <w:highlight w:val="none"/>
              </w:rPr>
            </w:pPr>
          </w:p>
        </w:tc>
        <w:tc>
          <w:tcPr>
            <w:tcW w:w="3641" w:type="dxa"/>
            <w:vAlign w:val="center"/>
          </w:tcPr>
          <w:p w14:paraId="482B48D2">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5.参加政府采购活动前三年内，在经营活动中没有重大违法记录（注</w:t>
            </w:r>
            <w:r>
              <w:rPr>
                <w:rFonts w:hint="eastAsia" w:ascii="方正仿宋_GBK" w:hAnsi="方正仿宋_GBK" w:eastAsia="方正仿宋_GBK" w:cs="方正仿宋_GBK"/>
                <w:color w:val="auto"/>
                <w:sz w:val="24"/>
                <w:szCs w:val="24"/>
                <w:highlight w:val="none"/>
              </w:rPr>
              <w:fldChar w:fldCharType="begin"/>
            </w:r>
            <w:r>
              <w:rPr>
                <w:rFonts w:hint="eastAsia" w:ascii="方正仿宋_GBK" w:hAnsi="方正仿宋_GBK" w:eastAsia="方正仿宋_GBK" w:cs="方正仿宋_GBK"/>
                <w:color w:val="auto"/>
                <w:sz w:val="24"/>
                <w:szCs w:val="24"/>
                <w:highlight w:val="none"/>
              </w:rPr>
              <w:instrText xml:space="preserve"> eq \o\ac(</w:instrText>
            </w:r>
            <w:r>
              <w:rPr>
                <w:rFonts w:hint="eastAsia" w:ascii="方正仿宋_GBK" w:hAnsi="方正仿宋_GBK" w:eastAsia="方正仿宋_GBK" w:cs="方正仿宋_GBK"/>
                <w:color w:val="auto"/>
                <w:position w:val="-4"/>
                <w:sz w:val="36"/>
                <w:szCs w:val="24"/>
                <w:highlight w:val="none"/>
              </w:rPr>
              <w:instrText xml:space="preserve">○</w:instrText>
            </w:r>
            <w:r>
              <w:rPr>
                <w:rFonts w:hint="eastAsia" w:ascii="方正仿宋_GBK" w:hAnsi="方正仿宋_GBK" w:eastAsia="方正仿宋_GBK" w:cs="方正仿宋_GBK"/>
                <w:color w:val="auto"/>
                <w:sz w:val="24"/>
                <w:szCs w:val="24"/>
                <w:highlight w:val="none"/>
              </w:rPr>
              <w:instrText xml:space="preserve">,1)</w:instrText>
            </w:r>
            <w:r>
              <w:rPr>
                <w:rFonts w:hint="eastAsia" w:ascii="方正仿宋_GBK" w:hAnsi="方正仿宋_GBK" w:eastAsia="方正仿宋_GBK" w:cs="方正仿宋_GBK"/>
                <w:color w:val="auto"/>
                <w:sz w:val="24"/>
                <w:szCs w:val="24"/>
                <w:highlight w:val="none"/>
              </w:rPr>
              <w:fldChar w:fldCharType="end"/>
            </w:r>
            <w:r>
              <w:rPr>
                <w:rFonts w:hint="eastAsia" w:ascii="方正仿宋_GBK" w:hAnsi="方正仿宋_GBK" w:eastAsia="方正仿宋_GBK" w:cs="方正仿宋_GBK"/>
                <w:color w:val="auto"/>
                <w:sz w:val="24"/>
                <w:szCs w:val="24"/>
                <w:highlight w:val="none"/>
              </w:rPr>
              <w:t>）</w:t>
            </w:r>
          </w:p>
        </w:tc>
        <w:tc>
          <w:tcPr>
            <w:tcW w:w="3730" w:type="dxa"/>
            <w:vMerge w:val="continue"/>
            <w:vAlign w:val="center"/>
          </w:tcPr>
          <w:p w14:paraId="3F956A3E">
            <w:pPr>
              <w:snapToGrid w:val="0"/>
              <w:ind w:firstLine="480" w:firstLineChars="200"/>
              <w:rPr>
                <w:rFonts w:ascii="方正仿宋_GBK" w:hAnsi="方正仿宋_GBK" w:eastAsia="方正仿宋_GBK" w:cs="方正仿宋_GBK"/>
                <w:color w:val="auto"/>
                <w:sz w:val="24"/>
                <w:szCs w:val="24"/>
                <w:highlight w:val="none"/>
              </w:rPr>
            </w:pPr>
          </w:p>
        </w:tc>
      </w:tr>
      <w:tr w14:paraId="269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14:paraId="0EAB1CF7">
            <w:pPr>
              <w:snapToGrid w:val="0"/>
              <w:ind w:firstLine="480" w:firstLineChars="200"/>
              <w:rPr>
                <w:rFonts w:ascii="方正仿宋_GBK" w:hAnsi="方正仿宋_GBK" w:eastAsia="方正仿宋_GBK" w:cs="方正仿宋_GBK"/>
                <w:color w:val="auto"/>
                <w:sz w:val="24"/>
                <w:szCs w:val="24"/>
                <w:highlight w:val="none"/>
              </w:rPr>
            </w:pPr>
          </w:p>
        </w:tc>
        <w:tc>
          <w:tcPr>
            <w:tcW w:w="1139" w:type="dxa"/>
            <w:vMerge w:val="continue"/>
            <w:vAlign w:val="center"/>
          </w:tcPr>
          <w:p w14:paraId="5582FB42">
            <w:pPr>
              <w:snapToGrid w:val="0"/>
              <w:ind w:firstLine="480" w:firstLineChars="200"/>
              <w:rPr>
                <w:rFonts w:ascii="方正仿宋_GBK" w:hAnsi="方正仿宋_GBK" w:eastAsia="方正仿宋_GBK" w:cs="方正仿宋_GBK"/>
                <w:color w:val="auto"/>
                <w:sz w:val="24"/>
                <w:szCs w:val="24"/>
                <w:highlight w:val="none"/>
              </w:rPr>
            </w:pPr>
          </w:p>
        </w:tc>
        <w:tc>
          <w:tcPr>
            <w:tcW w:w="3641" w:type="dxa"/>
            <w:vAlign w:val="center"/>
          </w:tcPr>
          <w:p w14:paraId="1CEDF06A">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6.法律、行政法规规定的其他条件</w:t>
            </w:r>
          </w:p>
        </w:tc>
        <w:tc>
          <w:tcPr>
            <w:tcW w:w="3730" w:type="dxa"/>
            <w:vAlign w:val="center"/>
          </w:tcPr>
          <w:p w14:paraId="6F2CD963">
            <w:pPr>
              <w:snapToGrid w:val="0"/>
              <w:ind w:firstLine="480" w:firstLineChars="200"/>
              <w:rPr>
                <w:rFonts w:ascii="方正仿宋_GBK" w:hAnsi="方正仿宋_GBK" w:eastAsia="方正仿宋_GBK" w:cs="方正仿宋_GBK"/>
                <w:color w:val="auto"/>
                <w:sz w:val="24"/>
                <w:szCs w:val="24"/>
                <w:highlight w:val="none"/>
              </w:rPr>
            </w:pPr>
          </w:p>
        </w:tc>
      </w:tr>
      <w:tr w14:paraId="209A5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tcPr>
          <w:p w14:paraId="62682D7D">
            <w:pPr>
              <w:snapToGrid w:val="0"/>
              <w:ind w:firstLine="480" w:firstLineChars="200"/>
              <w:rPr>
                <w:rFonts w:ascii="方正仿宋_GBK" w:hAnsi="方正仿宋_GBK" w:eastAsia="方正仿宋_GBK" w:cs="方正仿宋_GBK"/>
                <w:color w:val="auto"/>
                <w:sz w:val="24"/>
                <w:szCs w:val="24"/>
                <w:highlight w:val="none"/>
              </w:rPr>
            </w:pPr>
          </w:p>
        </w:tc>
        <w:tc>
          <w:tcPr>
            <w:tcW w:w="1139" w:type="dxa"/>
            <w:vMerge w:val="continue"/>
          </w:tcPr>
          <w:p w14:paraId="51A5FDE9">
            <w:pPr>
              <w:snapToGrid w:val="0"/>
              <w:ind w:firstLine="480" w:firstLineChars="200"/>
              <w:rPr>
                <w:rFonts w:ascii="方正仿宋_GBK" w:hAnsi="方正仿宋_GBK" w:eastAsia="方正仿宋_GBK" w:cs="方正仿宋_GBK"/>
                <w:color w:val="auto"/>
                <w:sz w:val="24"/>
                <w:szCs w:val="24"/>
                <w:highlight w:val="none"/>
              </w:rPr>
            </w:pPr>
          </w:p>
        </w:tc>
        <w:tc>
          <w:tcPr>
            <w:tcW w:w="3641" w:type="dxa"/>
            <w:vAlign w:val="center"/>
          </w:tcPr>
          <w:p w14:paraId="680AA3E4">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7.本项目的特定资格要求</w:t>
            </w:r>
          </w:p>
        </w:tc>
        <w:tc>
          <w:tcPr>
            <w:tcW w:w="3730" w:type="dxa"/>
            <w:vAlign w:val="center"/>
          </w:tcPr>
          <w:p w14:paraId="7B3E5045">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按“第一篇三、供应商资格要求（三）本项目的特定资格要求”的要求提交（如果有）。</w:t>
            </w:r>
          </w:p>
        </w:tc>
      </w:tr>
      <w:tr w14:paraId="6C2AF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5CF76524">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（二）</w:t>
            </w:r>
          </w:p>
        </w:tc>
        <w:tc>
          <w:tcPr>
            <w:tcW w:w="4780" w:type="dxa"/>
            <w:gridSpan w:val="2"/>
            <w:vAlign w:val="center"/>
          </w:tcPr>
          <w:p w14:paraId="19F00593">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落实政府采购政策需满足的资格要求</w:t>
            </w:r>
          </w:p>
        </w:tc>
        <w:tc>
          <w:tcPr>
            <w:tcW w:w="3730" w:type="dxa"/>
            <w:vAlign w:val="center"/>
          </w:tcPr>
          <w:p w14:paraId="281296AB">
            <w:pPr>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w:t>
            </w:r>
          </w:p>
        </w:tc>
      </w:tr>
      <w:tr w14:paraId="70FAB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846" w:type="dxa"/>
            <w:vAlign w:val="center"/>
          </w:tcPr>
          <w:p w14:paraId="47240DCA">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（三）</w:t>
            </w:r>
          </w:p>
        </w:tc>
        <w:tc>
          <w:tcPr>
            <w:tcW w:w="4780" w:type="dxa"/>
            <w:gridSpan w:val="2"/>
            <w:vAlign w:val="center"/>
          </w:tcPr>
          <w:p w14:paraId="4D31DC44">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投标保证金</w:t>
            </w:r>
          </w:p>
        </w:tc>
        <w:tc>
          <w:tcPr>
            <w:tcW w:w="3730" w:type="dxa"/>
            <w:vAlign w:val="center"/>
          </w:tcPr>
          <w:p w14:paraId="0CDC0D66">
            <w:pPr>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按照招标文件要求足额交纳所投包的投标保证金。</w:t>
            </w:r>
          </w:p>
        </w:tc>
      </w:tr>
    </w:tbl>
    <w:p w14:paraId="5E26E7A9">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w:t>
      </w:r>
    </w:p>
    <w:p w14:paraId="15923250">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fldChar w:fldCharType="begin"/>
      </w:r>
      <w:r>
        <w:rPr>
          <w:rFonts w:hint="eastAsia" w:ascii="方正仿宋_GBK" w:hAnsi="宋体" w:eastAsia="方正仿宋_GBK"/>
          <w:color w:val="auto"/>
          <w:sz w:val="24"/>
          <w:szCs w:val="24"/>
          <w:highlight w:val="none"/>
        </w:rPr>
        <w:instrText xml:space="preserve"> eq \o\ac(○,1)</w:instrText>
      </w:r>
      <w:r>
        <w:rPr>
          <w:rFonts w:hint="eastAsia" w:ascii="方正仿宋_GBK" w:hAnsi="宋体" w:eastAsia="方正仿宋_GBK"/>
          <w:color w:val="auto"/>
          <w:sz w:val="24"/>
          <w:szCs w:val="24"/>
          <w:highlight w:val="none"/>
        </w:rPr>
        <w:fldChar w:fldCharType="end"/>
      </w:r>
      <w:r>
        <w:rPr>
          <w:rFonts w:hint="eastAsia" w:ascii="方正仿宋_GBK" w:hAnsi="宋体" w:eastAsia="方正仿宋_GBK"/>
          <w:color w:val="auto"/>
          <w:sz w:val="24"/>
          <w:szCs w:val="24"/>
          <w:highlight w:val="none"/>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号）”执行。供应商可于投标截止时间前通过“信用中国”网站(www.creditchina.gov.cn)"中国政府采购网"(www.ccgp.gov.cn)等渠道查询供应商信用记录。</w:t>
      </w:r>
    </w:p>
    <w:p w14:paraId="24A0DA77">
      <w:pPr>
        <w:pStyle w:val="5"/>
        <w:spacing w:line="276" w:lineRule="auto"/>
        <w:ind w:firstLine="482" w:firstLineChars="200"/>
        <w:rPr>
          <w:rFonts w:ascii="方正仿宋_GBK" w:eastAsia="方正仿宋_GBK"/>
          <w:b/>
          <w:color w:val="auto"/>
          <w:sz w:val="24"/>
          <w:szCs w:val="24"/>
          <w:highlight w:val="none"/>
        </w:rPr>
      </w:pPr>
      <w:bookmarkStart w:id="111" w:name="_Toc129178883"/>
      <w:bookmarkStart w:id="112" w:name="_Toc3318"/>
      <w:bookmarkStart w:id="113" w:name="_Toc115877707"/>
      <w:bookmarkStart w:id="114" w:name="_Toc492721016"/>
      <w:bookmarkStart w:id="115" w:name="_Toc26617"/>
      <w:r>
        <w:rPr>
          <w:rFonts w:hint="eastAsia" w:ascii="方正仿宋_GBK" w:eastAsia="方正仿宋_GBK"/>
          <w:b/>
          <w:color w:val="auto"/>
          <w:sz w:val="24"/>
          <w:szCs w:val="24"/>
          <w:highlight w:val="none"/>
        </w:rPr>
        <w:t>二、</w:t>
      </w:r>
      <w:bookmarkEnd w:id="111"/>
      <w:bookmarkEnd w:id="112"/>
      <w:bookmarkEnd w:id="113"/>
      <w:bookmarkEnd w:id="114"/>
      <w:r>
        <w:rPr>
          <w:rFonts w:hint="eastAsia" w:ascii="方正仿宋_GBK" w:eastAsia="方正仿宋_GBK"/>
          <w:b/>
          <w:color w:val="auto"/>
          <w:sz w:val="24"/>
          <w:szCs w:val="24"/>
          <w:highlight w:val="none"/>
        </w:rPr>
        <w:t>符合性审查</w:t>
      </w:r>
      <w:bookmarkEnd w:id="115"/>
    </w:p>
    <w:p w14:paraId="49E9D1EF">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评标委员会应当对符合资格的供应商的投标文件进行符合性审查，以确定其是否满足招标文件的实质性要求。符合性审查资料表如下：</w:t>
      </w:r>
    </w:p>
    <w:tbl>
      <w:tblPr>
        <w:tblStyle w:val="20"/>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6"/>
        <w:gridCol w:w="1701"/>
        <w:gridCol w:w="5670"/>
      </w:tblGrid>
      <w:tr w14:paraId="32295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709" w:type="dxa"/>
            <w:vAlign w:val="center"/>
          </w:tcPr>
          <w:p w14:paraId="2A279B56">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序号</w:t>
            </w:r>
          </w:p>
        </w:tc>
        <w:tc>
          <w:tcPr>
            <w:tcW w:w="2977" w:type="dxa"/>
            <w:gridSpan w:val="2"/>
            <w:vAlign w:val="center"/>
          </w:tcPr>
          <w:p w14:paraId="4C7F0018">
            <w:pPr>
              <w:snapToGrid w:val="0"/>
              <w:spacing w:line="276" w:lineRule="auto"/>
              <w:ind w:firstLine="480" w:firstLineChars="200"/>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评审因素</w:t>
            </w:r>
          </w:p>
        </w:tc>
        <w:tc>
          <w:tcPr>
            <w:tcW w:w="5670" w:type="dxa"/>
            <w:vAlign w:val="center"/>
          </w:tcPr>
          <w:p w14:paraId="3F3367FE">
            <w:pPr>
              <w:snapToGrid w:val="0"/>
              <w:spacing w:line="276" w:lineRule="auto"/>
              <w:ind w:firstLine="480" w:firstLineChars="200"/>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评审标准</w:t>
            </w:r>
          </w:p>
        </w:tc>
      </w:tr>
      <w:tr w14:paraId="4110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709" w:type="dxa"/>
            <w:vMerge w:val="restart"/>
            <w:vAlign w:val="center"/>
          </w:tcPr>
          <w:p w14:paraId="77B5BF91">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w:t>
            </w:r>
          </w:p>
        </w:tc>
        <w:tc>
          <w:tcPr>
            <w:tcW w:w="1276" w:type="dxa"/>
            <w:vMerge w:val="restart"/>
            <w:vAlign w:val="center"/>
          </w:tcPr>
          <w:p w14:paraId="128303CE">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有效性审查</w:t>
            </w:r>
          </w:p>
        </w:tc>
        <w:tc>
          <w:tcPr>
            <w:tcW w:w="1701" w:type="dxa"/>
            <w:vAlign w:val="center"/>
          </w:tcPr>
          <w:p w14:paraId="4735BF7E">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投标文件签署</w:t>
            </w:r>
          </w:p>
        </w:tc>
        <w:tc>
          <w:tcPr>
            <w:tcW w:w="5670" w:type="dxa"/>
            <w:vAlign w:val="center"/>
          </w:tcPr>
          <w:p w14:paraId="74000D73">
            <w:pPr>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投标文件上法定代表人或其授权代表人的签字齐全。</w:t>
            </w:r>
          </w:p>
        </w:tc>
      </w:tr>
      <w:tr w14:paraId="0957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709" w:type="dxa"/>
            <w:vMerge w:val="continue"/>
            <w:vAlign w:val="center"/>
          </w:tcPr>
          <w:p w14:paraId="43ACC642">
            <w:pPr>
              <w:snapToGrid w:val="0"/>
              <w:spacing w:line="276" w:lineRule="auto"/>
              <w:ind w:firstLine="480" w:firstLineChars="200"/>
              <w:jc w:val="center"/>
              <w:rPr>
                <w:rFonts w:ascii="方正仿宋_GBK" w:hAnsi="宋体" w:eastAsia="方正仿宋_GBK"/>
                <w:color w:val="auto"/>
                <w:sz w:val="24"/>
                <w:szCs w:val="24"/>
                <w:highlight w:val="none"/>
              </w:rPr>
            </w:pPr>
          </w:p>
        </w:tc>
        <w:tc>
          <w:tcPr>
            <w:tcW w:w="1276" w:type="dxa"/>
            <w:vMerge w:val="continue"/>
            <w:vAlign w:val="center"/>
          </w:tcPr>
          <w:p w14:paraId="563E9E1A">
            <w:pPr>
              <w:snapToGrid w:val="0"/>
              <w:spacing w:line="276" w:lineRule="auto"/>
              <w:ind w:firstLine="480" w:firstLineChars="200"/>
              <w:jc w:val="center"/>
              <w:rPr>
                <w:rFonts w:ascii="方正仿宋_GBK" w:hAnsi="宋体" w:eastAsia="方正仿宋_GBK"/>
                <w:color w:val="auto"/>
                <w:sz w:val="24"/>
                <w:szCs w:val="24"/>
                <w:highlight w:val="none"/>
              </w:rPr>
            </w:pPr>
          </w:p>
        </w:tc>
        <w:tc>
          <w:tcPr>
            <w:tcW w:w="1701" w:type="dxa"/>
            <w:vAlign w:val="center"/>
          </w:tcPr>
          <w:p w14:paraId="3B443A44">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投标方案</w:t>
            </w:r>
          </w:p>
        </w:tc>
        <w:tc>
          <w:tcPr>
            <w:tcW w:w="5670" w:type="dxa"/>
            <w:vAlign w:val="center"/>
          </w:tcPr>
          <w:p w14:paraId="437C0EFB">
            <w:pPr>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每个包只能有一个方案投标。</w:t>
            </w:r>
          </w:p>
        </w:tc>
      </w:tr>
      <w:tr w14:paraId="1AF44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Merge w:val="continue"/>
            <w:vAlign w:val="center"/>
          </w:tcPr>
          <w:p w14:paraId="7E45B6CC">
            <w:pPr>
              <w:snapToGrid w:val="0"/>
              <w:spacing w:line="276" w:lineRule="auto"/>
              <w:ind w:firstLine="480" w:firstLineChars="200"/>
              <w:jc w:val="center"/>
              <w:rPr>
                <w:rFonts w:ascii="方正仿宋_GBK" w:hAnsi="宋体" w:eastAsia="方正仿宋_GBK"/>
                <w:color w:val="auto"/>
                <w:sz w:val="24"/>
                <w:szCs w:val="24"/>
                <w:highlight w:val="none"/>
              </w:rPr>
            </w:pPr>
          </w:p>
        </w:tc>
        <w:tc>
          <w:tcPr>
            <w:tcW w:w="1276" w:type="dxa"/>
            <w:vMerge w:val="continue"/>
            <w:vAlign w:val="center"/>
          </w:tcPr>
          <w:p w14:paraId="5382AD9D">
            <w:pPr>
              <w:snapToGrid w:val="0"/>
              <w:spacing w:line="276" w:lineRule="auto"/>
              <w:ind w:firstLine="480" w:firstLineChars="200"/>
              <w:jc w:val="center"/>
              <w:rPr>
                <w:rFonts w:ascii="方正仿宋_GBK" w:hAnsi="宋体" w:eastAsia="方正仿宋_GBK"/>
                <w:color w:val="auto"/>
                <w:sz w:val="24"/>
                <w:szCs w:val="24"/>
                <w:highlight w:val="none"/>
              </w:rPr>
            </w:pPr>
          </w:p>
        </w:tc>
        <w:tc>
          <w:tcPr>
            <w:tcW w:w="1701" w:type="dxa"/>
            <w:vAlign w:val="center"/>
          </w:tcPr>
          <w:p w14:paraId="574B4377">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报价唯一</w:t>
            </w:r>
          </w:p>
        </w:tc>
        <w:tc>
          <w:tcPr>
            <w:tcW w:w="5670" w:type="dxa"/>
            <w:vAlign w:val="center"/>
          </w:tcPr>
          <w:p w14:paraId="7D68077D">
            <w:pPr>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只能在预算金额和最高限价内报价，只能有一个有效报价，不得提交选择性报价。</w:t>
            </w:r>
          </w:p>
        </w:tc>
      </w:tr>
      <w:tr w14:paraId="186F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709" w:type="dxa"/>
            <w:vAlign w:val="center"/>
          </w:tcPr>
          <w:p w14:paraId="29A47701">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w:t>
            </w:r>
          </w:p>
        </w:tc>
        <w:tc>
          <w:tcPr>
            <w:tcW w:w="1276" w:type="dxa"/>
            <w:vAlign w:val="center"/>
          </w:tcPr>
          <w:p w14:paraId="25763DAD">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完整性审查</w:t>
            </w:r>
          </w:p>
        </w:tc>
        <w:tc>
          <w:tcPr>
            <w:tcW w:w="1701" w:type="dxa"/>
            <w:vAlign w:val="center"/>
          </w:tcPr>
          <w:p w14:paraId="4428E74B">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投标文件份数</w:t>
            </w:r>
          </w:p>
        </w:tc>
        <w:tc>
          <w:tcPr>
            <w:tcW w:w="5670" w:type="dxa"/>
            <w:vAlign w:val="center"/>
          </w:tcPr>
          <w:p w14:paraId="703E1317">
            <w:pPr>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投标文件正、副本数量（含电子文档）符合招标文件要求。</w:t>
            </w:r>
          </w:p>
        </w:tc>
      </w:tr>
      <w:tr w14:paraId="4E7A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9" w:type="dxa"/>
            <w:vAlign w:val="center"/>
          </w:tcPr>
          <w:p w14:paraId="02E85368">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w:t>
            </w:r>
          </w:p>
        </w:tc>
        <w:tc>
          <w:tcPr>
            <w:tcW w:w="1276" w:type="dxa"/>
            <w:vAlign w:val="center"/>
          </w:tcPr>
          <w:p w14:paraId="25D473EE">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技术部分</w:t>
            </w:r>
          </w:p>
        </w:tc>
        <w:tc>
          <w:tcPr>
            <w:tcW w:w="1701" w:type="dxa"/>
            <w:vAlign w:val="center"/>
          </w:tcPr>
          <w:p w14:paraId="62703F50">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投标文件内容</w:t>
            </w:r>
          </w:p>
        </w:tc>
        <w:tc>
          <w:tcPr>
            <w:tcW w:w="5670" w:type="dxa"/>
            <w:vAlign w:val="center"/>
          </w:tcPr>
          <w:p w14:paraId="0739C658">
            <w:pPr>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本招标文件第二篇中（※）号标注的部分。</w:t>
            </w:r>
          </w:p>
        </w:tc>
      </w:tr>
      <w:tr w14:paraId="3FF97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709" w:type="dxa"/>
            <w:vAlign w:val="center"/>
          </w:tcPr>
          <w:p w14:paraId="5868B818">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w:t>
            </w:r>
          </w:p>
        </w:tc>
        <w:tc>
          <w:tcPr>
            <w:tcW w:w="1276" w:type="dxa"/>
            <w:vAlign w:val="center"/>
          </w:tcPr>
          <w:p w14:paraId="446B56C5">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商务部分</w:t>
            </w:r>
          </w:p>
        </w:tc>
        <w:tc>
          <w:tcPr>
            <w:tcW w:w="1701" w:type="dxa"/>
            <w:vAlign w:val="center"/>
          </w:tcPr>
          <w:p w14:paraId="64ECAC8A">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投标文件内容</w:t>
            </w:r>
          </w:p>
        </w:tc>
        <w:tc>
          <w:tcPr>
            <w:tcW w:w="5670" w:type="dxa"/>
            <w:vAlign w:val="center"/>
          </w:tcPr>
          <w:p w14:paraId="66A41654">
            <w:pPr>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本招标文件第三篇中（※）号标注的部分。</w:t>
            </w:r>
          </w:p>
        </w:tc>
      </w:tr>
      <w:tr w14:paraId="3C4AA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709" w:type="dxa"/>
            <w:vAlign w:val="center"/>
          </w:tcPr>
          <w:p w14:paraId="60B4D797">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w:t>
            </w:r>
          </w:p>
        </w:tc>
        <w:tc>
          <w:tcPr>
            <w:tcW w:w="1276" w:type="dxa"/>
            <w:vAlign w:val="center"/>
          </w:tcPr>
          <w:p w14:paraId="14BF9925">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投标有效期</w:t>
            </w:r>
          </w:p>
        </w:tc>
        <w:tc>
          <w:tcPr>
            <w:tcW w:w="1701" w:type="dxa"/>
            <w:vAlign w:val="center"/>
          </w:tcPr>
          <w:p w14:paraId="1562D964">
            <w:pPr>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投标文件内容</w:t>
            </w:r>
          </w:p>
        </w:tc>
        <w:tc>
          <w:tcPr>
            <w:tcW w:w="5670" w:type="dxa"/>
            <w:vAlign w:val="center"/>
          </w:tcPr>
          <w:p w14:paraId="0C3A869B">
            <w:pPr>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投标有效期为投标截止日期起90天</w:t>
            </w:r>
          </w:p>
        </w:tc>
      </w:tr>
    </w:tbl>
    <w:p w14:paraId="161ED5FF">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澄清有关问题。对投标文件中含义不明确、同类问题表述不一致或者有明显文字和计算错误的内容，评标委员会可以书面形式（应当由评标委员会成员签字）要求供应商作出必要澄清、说明或者纠正。供应商的澄清、说明或者补正应当采用书面形式，由其法定代表人（或其授权代表）（供应商为自然人）签字，其澄清的内容不得超出投标文件的范围或者改变投标文件的实质性内容。</w:t>
      </w:r>
    </w:p>
    <w:p w14:paraId="3804487E">
      <w:pPr>
        <w:pStyle w:val="5"/>
        <w:spacing w:line="276" w:lineRule="auto"/>
        <w:ind w:firstLine="482" w:firstLineChars="200"/>
        <w:rPr>
          <w:rFonts w:ascii="方正仿宋_GBK" w:eastAsia="方正仿宋_GBK"/>
          <w:b/>
          <w:color w:val="auto"/>
          <w:sz w:val="24"/>
          <w:szCs w:val="24"/>
          <w:highlight w:val="none"/>
        </w:rPr>
      </w:pPr>
      <w:bookmarkStart w:id="116" w:name="_Toc23121"/>
      <w:r>
        <w:rPr>
          <w:rFonts w:hint="eastAsia" w:ascii="方正仿宋_GBK" w:eastAsia="方正仿宋_GBK"/>
          <w:b/>
          <w:color w:val="auto"/>
          <w:sz w:val="24"/>
          <w:szCs w:val="24"/>
          <w:highlight w:val="none"/>
        </w:rPr>
        <w:t>三、评标方法</w:t>
      </w:r>
      <w:bookmarkEnd w:id="116"/>
    </w:p>
    <w:p w14:paraId="175DCDBC">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本项目采用综合评分法进行评标。</w:t>
      </w:r>
    </w:p>
    <w:p w14:paraId="04AA7579">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综合评分法，是指投标文件满足招标文件全部实质性要求且按照评审因素的量化指标评审得分最高的供应商为中标候选人的评标方法。供应商总得分为价格、商务、技术（质量）等评定因素分别按照相应权重值计算分项得分后相加，满分为100分。</w:t>
      </w:r>
    </w:p>
    <w:p w14:paraId="1A696413">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（一）比较与评价。按招标文件中规定的评标方法和标准，对资格审查和符合性审查合格的投标文件进行商务和技术评估。</w:t>
      </w:r>
    </w:p>
    <w:p w14:paraId="5830DA75">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评标委员会各成员独立对每个有效响应（通过资格性审查、符合性审查的供应商）的文件进行评价、打分，然后汇总每个供应商每项评分因素的得分，并根据综合评分情况按照评审得分由高到低顺序推荐3名以上中标候选人，并编写评标报告。</w:t>
      </w:r>
    </w:p>
    <w:p w14:paraId="6539A520">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评标委员会各成员独立对每个有效供应商（通过资格审查、符合性审查的供应商）的投标文件进行评价、打分，然后由评标委员会对各成员打分情况进行核查及复核，个别成员对同一供应商同一评分项的打分偏离较大的，应对供应商的投标文件进行再次核对，确属打分有误的，应及时进行修正。</w:t>
      </w:r>
    </w:p>
    <w:p w14:paraId="6F80A8A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复核后，评标委员会汇总每个供应商每项评分因素的得分。</w:t>
      </w:r>
    </w:p>
    <w:p w14:paraId="35D3A57A">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（二）推荐中标候选人名单。</w:t>
      </w:r>
    </w:p>
    <w:p w14:paraId="13800ED1">
      <w:pPr>
        <w:snapToGrid w:val="0"/>
        <w:spacing w:line="276" w:lineRule="auto"/>
        <w:ind w:firstLine="480" w:firstLineChars="200"/>
        <w:rPr>
          <w:rFonts w:ascii="方正仿宋_GBK" w:hAnsi="宋体" w:eastAsia="方正仿宋_GBK"/>
          <w:b/>
          <w:bCs/>
          <w:color w:val="auto"/>
          <w:sz w:val="24"/>
          <w:szCs w:val="24"/>
          <w:highlight w:val="none"/>
        </w:rPr>
      </w:pPr>
      <w:r>
        <w:rPr>
          <w:rFonts w:hint="eastAsia" w:ascii="方正仿宋_GBK" w:hAnsi="宋体" w:eastAsia="方正仿宋_GBK"/>
          <w:color w:val="auto"/>
          <w:sz w:val="24"/>
          <w:szCs w:val="24"/>
          <w:highlight w:val="none"/>
        </w:rPr>
        <w:t>按评审后得分由高到低的排列顺序推荐综合得分排名前三的供应商为本包（项目）中标候选人，排名第一的为第一中标候选人。若供应商的评审得分相同的，按照最后报价由低到高的顺序排列推荐。</w:t>
      </w:r>
      <w:r>
        <w:rPr>
          <w:rFonts w:hint="eastAsia" w:ascii="方正仿宋_GBK" w:hAnsi="宋体" w:eastAsia="方正仿宋_GBK"/>
          <w:b/>
          <w:bCs/>
          <w:color w:val="auto"/>
          <w:sz w:val="24"/>
          <w:szCs w:val="24"/>
          <w:highlight w:val="none"/>
        </w:rPr>
        <w:t>评审得分且报价相同的，按照服务部分得分顺序排列推荐。以上都相同的，按商务部分得分顺序排列推荐。</w:t>
      </w:r>
    </w:p>
    <w:p w14:paraId="32C52512">
      <w:pPr>
        <w:pStyle w:val="5"/>
        <w:numPr>
          <w:ilvl w:val="0"/>
          <w:numId w:val="1"/>
        </w:numPr>
        <w:spacing w:line="276" w:lineRule="auto"/>
        <w:ind w:firstLine="482" w:firstLineChars="200"/>
        <w:rPr>
          <w:rFonts w:ascii="方正仿宋_GBK" w:eastAsia="方正仿宋_GBK"/>
          <w:b/>
          <w:color w:val="auto"/>
          <w:sz w:val="24"/>
          <w:szCs w:val="24"/>
          <w:highlight w:val="none"/>
        </w:rPr>
      </w:pPr>
      <w:bookmarkStart w:id="117" w:name="_Toc15286"/>
      <w:bookmarkStart w:id="118" w:name="_Toc20675"/>
      <w:bookmarkStart w:id="119" w:name="_Hlk74928505"/>
      <w:bookmarkStart w:id="120" w:name="_Toc492721017"/>
      <w:bookmarkStart w:id="121" w:name="_Toc267320057"/>
      <w:bookmarkStart w:id="122" w:name="_Toc115877708"/>
      <w:bookmarkStart w:id="123" w:name="_Toc129178884"/>
      <w:r>
        <w:rPr>
          <w:rFonts w:hint="eastAsia" w:ascii="方正仿宋_GBK" w:eastAsia="方正仿宋_GBK"/>
          <w:b/>
          <w:color w:val="auto"/>
          <w:sz w:val="24"/>
          <w:szCs w:val="24"/>
          <w:highlight w:val="none"/>
        </w:rPr>
        <w:t>评标标准</w:t>
      </w:r>
      <w:bookmarkEnd w:id="117"/>
      <w:bookmarkEnd w:id="118"/>
      <w:bookmarkEnd w:id="119"/>
      <w:bookmarkEnd w:id="120"/>
      <w:bookmarkEnd w:id="121"/>
      <w:bookmarkEnd w:id="122"/>
      <w:bookmarkEnd w:id="123"/>
    </w:p>
    <w:tbl>
      <w:tblPr>
        <w:tblStyle w:val="20"/>
        <w:tblW w:w="100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7"/>
        <w:gridCol w:w="999"/>
        <w:gridCol w:w="843"/>
        <w:gridCol w:w="646"/>
        <w:gridCol w:w="5211"/>
        <w:gridCol w:w="1921"/>
      </w:tblGrid>
      <w:tr w14:paraId="5CF66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27" w:type="dxa"/>
            <w:noWrap/>
            <w:tcMar>
              <w:left w:w="108" w:type="dxa"/>
              <w:right w:w="108" w:type="dxa"/>
            </w:tcMar>
            <w:vAlign w:val="center"/>
          </w:tcPr>
          <w:p w14:paraId="502BDF68">
            <w:pPr>
              <w:spacing w:line="360" w:lineRule="exact"/>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序号</w:t>
            </w:r>
          </w:p>
        </w:tc>
        <w:tc>
          <w:tcPr>
            <w:tcW w:w="1842" w:type="dxa"/>
            <w:gridSpan w:val="2"/>
            <w:noWrap/>
            <w:tcMar>
              <w:left w:w="108" w:type="dxa"/>
              <w:right w:w="108" w:type="dxa"/>
            </w:tcMar>
            <w:vAlign w:val="center"/>
          </w:tcPr>
          <w:p w14:paraId="3E2677A4">
            <w:pPr>
              <w:spacing w:line="360" w:lineRule="exact"/>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评分因素及</w:t>
            </w:r>
          </w:p>
          <w:p w14:paraId="64C8A6C4">
            <w:pPr>
              <w:spacing w:line="360" w:lineRule="exact"/>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权重</w:t>
            </w:r>
          </w:p>
        </w:tc>
        <w:tc>
          <w:tcPr>
            <w:tcW w:w="646" w:type="dxa"/>
            <w:noWrap/>
            <w:tcMar>
              <w:left w:w="108" w:type="dxa"/>
              <w:right w:w="108" w:type="dxa"/>
            </w:tcMar>
            <w:vAlign w:val="center"/>
          </w:tcPr>
          <w:p w14:paraId="00B2A564">
            <w:pPr>
              <w:spacing w:line="360" w:lineRule="exact"/>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分值</w:t>
            </w:r>
          </w:p>
        </w:tc>
        <w:tc>
          <w:tcPr>
            <w:tcW w:w="5211" w:type="dxa"/>
            <w:noWrap/>
            <w:tcMar>
              <w:left w:w="108" w:type="dxa"/>
              <w:right w:w="108" w:type="dxa"/>
            </w:tcMar>
            <w:vAlign w:val="center"/>
          </w:tcPr>
          <w:p w14:paraId="607FAE4A">
            <w:pPr>
              <w:spacing w:line="360" w:lineRule="exact"/>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评分标准</w:t>
            </w:r>
          </w:p>
        </w:tc>
        <w:tc>
          <w:tcPr>
            <w:tcW w:w="1921" w:type="dxa"/>
            <w:noWrap/>
            <w:tcMar>
              <w:left w:w="108" w:type="dxa"/>
              <w:right w:w="108" w:type="dxa"/>
            </w:tcMar>
          </w:tcPr>
          <w:p w14:paraId="1D4E393C">
            <w:pPr>
              <w:spacing w:line="360" w:lineRule="exact"/>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说明</w:t>
            </w:r>
          </w:p>
        </w:tc>
      </w:tr>
      <w:tr w14:paraId="60D61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jc w:val="center"/>
        </w:trPr>
        <w:tc>
          <w:tcPr>
            <w:tcW w:w="427" w:type="dxa"/>
            <w:noWrap/>
            <w:tcMar>
              <w:left w:w="108" w:type="dxa"/>
              <w:right w:w="108" w:type="dxa"/>
            </w:tcMar>
            <w:vAlign w:val="center"/>
          </w:tcPr>
          <w:p w14:paraId="73768055">
            <w:pPr>
              <w:spacing w:line="360" w:lineRule="exact"/>
              <w:ind w:firstLine="105"/>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w:t>
            </w:r>
          </w:p>
        </w:tc>
        <w:tc>
          <w:tcPr>
            <w:tcW w:w="1842" w:type="dxa"/>
            <w:gridSpan w:val="2"/>
            <w:noWrap/>
            <w:tcMar>
              <w:left w:w="108" w:type="dxa"/>
              <w:right w:w="108" w:type="dxa"/>
            </w:tcMar>
            <w:vAlign w:val="center"/>
          </w:tcPr>
          <w:p w14:paraId="24263092">
            <w:pPr>
              <w:spacing w:line="360" w:lineRule="exact"/>
              <w:ind w:firstLine="240" w:firstLineChars="1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投标报价</w:t>
            </w:r>
          </w:p>
          <w:p w14:paraId="682215E5">
            <w:pPr>
              <w:spacing w:line="360" w:lineRule="exact"/>
              <w:ind w:firstLine="240" w:firstLineChars="1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（50%）</w:t>
            </w:r>
          </w:p>
        </w:tc>
        <w:tc>
          <w:tcPr>
            <w:tcW w:w="646" w:type="dxa"/>
            <w:noWrap/>
            <w:tcMar>
              <w:left w:w="108" w:type="dxa"/>
              <w:right w:w="108" w:type="dxa"/>
            </w:tcMar>
            <w:vAlign w:val="center"/>
          </w:tcPr>
          <w:p w14:paraId="7EAEEF9E">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50</w:t>
            </w:r>
          </w:p>
        </w:tc>
        <w:tc>
          <w:tcPr>
            <w:tcW w:w="5211" w:type="dxa"/>
            <w:noWrap/>
            <w:tcMar>
              <w:left w:w="108" w:type="dxa"/>
              <w:right w:w="108" w:type="dxa"/>
            </w:tcMar>
            <w:vAlign w:val="center"/>
          </w:tcPr>
          <w:p w14:paraId="182B8327">
            <w:pPr>
              <w:pStyle w:val="2"/>
              <w:spacing w:line="36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有效的投标折扣系数中的最低投标折扣系数为评标基准折扣系数，其价格分为满分。其他供应商的价格分统一按照下列公式计算：</w:t>
            </w:r>
          </w:p>
          <w:p w14:paraId="5853214B">
            <w:pPr>
              <w:pStyle w:val="2"/>
              <w:spacing w:line="36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供应商报价得分=(评标基准折扣系数／投标折扣系数)×分值×100%。</w:t>
            </w:r>
          </w:p>
        </w:tc>
        <w:tc>
          <w:tcPr>
            <w:tcW w:w="1921" w:type="dxa"/>
            <w:noWrap/>
            <w:tcMar>
              <w:left w:w="108" w:type="dxa"/>
              <w:right w:w="108" w:type="dxa"/>
            </w:tcMar>
          </w:tcPr>
          <w:p w14:paraId="083127F2">
            <w:pPr>
              <w:spacing w:line="360" w:lineRule="exact"/>
              <w:rPr>
                <w:rFonts w:ascii="方正仿宋_GBK" w:hAnsi="方正仿宋_GBK" w:eastAsia="方正仿宋_GBK" w:cs="方正仿宋_GBK"/>
                <w:color w:val="auto"/>
                <w:sz w:val="24"/>
                <w:szCs w:val="24"/>
                <w:highlight w:val="none"/>
              </w:rPr>
            </w:pPr>
          </w:p>
        </w:tc>
      </w:tr>
      <w:tr w14:paraId="0EA09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27" w:type="dxa"/>
            <w:vMerge w:val="restart"/>
            <w:noWrap/>
            <w:tcMar>
              <w:left w:w="108" w:type="dxa"/>
              <w:right w:w="108" w:type="dxa"/>
            </w:tcMar>
            <w:vAlign w:val="center"/>
          </w:tcPr>
          <w:p w14:paraId="117F2D2D">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w:t>
            </w:r>
          </w:p>
        </w:tc>
        <w:tc>
          <w:tcPr>
            <w:tcW w:w="999" w:type="dxa"/>
            <w:vMerge w:val="restart"/>
            <w:noWrap/>
            <w:tcMar>
              <w:left w:w="108" w:type="dxa"/>
              <w:right w:w="108" w:type="dxa"/>
            </w:tcMar>
            <w:vAlign w:val="center"/>
          </w:tcPr>
          <w:p w14:paraId="56F4D5C3">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服务</w:t>
            </w:r>
          </w:p>
          <w:p w14:paraId="09B97F72">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部分</w:t>
            </w:r>
          </w:p>
          <w:p w14:paraId="2C5AF795">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（20%）</w:t>
            </w:r>
          </w:p>
        </w:tc>
        <w:tc>
          <w:tcPr>
            <w:tcW w:w="843" w:type="dxa"/>
            <w:vMerge w:val="restart"/>
            <w:noWrap/>
            <w:tcMar>
              <w:left w:w="108" w:type="dxa"/>
              <w:right w:w="108" w:type="dxa"/>
            </w:tcMar>
            <w:vAlign w:val="center"/>
          </w:tcPr>
          <w:p w14:paraId="38D8C753">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服务</w:t>
            </w:r>
          </w:p>
          <w:p w14:paraId="6F639DD5">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方案</w:t>
            </w:r>
          </w:p>
        </w:tc>
        <w:tc>
          <w:tcPr>
            <w:tcW w:w="646" w:type="dxa"/>
            <w:noWrap/>
            <w:tcMar>
              <w:left w:w="108" w:type="dxa"/>
              <w:right w:w="108" w:type="dxa"/>
            </w:tcMar>
            <w:vAlign w:val="center"/>
          </w:tcPr>
          <w:p w14:paraId="5BAAD6AF">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5</w:t>
            </w:r>
          </w:p>
        </w:tc>
        <w:tc>
          <w:tcPr>
            <w:tcW w:w="5211" w:type="dxa"/>
            <w:noWrap/>
            <w:tcMar>
              <w:left w:w="108" w:type="dxa"/>
              <w:right w:w="108" w:type="dxa"/>
            </w:tcMar>
            <w:vAlign w:val="center"/>
          </w:tcPr>
          <w:p w14:paraId="43FADD67">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配送方案（5分）</w:t>
            </w:r>
          </w:p>
          <w:p w14:paraId="0A0C8C7E">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根据供应商提供的配送方案进行评审，配送方案内容包括不限于①供货流程；②配送计划；③配送设施设备；④配送食材管理；</w:t>
            </w:r>
            <w:r>
              <w:rPr>
                <w:rFonts w:hint="eastAsia" w:ascii="宋体" w:hAnsi="宋体" w:cs="宋体"/>
                <w:color w:val="auto"/>
                <w:sz w:val="24"/>
                <w:szCs w:val="24"/>
                <w:highlight w:val="none"/>
              </w:rPr>
              <w:t>⑤</w:t>
            </w:r>
            <w:r>
              <w:rPr>
                <w:rFonts w:hint="eastAsia" w:ascii="方正仿宋_GBK" w:hAnsi="方正仿宋_GBK" w:eastAsia="方正仿宋_GBK" w:cs="方正仿宋_GBK"/>
                <w:color w:val="auto"/>
                <w:sz w:val="24"/>
                <w:szCs w:val="24"/>
                <w:highlight w:val="none"/>
              </w:rPr>
              <w:t>服务人员配置；</w:t>
            </w:r>
            <w:r>
              <w:rPr>
                <w:rFonts w:hint="eastAsia" w:ascii="宋体" w:hAnsi="宋体" w:cs="宋体"/>
                <w:color w:val="auto"/>
                <w:sz w:val="24"/>
                <w:szCs w:val="24"/>
                <w:highlight w:val="none"/>
              </w:rPr>
              <w:t>⑥</w:t>
            </w:r>
            <w:r>
              <w:rPr>
                <w:rFonts w:hint="eastAsia" w:ascii="方正仿宋_GBK" w:hAnsi="方正仿宋_GBK" w:eastAsia="方正仿宋_GBK" w:cs="方正仿宋_GBK"/>
                <w:color w:val="auto"/>
                <w:sz w:val="24"/>
                <w:szCs w:val="24"/>
                <w:highlight w:val="none"/>
              </w:rPr>
              <w:t>服务人员管理制度。</w:t>
            </w:r>
          </w:p>
          <w:p w14:paraId="1E76699C">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内容不存在瑕疵，得5分；</w:t>
            </w:r>
          </w:p>
          <w:p w14:paraId="3FBE431D">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w:t>
            </w:r>
            <w:r>
              <w:rPr>
                <w:rFonts w:ascii="方正仿宋_GBK" w:hAnsi="方正仿宋_GBK" w:eastAsia="方正仿宋_GBK" w:cs="方正仿宋_GBK"/>
                <w:color w:val="auto"/>
                <w:sz w:val="24"/>
                <w:szCs w:val="24"/>
                <w:highlight w:val="none"/>
              </w:rPr>
              <w:t>1处瑕疵，得</w:t>
            </w:r>
            <w:r>
              <w:rPr>
                <w:rFonts w:hint="eastAsia" w:ascii="方正仿宋_GBK" w:hAnsi="方正仿宋_GBK" w:eastAsia="方正仿宋_GBK" w:cs="方正仿宋_GBK"/>
                <w:color w:val="auto"/>
                <w:sz w:val="24"/>
                <w:szCs w:val="24"/>
                <w:highlight w:val="none"/>
              </w:rPr>
              <w:t>3分；</w:t>
            </w:r>
          </w:p>
          <w:p w14:paraId="01218748">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w:t>
            </w:r>
            <w:r>
              <w:rPr>
                <w:rFonts w:ascii="方正仿宋_GBK" w:hAnsi="方正仿宋_GBK" w:eastAsia="方正仿宋_GBK" w:cs="方正仿宋_GBK"/>
                <w:color w:val="auto"/>
                <w:sz w:val="24"/>
                <w:szCs w:val="24"/>
                <w:highlight w:val="none"/>
              </w:rPr>
              <w:t>2处瑕疵，得</w:t>
            </w:r>
            <w:r>
              <w:rPr>
                <w:rFonts w:hint="eastAsia" w:ascii="方正仿宋_GBK" w:hAnsi="方正仿宋_GBK" w:eastAsia="方正仿宋_GBK" w:cs="方正仿宋_GBK"/>
                <w:color w:val="auto"/>
                <w:sz w:val="24"/>
                <w:szCs w:val="24"/>
                <w:highlight w:val="none"/>
                <w:lang w:val="en-US" w:eastAsia="zh-CN"/>
              </w:rPr>
              <w:t>1</w:t>
            </w:r>
            <w:r>
              <w:rPr>
                <w:rFonts w:hint="eastAsia" w:ascii="方正仿宋_GBK" w:hAnsi="方正仿宋_GBK" w:eastAsia="方正仿宋_GBK" w:cs="方正仿宋_GBK"/>
                <w:color w:val="auto"/>
                <w:sz w:val="24"/>
                <w:szCs w:val="24"/>
                <w:highlight w:val="none"/>
              </w:rPr>
              <w:t>分；</w:t>
            </w:r>
          </w:p>
          <w:p w14:paraId="7E4F7D2A">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w:t>
            </w:r>
            <w:r>
              <w:rPr>
                <w:rFonts w:ascii="方正仿宋_GBK" w:hAnsi="方正仿宋_GBK" w:eastAsia="方正仿宋_GBK" w:cs="方正仿宋_GBK"/>
                <w:color w:val="auto"/>
                <w:sz w:val="24"/>
                <w:szCs w:val="24"/>
                <w:highlight w:val="none"/>
              </w:rPr>
              <w:t>3处及以上瑕疵或未提供方案不得分。</w:t>
            </w:r>
          </w:p>
        </w:tc>
        <w:tc>
          <w:tcPr>
            <w:tcW w:w="1921" w:type="dxa"/>
            <w:vMerge w:val="restart"/>
            <w:noWrap/>
            <w:tcMar>
              <w:left w:w="108" w:type="dxa"/>
              <w:right w:w="108" w:type="dxa"/>
            </w:tcMar>
            <w:vAlign w:val="center"/>
          </w:tcPr>
          <w:p w14:paraId="4A81B450">
            <w:pPr>
              <w:spacing w:line="36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1.提供对应方案，格式自拟，加盖供应商公章。</w:t>
            </w:r>
          </w:p>
          <w:p w14:paraId="6CEF3069">
            <w:pPr>
              <w:spacing w:line="36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2.本项内容中所称的“瑕疵”指以下内容：</w:t>
            </w:r>
          </w:p>
          <w:p w14:paraId="2F2113B2">
            <w:pPr>
              <w:spacing w:line="36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①方案内容要素欠缺、仅有标题而无实质意义叙述内容</w:t>
            </w:r>
            <w:r>
              <w:rPr>
                <w:rFonts w:hint="eastAsia" w:ascii="方正仿宋_GBK" w:hAnsi="方正仿宋_GBK" w:eastAsia="方正仿宋_GBK" w:cs="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lang w:val="en-US" w:eastAsia="zh-CN"/>
              </w:rPr>
              <w:t>内容不完整</w:t>
            </w:r>
            <w:r>
              <w:rPr>
                <w:rFonts w:hint="eastAsia" w:ascii="方正仿宋_GBK" w:hAnsi="方正仿宋_GBK" w:eastAsia="方正仿宋_GBK" w:cs="方正仿宋_GBK"/>
                <w:color w:val="auto"/>
                <w:sz w:val="24"/>
                <w:szCs w:val="24"/>
                <w:highlight w:val="none"/>
              </w:rPr>
              <w:t>；</w:t>
            </w:r>
          </w:p>
          <w:p w14:paraId="22FD6EB4">
            <w:pPr>
              <w:spacing w:line="36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②方案内容中包含其他项目名称，或出现与本项目不相关的其他内容；</w:t>
            </w:r>
          </w:p>
          <w:p w14:paraId="6F8CBD77">
            <w:pPr>
              <w:spacing w:line="36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③内容表述前后矛盾、无连贯性、内容存在逻辑漏洞；</w:t>
            </w:r>
          </w:p>
          <w:p w14:paraId="054D626A">
            <w:pPr>
              <w:spacing w:line="36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④常识性错误；</w:t>
            </w:r>
          </w:p>
          <w:p w14:paraId="04C52A71">
            <w:pPr>
              <w:spacing w:line="36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⑤</w:t>
            </w:r>
            <w:r>
              <w:rPr>
                <w:rFonts w:hint="eastAsia" w:ascii="方正仿宋_GBK" w:hAnsi="方正仿宋_GBK" w:eastAsia="方正仿宋_GBK" w:cs="方正仿宋_GBK"/>
                <w:color w:val="auto"/>
                <w:sz w:val="24"/>
                <w:szCs w:val="24"/>
                <w:highlight w:val="none"/>
                <w:lang w:val="en-US" w:eastAsia="zh-CN"/>
              </w:rPr>
              <w:t>方案</w:t>
            </w:r>
            <w:r>
              <w:rPr>
                <w:rFonts w:hint="eastAsia" w:ascii="方正仿宋_GBK" w:hAnsi="方正仿宋_GBK" w:eastAsia="方正仿宋_GBK" w:cs="方正仿宋_GBK"/>
                <w:color w:val="auto"/>
                <w:sz w:val="24"/>
                <w:szCs w:val="24"/>
                <w:highlight w:val="none"/>
              </w:rPr>
              <w:t>不适用本项目特性或非专门针对本项目制定；</w:t>
            </w:r>
          </w:p>
          <w:p w14:paraId="1AF9F1CB">
            <w:pPr>
              <w:spacing w:line="360" w:lineRule="exact"/>
              <w:jc w:val="left"/>
              <w:rPr>
                <w:rFonts w:hint="default"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rPr>
              <w:t>⑥方案中提出的措施举措不利于本项目目标的实现</w:t>
            </w:r>
            <w:r>
              <w:rPr>
                <w:rFonts w:hint="eastAsia" w:ascii="方正仿宋_GBK" w:hAnsi="方正仿宋_GBK" w:eastAsia="方正仿宋_GBK" w:cs="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rPr>
              <w:t>方案欠缺合理性、科学性、可操作性</w:t>
            </w:r>
            <w:r>
              <w:rPr>
                <w:rFonts w:hint="eastAsia" w:ascii="方正仿宋_GBK" w:hAnsi="方正仿宋_GBK" w:eastAsia="方正仿宋_GBK" w:cs="方正仿宋_GBK"/>
                <w:color w:val="auto"/>
                <w:sz w:val="24"/>
                <w:szCs w:val="24"/>
                <w:highlight w:val="none"/>
                <w:lang w:val="en-US" w:eastAsia="zh-CN"/>
              </w:rPr>
              <w:t>。</w:t>
            </w:r>
          </w:p>
          <w:p w14:paraId="01BDA9D4">
            <w:pPr>
              <w:spacing w:line="36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⑦现有技术条件下不可能实现采购目标。</w:t>
            </w:r>
          </w:p>
          <w:p w14:paraId="6428DC84">
            <w:pPr>
              <w:spacing w:line="360" w:lineRule="exact"/>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上述任意一种情形为1处瑕疵。</w:t>
            </w:r>
          </w:p>
        </w:tc>
      </w:tr>
      <w:tr w14:paraId="78E2B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27" w:type="dxa"/>
            <w:vMerge w:val="continue"/>
            <w:noWrap/>
            <w:tcMar>
              <w:left w:w="108" w:type="dxa"/>
              <w:right w:w="108" w:type="dxa"/>
            </w:tcMar>
            <w:vAlign w:val="center"/>
          </w:tcPr>
          <w:p w14:paraId="42DF313A">
            <w:pPr>
              <w:spacing w:line="360" w:lineRule="exact"/>
              <w:rPr>
                <w:rFonts w:ascii="方正仿宋_GBK" w:hAnsi="方正仿宋_GBK" w:eastAsia="方正仿宋_GBK" w:cs="方正仿宋_GBK"/>
                <w:color w:val="auto"/>
                <w:sz w:val="24"/>
                <w:szCs w:val="24"/>
                <w:highlight w:val="none"/>
              </w:rPr>
            </w:pPr>
          </w:p>
        </w:tc>
        <w:tc>
          <w:tcPr>
            <w:tcW w:w="999" w:type="dxa"/>
            <w:vMerge w:val="continue"/>
            <w:noWrap/>
            <w:tcMar>
              <w:left w:w="108" w:type="dxa"/>
              <w:right w:w="108" w:type="dxa"/>
            </w:tcMar>
            <w:vAlign w:val="center"/>
          </w:tcPr>
          <w:p w14:paraId="077064BA">
            <w:pPr>
              <w:spacing w:line="360" w:lineRule="exact"/>
              <w:jc w:val="center"/>
              <w:rPr>
                <w:rFonts w:ascii="方正仿宋_GBK" w:hAnsi="方正仿宋_GBK" w:eastAsia="方正仿宋_GBK" w:cs="方正仿宋_GBK"/>
                <w:color w:val="auto"/>
                <w:sz w:val="24"/>
                <w:szCs w:val="24"/>
                <w:highlight w:val="none"/>
              </w:rPr>
            </w:pPr>
          </w:p>
        </w:tc>
        <w:tc>
          <w:tcPr>
            <w:tcW w:w="843" w:type="dxa"/>
            <w:vMerge w:val="continue"/>
            <w:noWrap/>
            <w:tcMar>
              <w:left w:w="108" w:type="dxa"/>
              <w:right w:w="108" w:type="dxa"/>
            </w:tcMar>
            <w:vAlign w:val="center"/>
          </w:tcPr>
          <w:p w14:paraId="7DD4E133">
            <w:pPr>
              <w:spacing w:line="360" w:lineRule="exact"/>
              <w:jc w:val="center"/>
              <w:rPr>
                <w:rFonts w:ascii="方正仿宋_GBK" w:hAnsi="方正仿宋_GBK" w:eastAsia="方正仿宋_GBK" w:cs="方正仿宋_GBK"/>
                <w:color w:val="auto"/>
                <w:sz w:val="24"/>
                <w:szCs w:val="24"/>
                <w:highlight w:val="none"/>
              </w:rPr>
            </w:pPr>
          </w:p>
        </w:tc>
        <w:tc>
          <w:tcPr>
            <w:tcW w:w="646" w:type="dxa"/>
            <w:noWrap/>
            <w:tcMar>
              <w:left w:w="108" w:type="dxa"/>
              <w:right w:w="108" w:type="dxa"/>
            </w:tcMar>
            <w:vAlign w:val="center"/>
          </w:tcPr>
          <w:p w14:paraId="6AD0531E">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w:t>
            </w:r>
          </w:p>
        </w:tc>
        <w:tc>
          <w:tcPr>
            <w:tcW w:w="5211" w:type="dxa"/>
            <w:noWrap/>
            <w:tcMar>
              <w:left w:w="108" w:type="dxa"/>
              <w:right w:w="108" w:type="dxa"/>
            </w:tcMar>
            <w:vAlign w:val="center"/>
          </w:tcPr>
          <w:p w14:paraId="55118DD3">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应急处理预案（3分）</w:t>
            </w:r>
          </w:p>
          <w:p w14:paraId="1D7AAF19">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根据供应商提供的应急处理预案进行评审，包括不限于以下内容：①不合格退换货应急预案；②传染性疾病应急预案；③食物中毒应急预案；④自然灾害应急处理预案；⑤应急物资供应预案。</w:t>
            </w:r>
          </w:p>
          <w:p w14:paraId="069C0496">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内容不存在瑕疵，得3分；</w:t>
            </w:r>
          </w:p>
          <w:p w14:paraId="2A68B24E">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内容存在1处瑕疵，得2分；</w:t>
            </w:r>
          </w:p>
          <w:p w14:paraId="0D8D1C93">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内容存在2处瑕疵，得1分；</w:t>
            </w:r>
          </w:p>
          <w:p w14:paraId="798DFCC1">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内容存在3处及以上瑕疵或未提供方案不得分。</w:t>
            </w:r>
          </w:p>
        </w:tc>
        <w:tc>
          <w:tcPr>
            <w:tcW w:w="1921" w:type="dxa"/>
            <w:vMerge w:val="continue"/>
            <w:noWrap/>
            <w:tcMar>
              <w:left w:w="108" w:type="dxa"/>
              <w:right w:w="108" w:type="dxa"/>
            </w:tcMar>
            <w:vAlign w:val="center"/>
          </w:tcPr>
          <w:p w14:paraId="572671A5">
            <w:pPr>
              <w:spacing w:line="360" w:lineRule="exact"/>
              <w:jc w:val="center"/>
              <w:rPr>
                <w:rFonts w:ascii="方正仿宋_GBK" w:hAnsi="方正仿宋_GBK" w:eastAsia="方正仿宋_GBK" w:cs="方正仿宋_GBK"/>
                <w:color w:val="auto"/>
                <w:sz w:val="24"/>
                <w:szCs w:val="24"/>
                <w:highlight w:val="none"/>
              </w:rPr>
            </w:pPr>
          </w:p>
        </w:tc>
      </w:tr>
      <w:tr w14:paraId="7E744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27" w:type="dxa"/>
            <w:vMerge w:val="continue"/>
            <w:noWrap/>
            <w:tcMar>
              <w:left w:w="108" w:type="dxa"/>
              <w:right w:w="108" w:type="dxa"/>
            </w:tcMar>
            <w:vAlign w:val="center"/>
          </w:tcPr>
          <w:p w14:paraId="2CD6C0F2">
            <w:pPr>
              <w:spacing w:line="360" w:lineRule="exact"/>
              <w:rPr>
                <w:rFonts w:ascii="方正仿宋_GBK" w:hAnsi="方正仿宋_GBK" w:eastAsia="方正仿宋_GBK" w:cs="方正仿宋_GBK"/>
                <w:color w:val="auto"/>
                <w:sz w:val="24"/>
                <w:szCs w:val="24"/>
                <w:highlight w:val="none"/>
              </w:rPr>
            </w:pPr>
          </w:p>
        </w:tc>
        <w:tc>
          <w:tcPr>
            <w:tcW w:w="999" w:type="dxa"/>
            <w:vMerge w:val="continue"/>
            <w:noWrap/>
            <w:tcMar>
              <w:left w:w="108" w:type="dxa"/>
              <w:right w:w="108" w:type="dxa"/>
            </w:tcMar>
            <w:vAlign w:val="center"/>
          </w:tcPr>
          <w:p w14:paraId="45B4CF11">
            <w:pPr>
              <w:spacing w:line="360" w:lineRule="exact"/>
              <w:jc w:val="center"/>
              <w:rPr>
                <w:rFonts w:ascii="方正仿宋_GBK" w:hAnsi="方正仿宋_GBK" w:eastAsia="方正仿宋_GBK" w:cs="方正仿宋_GBK"/>
                <w:color w:val="auto"/>
                <w:sz w:val="24"/>
                <w:szCs w:val="24"/>
                <w:highlight w:val="none"/>
              </w:rPr>
            </w:pPr>
          </w:p>
        </w:tc>
        <w:tc>
          <w:tcPr>
            <w:tcW w:w="843" w:type="dxa"/>
            <w:vMerge w:val="continue"/>
            <w:noWrap/>
            <w:tcMar>
              <w:left w:w="108" w:type="dxa"/>
              <w:right w:w="108" w:type="dxa"/>
            </w:tcMar>
            <w:vAlign w:val="center"/>
          </w:tcPr>
          <w:p w14:paraId="4478A022">
            <w:pPr>
              <w:spacing w:line="360" w:lineRule="exact"/>
              <w:jc w:val="center"/>
              <w:rPr>
                <w:rFonts w:ascii="方正仿宋_GBK" w:hAnsi="方正仿宋_GBK" w:eastAsia="方正仿宋_GBK" w:cs="方正仿宋_GBK"/>
                <w:color w:val="auto"/>
                <w:sz w:val="24"/>
                <w:szCs w:val="24"/>
                <w:highlight w:val="none"/>
              </w:rPr>
            </w:pPr>
          </w:p>
        </w:tc>
        <w:tc>
          <w:tcPr>
            <w:tcW w:w="646" w:type="dxa"/>
            <w:noWrap/>
            <w:tcMar>
              <w:left w:w="108" w:type="dxa"/>
              <w:right w:w="108" w:type="dxa"/>
            </w:tcMar>
            <w:vAlign w:val="center"/>
          </w:tcPr>
          <w:p w14:paraId="62A413D6">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w:t>
            </w:r>
          </w:p>
        </w:tc>
        <w:tc>
          <w:tcPr>
            <w:tcW w:w="5211" w:type="dxa"/>
            <w:noWrap/>
            <w:tcMar>
              <w:left w:w="108" w:type="dxa"/>
              <w:right w:w="108" w:type="dxa"/>
            </w:tcMar>
            <w:vAlign w:val="center"/>
          </w:tcPr>
          <w:p w14:paraId="4B99F0A1">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提供食品溯源管理制度和溯源方案（3分）</w:t>
            </w:r>
          </w:p>
          <w:p w14:paraId="6BB11BF0">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内容不存在瑕疵，得3分；</w:t>
            </w:r>
          </w:p>
          <w:p w14:paraId="0489C306">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内容存在1处瑕疵，得2分；</w:t>
            </w:r>
          </w:p>
          <w:p w14:paraId="340B61F8">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内容存在2处瑕疵，得1分；</w:t>
            </w:r>
          </w:p>
          <w:p w14:paraId="33BA480D">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内容存在3处及以上瑕疵或未提供方案不得分。</w:t>
            </w:r>
          </w:p>
        </w:tc>
        <w:tc>
          <w:tcPr>
            <w:tcW w:w="1921" w:type="dxa"/>
            <w:vMerge w:val="continue"/>
            <w:noWrap/>
            <w:tcMar>
              <w:left w:w="108" w:type="dxa"/>
              <w:right w:w="108" w:type="dxa"/>
            </w:tcMar>
            <w:vAlign w:val="center"/>
          </w:tcPr>
          <w:p w14:paraId="0C6AF637">
            <w:pPr>
              <w:spacing w:line="360" w:lineRule="exact"/>
              <w:jc w:val="center"/>
              <w:rPr>
                <w:rFonts w:ascii="方正仿宋_GBK" w:hAnsi="方正仿宋_GBK" w:eastAsia="方正仿宋_GBK" w:cs="方正仿宋_GBK"/>
                <w:color w:val="auto"/>
                <w:sz w:val="24"/>
                <w:szCs w:val="24"/>
                <w:highlight w:val="none"/>
              </w:rPr>
            </w:pPr>
          </w:p>
        </w:tc>
      </w:tr>
      <w:tr w14:paraId="56885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27" w:type="dxa"/>
            <w:vMerge w:val="continue"/>
            <w:noWrap/>
            <w:tcMar>
              <w:left w:w="108" w:type="dxa"/>
              <w:right w:w="108" w:type="dxa"/>
            </w:tcMar>
            <w:vAlign w:val="center"/>
          </w:tcPr>
          <w:p w14:paraId="4DD9FB88">
            <w:pPr>
              <w:spacing w:line="360" w:lineRule="exact"/>
              <w:rPr>
                <w:rFonts w:ascii="方正仿宋_GBK" w:hAnsi="方正仿宋_GBK" w:eastAsia="方正仿宋_GBK" w:cs="方正仿宋_GBK"/>
                <w:color w:val="auto"/>
                <w:sz w:val="24"/>
                <w:szCs w:val="24"/>
                <w:highlight w:val="none"/>
              </w:rPr>
            </w:pPr>
          </w:p>
        </w:tc>
        <w:tc>
          <w:tcPr>
            <w:tcW w:w="999" w:type="dxa"/>
            <w:vMerge w:val="continue"/>
            <w:noWrap/>
            <w:tcMar>
              <w:left w:w="108" w:type="dxa"/>
              <w:right w:w="108" w:type="dxa"/>
            </w:tcMar>
            <w:vAlign w:val="center"/>
          </w:tcPr>
          <w:p w14:paraId="3E9366F3">
            <w:pPr>
              <w:spacing w:line="360" w:lineRule="exact"/>
              <w:jc w:val="center"/>
              <w:rPr>
                <w:rFonts w:ascii="方正仿宋_GBK" w:hAnsi="方正仿宋_GBK" w:eastAsia="方正仿宋_GBK" w:cs="方正仿宋_GBK"/>
                <w:color w:val="auto"/>
                <w:sz w:val="24"/>
                <w:szCs w:val="24"/>
                <w:highlight w:val="none"/>
              </w:rPr>
            </w:pPr>
          </w:p>
        </w:tc>
        <w:tc>
          <w:tcPr>
            <w:tcW w:w="843" w:type="dxa"/>
            <w:vMerge w:val="continue"/>
            <w:noWrap/>
            <w:tcMar>
              <w:left w:w="108" w:type="dxa"/>
              <w:right w:w="108" w:type="dxa"/>
            </w:tcMar>
            <w:vAlign w:val="center"/>
          </w:tcPr>
          <w:p w14:paraId="37E14A40">
            <w:pPr>
              <w:spacing w:line="360" w:lineRule="exact"/>
              <w:jc w:val="center"/>
              <w:rPr>
                <w:rFonts w:ascii="方正仿宋_GBK" w:hAnsi="方正仿宋_GBK" w:eastAsia="方正仿宋_GBK" w:cs="方正仿宋_GBK"/>
                <w:color w:val="auto"/>
                <w:sz w:val="24"/>
                <w:szCs w:val="24"/>
                <w:highlight w:val="none"/>
              </w:rPr>
            </w:pPr>
          </w:p>
        </w:tc>
        <w:tc>
          <w:tcPr>
            <w:tcW w:w="646" w:type="dxa"/>
            <w:noWrap/>
            <w:tcMar>
              <w:left w:w="108" w:type="dxa"/>
              <w:right w:w="108" w:type="dxa"/>
            </w:tcMar>
            <w:vAlign w:val="center"/>
          </w:tcPr>
          <w:p w14:paraId="58EA4826">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5</w:t>
            </w:r>
          </w:p>
        </w:tc>
        <w:tc>
          <w:tcPr>
            <w:tcW w:w="5211" w:type="dxa"/>
            <w:noWrap/>
            <w:tcMar>
              <w:left w:w="108" w:type="dxa"/>
              <w:right w:w="108" w:type="dxa"/>
            </w:tcMar>
            <w:vAlign w:val="center"/>
          </w:tcPr>
          <w:p w14:paraId="2EDEBDE9">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食品安全预案（5分）</w:t>
            </w:r>
          </w:p>
          <w:p w14:paraId="322860E6">
            <w:pPr>
              <w:autoSpaceDE w:val="0"/>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供应商针对本项目制定完备的食品安全预案体系。供应商主要负责人和相关主管人员积极作为，主动担当，现场指导、处理，慰问学生及家长，做好应急处置、安抚工作和善后处理。</w:t>
            </w:r>
          </w:p>
          <w:p w14:paraId="521A1572">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内容不存在瑕疵，得5分；</w:t>
            </w:r>
          </w:p>
          <w:p w14:paraId="4DB5919A">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w:t>
            </w:r>
            <w:r>
              <w:rPr>
                <w:rFonts w:ascii="方正仿宋_GBK" w:hAnsi="方正仿宋_GBK" w:eastAsia="方正仿宋_GBK" w:cs="方正仿宋_GBK"/>
                <w:color w:val="auto"/>
                <w:sz w:val="24"/>
                <w:szCs w:val="24"/>
                <w:highlight w:val="none"/>
              </w:rPr>
              <w:t>1处瑕疵，得</w:t>
            </w:r>
            <w:r>
              <w:rPr>
                <w:rFonts w:hint="eastAsia" w:ascii="方正仿宋_GBK" w:hAnsi="方正仿宋_GBK" w:eastAsia="方正仿宋_GBK" w:cs="方正仿宋_GBK"/>
                <w:color w:val="auto"/>
                <w:sz w:val="24"/>
                <w:szCs w:val="24"/>
                <w:highlight w:val="none"/>
              </w:rPr>
              <w:t>3分；</w:t>
            </w:r>
          </w:p>
          <w:p w14:paraId="499F9CF5">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w:t>
            </w:r>
            <w:r>
              <w:rPr>
                <w:rFonts w:ascii="方正仿宋_GBK" w:hAnsi="方正仿宋_GBK" w:eastAsia="方正仿宋_GBK" w:cs="方正仿宋_GBK"/>
                <w:color w:val="auto"/>
                <w:sz w:val="24"/>
                <w:szCs w:val="24"/>
                <w:highlight w:val="none"/>
              </w:rPr>
              <w:t>2处瑕疵，得</w:t>
            </w:r>
            <w:r>
              <w:rPr>
                <w:rFonts w:hint="eastAsia" w:ascii="方正仿宋_GBK" w:hAnsi="方正仿宋_GBK" w:eastAsia="方正仿宋_GBK" w:cs="方正仿宋_GBK"/>
                <w:color w:val="auto"/>
                <w:sz w:val="24"/>
                <w:szCs w:val="24"/>
                <w:highlight w:val="none"/>
                <w:lang w:val="en-US" w:eastAsia="zh-CN"/>
              </w:rPr>
              <w:t>1</w:t>
            </w:r>
            <w:r>
              <w:rPr>
                <w:rFonts w:hint="eastAsia" w:ascii="方正仿宋_GBK" w:hAnsi="方正仿宋_GBK" w:eastAsia="方正仿宋_GBK" w:cs="方正仿宋_GBK"/>
                <w:color w:val="auto"/>
                <w:sz w:val="24"/>
                <w:szCs w:val="24"/>
                <w:highlight w:val="none"/>
              </w:rPr>
              <w:t>分；</w:t>
            </w:r>
          </w:p>
          <w:p w14:paraId="0B553EF2">
            <w:pPr>
              <w:autoSpaceDE w:val="0"/>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内容存在</w:t>
            </w:r>
            <w:r>
              <w:rPr>
                <w:rFonts w:ascii="方正仿宋_GBK" w:hAnsi="方正仿宋_GBK" w:eastAsia="方正仿宋_GBK" w:cs="方正仿宋_GBK"/>
                <w:color w:val="auto"/>
                <w:sz w:val="24"/>
                <w:szCs w:val="24"/>
                <w:highlight w:val="none"/>
              </w:rPr>
              <w:t>3处及以上瑕疵或未提供方案不得分。</w:t>
            </w:r>
          </w:p>
        </w:tc>
        <w:tc>
          <w:tcPr>
            <w:tcW w:w="1921" w:type="dxa"/>
            <w:vMerge w:val="continue"/>
            <w:noWrap/>
            <w:tcMar>
              <w:left w:w="108" w:type="dxa"/>
              <w:right w:w="108" w:type="dxa"/>
            </w:tcMar>
          </w:tcPr>
          <w:p w14:paraId="605C7885">
            <w:pPr>
              <w:spacing w:line="360" w:lineRule="exact"/>
              <w:rPr>
                <w:rFonts w:ascii="方正仿宋_GBK" w:hAnsi="方正仿宋_GBK" w:eastAsia="方正仿宋_GBK" w:cs="方正仿宋_GBK"/>
                <w:color w:val="auto"/>
                <w:sz w:val="24"/>
                <w:szCs w:val="24"/>
                <w:highlight w:val="none"/>
              </w:rPr>
            </w:pPr>
          </w:p>
        </w:tc>
      </w:tr>
      <w:tr w14:paraId="162FA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27" w:type="dxa"/>
            <w:vMerge w:val="continue"/>
            <w:noWrap/>
            <w:vAlign w:val="center"/>
          </w:tcPr>
          <w:p w14:paraId="48C0F17F">
            <w:pPr>
              <w:spacing w:line="360" w:lineRule="exact"/>
              <w:rPr>
                <w:rFonts w:ascii="方正仿宋_GBK" w:hAnsi="方正仿宋_GBK" w:eastAsia="方正仿宋_GBK" w:cs="方正仿宋_GBK"/>
                <w:color w:val="auto"/>
                <w:sz w:val="24"/>
                <w:szCs w:val="24"/>
                <w:highlight w:val="none"/>
              </w:rPr>
            </w:pPr>
          </w:p>
        </w:tc>
        <w:tc>
          <w:tcPr>
            <w:tcW w:w="999" w:type="dxa"/>
            <w:vMerge w:val="continue"/>
            <w:noWrap/>
            <w:vAlign w:val="center"/>
          </w:tcPr>
          <w:p w14:paraId="2CFD7160">
            <w:pPr>
              <w:spacing w:line="360" w:lineRule="exact"/>
              <w:rPr>
                <w:rFonts w:ascii="方正仿宋_GBK" w:hAnsi="方正仿宋_GBK" w:eastAsia="方正仿宋_GBK" w:cs="方正仿宋_GBK"/>
                <w:color w:val="auto"/>
                <w:sz w:val="24"/>
                <w:szCs w:val="24"/>
                <w:highlight w:val="none"/>
              </w:rPr>
            </w:pPr>
          </w:p>
        </w:tc>
        <w:tc>
          <w:tcPr>
            <w:tcW w:w="843" w:type="dxa"/>
            <w:noWrap/>
            <w:vAlign w:val="center"/>
          </w:tcPr>
          <w:p w14:paraId="11F33A5B">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食品安全责任</w:t>
            </w:r>
          </w:p>
        </w:tc>
        <w:tc>
          <w:tcPr>
            <w:tcW w:w="646" w:type="dxa"/>
            <w:noWrap/>
            <w:vAlign w:val="center"/>
          </w:tcPr>
          <w:p w14:paraId="3B127DAA">
            <w:pPr>
              <w:spacing w:line="360" w:lineRule="exact"/>
              <w:ind w:firstLine="28"/>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4</w:t>
            </w:r>
          </w:p>
        </w:tc>
        <w:tc>
          <w:tcPr>
            <w:tcW w:w="5211" w:type="dxa"/>
            <w:noWrap/>
            <w:tcMar>
              <w:left w:w="108" w:type="dxa"/>
              <w:right w:w="108" w:type="dxa"/>
            </w:tcMar>
            <w:vAlign w:val="center"/>
          </w:tcPr>
          <w:p w14:paraId="4F6BBCF9">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应商出具承诺函，承诺内容为：中标后为所投产品购买食品安全责任保险。被保险人为采购人，保险额度为200万元/包，保险费用由中标人承担。按以上要求提供承诺函的，得4分，未提供或未按要求提供承诺函的，不得分。</w:t>
            </w:r>
          </w:p>
        </w:tc>
        <w:tc>
          <w:tcPr>
            <w:tcW w:w="1921" w:type="dxa"/>
            <w:noWrap/>
          </w:tcPr>
          <w:p w14:paraId="733D6A9B">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签订合同前，中标人应提供符合招标文件要求的食品安全保险单及发票复印件并加盖供应商公章，否则承担虚假应标的全部法律责任。</w:t>
            </w:r>
          </w:p>
        </w:tc>
      </w:tr>
      <w:tr w14:paraId="20279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jc w:val="center"/>
        </w:trPr>
        <w:tc>
          <w:tcPr>
            <w:tcW w:w="427" w:type="dxa"/>
            <w:vMerge w:val="restart"/>
            <w:noWrap/>
            <w:tcMar>
              <w:left w:w="108" w:type="dxa"/>
              <w:right w:w="108" w:type="dxa"/>
            </w:tcMar>
            <w:vAlign w:val="center"/>
          </w:tcPr>
          <w:p w14:paraId="3D3803C1">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w:t>
            </w:r>
          </w:p>
        </w:tc>
        <w:tc>
          <w:tcPr>
            <w:tcW w:w="999" w:type="dxa"/>
            <w:vMerge w:val="restart"/>
            <w:noWrap/>
            <w:tcMar>
              <w:left w:w="108" w:type="dxa"/>
              <w:right w:w="108" w:type="dxa"/>
            </w:tcMar>
            <w:vAlign w:val="center"/>
          </w:tcPr>
          <w:p w14:paraId="28F4CB32">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商务</w:t>
            </w:r>
          </w:p>
          <w:p w14:paraId="52240CF6">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部分</w:t>
            </w:r>
          </w:p>
          <w:p w14:paraId="4C12245D">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(30%)</w:t>
            </w:r>
          </w:p>
        </w:tc>
        <w:tc>
          <w:tcPr>
            <w:tcW w:w="843" w:type="dxa"/>
            <w:noWrap/>
            <w:tcMar>
              <w:left w:w="108" w:type="dxa"/>
              <w:right w:w="108" w:type="dxa"/>
            </w:tcMar>
            <w:vAlign w:val="center"/>
          </w:tcPr>
          <w:p w14:paraId="6F09EC4F">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质量认证</w:t>
            </w:r>
          </w:p>
        </w:tc>
        <w:tc>
          <w:tcPr>
            <w:tcW w:w="646" w:type="dxa"/>
            <w:noWrap/>
            <w:tcMar>
              <w:left w:w="108" w:type="dxa"/>
              <w:right w:w="108" w:type="dxa"/>
            </w:tcMar>
            <w:vAlign w:val="center"/>
          </w:tcPr>
          <w:p w14:paraId="6ABB7B72">
            <w:pPr>
              <w:spacing w:line="360" w:lineRule="exact"/>
              <w:ind w:firstLine="28"/>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10</w:t>
            </w:r>
          </w:p>
        </w:tc>
        <w:tc>
          <w:tcPr>
            <w:tcW w:w="5211" w:type="dxa"/>
            <w:noWrap/>
            <w:tcMar>
              <w:left w:w="108" w:type="dxa"/>
              <w:right w:w="108" w:type="dxa"/>
            </w:tcMar>
            <w:vAlign w:val="center"/>
          </w:tcPr>
          <w:p w14:paraId="357BC238">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1.供应商具有有效的ISO9001质量管理体系认证证书，得2分；</w:t>
            </w:r>
          </w:p>
          <w:p w14:paraId="67D6B735">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2.供应商具有有效的ISO14001环境管理体系认证证书，得2分；</w:t>
            </w:r>
          </w:p>
          <w:p w14:paraId="333F566E">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3.供应商具有有效的职业健康安全管理体系认证证书，得2分；</w:t>
            </w:r>
          </w:p>
          <w:p w14:paraId="1FE37C33">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4.供应商具有有效的ISO22000食品安全管理体系认证证书，得2分；</w:t>
            </w:r>
          </w:p>
          <w:p w14:paraId="752079E1">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5.供应商具有有效的ISO28000供应链安全管理体系认证证书，得2分。</w:t>
            </w:r>
          </w:p>
        </w:tc>
        <w:tc>
          <w:tcPr>
            <w:tcW w:w="1921" w:type="dxa"/>
            <w:noWrap/>
            <w:tcMar>
              <w:left w:w="108" w:type="dxa"/>
              <w:right w:w="108" w:type="dxa"/>
            </w:tcMar>
            <w:vAlign w:val="center"/>
          </w:tcPr>
          <w:p w14:paraId="79F0A645">
            <w:pP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提供有效期内的证书复印件，加盖供应商公章。</w:t>
            </w:r>
          </w:p>
        </w:tc>
      </w:tr>
      <w:tr w14:paraId="18041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427" w:type="dxa"/>
            <w:vMerge w:val="continue"/>
            <w:noWrap/>
            <w:vAlign w:val="center"/>
          </w:tcPr>
          <w:p w14:paraId="29D432A5">
            <w:pPr>
              <w:spacing w:line="360" w:lineRule="exact"/>
              <w:rPr>
                <w:rFonts w:ascii="方正仿宋_GBK" w:hAnsi="方正仿宋_GBK" w:eastAsia="方正仿宋_GBK" w:cs="方正仿宋_GBK"/>
                <w:color w:val="auto"/>
                <w:sz w:val="24"/>
                <w:szCs w:val="24"/>
                <w:highlight w:val="none"/>
              </w:rPr>
            </w:pPr>
          </w:p>
        </w:tc>
        <w:tc>
          <w:tcPr>
            <w:tcW w:w="999" w:type="dxa"/>
            <w:vMerge w:val="continue"/>
            <w:noWrap/>
            <w:vAlign w:val="center"/>
          </w:tcPr>
          <w:p w14:paraId="4CA7B5EA">
            <w:pPr>
              <w:spacing w:line="360" w:lineRule="exact"/>
              <w:rPr>
                <w:rFonts w:ascii="方正仿宋_GBK" w:hAnsi="方正仿宋_GBK" w:eastAsia="方正仿宋_GBK" w:cs="方正仿宋_GBK"/>
                <w:color w:val="auto"/>
                <w:sz w:val="24"/>
                <w:szCs w:val="24"/>
                <w:highlight w:val="none"/>
              </w:rPr>
            </w:pPr>
          </w:p>
        </w:tc>
        <w:tc>
          <w:tcPr>
            <w:tcW w:w="843" w:type="dxa"/>
            <w:noWrap/>
            <w:tcMar>
              <w:left w:w="108" w:type="dxa"/>
              <w:right w:w="108" w:type="dxa"/>
            </w:tcMar>
            <w:vAlign w:val="center"/>
          </w:tcPr>
          <w:p w14:paraId="58FAA0E8">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投标人实力</w:t>
            </w:r>
          </w:p>
        </w:tc>
        <w:tc>
          <w:tcPr>
            <w:tcW w:w="646" w:type="dxa"/>
            <w:noWrap/>
            <w:tcMar>
              <w:left w:w="108" w:type="dxa"/>
              <w:right w:w="108" w:type="dxa"/>
            </w:tcMar>
            <w:vAlign w:val="center"/>
          </w:tcPr>
          <w:p w14:paraId="21FBC863">
            <w:pPr>
              <w:spacing w:line="360" w:lineRule="exact"/>
              <w:ind w:firstLine="28"/>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5</w:t>
            </w:r>
          </w:p>
        </w:tc>
        <w:tc>
          <w:tcPr>
            <w:tcW w:w="5211" w:type="dxa"/>
            <w:noWrap/>
            <w:tcMar>
              <w:left w:w="108" w:type="dxa"/>
              <w:right w:w="108" w:type="dxa"/>
            </w:tcMar>
            <w:vAlign w:val="center"/>
          </w:tcPr>
          <w:p w14:paraId="78B1C652">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投标人具有的固定生产或经营场地：</w:t>
            </w:r>
          </w:p>
          <w:p w14:paraId="2D7D6D26">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150平方米-200(不含)平方米，得1分；</w:t>
            </w:r>
          </w:p>
          <w:p w14:paraId="5F168315">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200（含）平方米至</w:t>
            </w:r>
            <w:r>
              <w:rPr>
                <w:rFonts w:hint="eastAsia" w:ascii="方正仿宋_GBK" w:hAnsi="方正仿宋_GBK" w:eastAsia="方正仿宋_GBK" w:cs="方正仿宋_GBK"/>
                <w:color w:val="auto"/>
                <w:sz w:val="24"/>
                <w:szCs w:val="24"/>
                <w:highlight w:val="none"/>
                <w:lang w:val="en-US" w:eastAsia="zh-CN"/>
              </w:rPr>
              <w:t>5</w:t>
            </w:r>
            <w:r>
              <w:rPr>
                <w:rFonts w:hint="eastAsia" w:ascii="方正仿宋_GBK" w:hAnsi="方正仿宋_GBK" w:eastAsia="方正仿宋_GBK" w:cs="方正仿宋_GBK"/>
                <w:color w:val="auto"/>
                <w:sz w:val="24"/>
                <w:szCs w:val="24"/>
                <w:highlight w:val="none"/>
              </w:rPr>
              <w:t>00（不含）平方米，得2分；</w:t>
            </w:r>
          </w:p>
          <w:p w14:paraId="0A0E3B79">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5</w:t>
            </w:r>
            <w:r>
              <w:rPr>
                <w:rFonts w:hint="eastAsia" w:ascii="方正仿宋_GBK" w:hAnsi="方正仿宋_GBK" w:eastAsia="方正仿宋_GBK" w:cs="方正仿宋_GBK"/>
                <w:color w:val="auto"/>
                <w:sz w:val="24"/>
                <w:szCs w:val="24"/>
                <w:highlight w:val="none"/>
              </w:rPr>
              <w:t>00（含）平方米至</w:t>
            </w:r>
            <w:r>
              <w:rPr>
                <w:rFonts w:hint="eastAsia" w:ascii="方正仿宋_GBK" w:hAnsi="方正仿宋_GBK" w:eastAsia="方正仿宋_GBK" w:cs="方正仿宋_GBK"/>
                <w:color w:val="auto"/>
                <w:sz w:val="24"/>
                <w:szCs w:val="24"/>
                <w:highlight w:val="none"/>
                <w:lang w:val="en-US" w:eastAsia="zh-CN"/>
              </w:rPr>
              <w:t>8</w:t>
            </w:r>
            <w:r>
              <w:rPr>
                <w:rFonts w:hint="eastAsia" w:ascii="方正仿宋_GBK" w:hAnsi="方正仿宋_GBK" w:eastAsia="方正仿宋_GBK" w:cs="方正仿宋_GBK"/>
                <w:color w:val="auto"/>
                <w:sz w:val="24"/>
                <w:szCs w:val="24"/>
                <w:highlight w:val="none"/>
              </w:rPr>
              <w:t>00（不含）平米以上，得3分；</w:t>
            </w:r>
          </w:p>
          <w:p w14:paraId="051A31C3">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8</w:t>
            </w:r>
            <w:r>
              <w:rPr>
                <w:rFonts w:hint="eastAsia" w:ascii="方正仿宋_GBK" w:hAnsi="方正仿宋_GBK" w:eastAsia="方正仿宋_GBK" w:cs="方正仿宋_GBK"/>
                <w:color w:val="auto"/>
                <w:sz w:val="24"/>
                <w:szCs w:val="24"/>
                <w:highlight w:val="none"/>
              </w:rPr>
              <w:t>00（含）平方米至</w:t>
            </w:r>
            <w:r>
              <w:rPr>
                <w:rFonts w:hint="eastAsia" w:ascii="方正仿宋_GBK" w:hAnsi="方正仿宋_GBK" w:eastAsia="方正仿宋_GBK" w:cs="方正仿宋_GBK"/>
                <w:color w:val="auto"/>
                <w:sz w:val="24"/>
                <w:szCs w:val="24"/>
                <w:highlight w:val="none"/>
                <w:lang w:val="en-US" w:eastAsia="zh-CN"/>
              </w:rPr>
              <w:t>10</w:t>
            </w:r>
            <w:r>
              <w:rPr>
                <w:rFonts w:hint="eastAsia" w:ascii="方正仿宋_GBK" w:hAnsi="方正仿宋_GBK" w:eastAsia="方正仿宋_GBK" w:cs="方正仿宋_GBK"/>
                <w:color w:val="auto"/>
                <w:sz w:val="24"/>
                <w:szCs w:val="24"/>
                <w:highlight w:val="none"/>
              </w:rPr>
              <w:t>00（不含）平米以上，得</w:t>
            </w:r>
            <w:r>
              <w:rPr>
                <w:rFonts w:hint="eastAsia" w:ascii="方正仿宋_GBK" w:hAnsi="方正仿宋_GBK" w:eastAsia="方正仿宋_GBK" w:cs="方正仿宋_GBK"/>
                <w:color w:val="auto"/>
                <w:sz w:val="24"/>
                <w:szCs w:val="24"/>
                <w:highlight w:val="none"/>
                <w:lang w:val="en-US" w:eastAsia="zh-CN"/>
              </w:rPr>
              <w:t>4</w:t>
            </w:r>
            <w:r>
              <w:rPr>
                <w:rFonts w:hint="eastAsia" w:ascii="方正仿宋_GBK" w:hAnsi="方正仿宋_GBK" w:eastAsia="方正仿宋_GBK" w:cs="方正仿宋_GBK"/>
                <w:color w:val="auto"/>
                <w:sz w:val="24"/>
                <w:szCs w:val="24"/>
                <w:highlight w:val="none"/>
              </w:rPr>
              <w:t>分；</w:t>
            </w:r>
          </w:p>
          <w:p w14:paraId="3A0BBDB3">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1000（含）平方米以上得</w:t>
            </w:r>
            <w:r>
              <w:rPr>
                <w:rFonts w:hint="eastAsia" w:ascii="方正仿宋_GBK" w:hAnsi="方正仿宋_GBK" w:eastAsia="方正仿宋_GBK" w:cs="方正仿宋_GBK"/>
                <w:color w:val="auto"/>
                <w:sz w:val="24"/>
                <w:szCs w:val="24"/>
                <w:highlight w:val="none"/>
                <w:lang w:val="en-US" w:eastAsia="zh-CN"/>
              </w:rPr>
              <w:t>5</w:t>
            </w:r>
            <w:r>
              <w:rPr>
                <w:rFonts w:hint="eastAsia" w:ascii="方正仿宋_GBK" w:hAnsi="方正仿宋_GBK" w:eastAsia="方正仿宋_GBK" w:cs="方正仿宋_GBK"/>
                <w:color w:val="auto"/>
                <w:sz w:val="24"/>
                <w:szCs w:val="24"/>
                <w:highlight w:val="none"/>
              </w:rPr>
              <w:t>分。</w:t>
            </w:r>
          </w:p>
        </w:tc>
        <w:tc>
          <w:tcPr>
            <w:tcW w:w="1921" w:type="dxa"/>
            <w:noWrap/>
            <w:tcMar>
              <w:left w:w="108" w:type="dxa"/>
              <w:right w:w="108" w:type="dxa"/>
            </w:tcMar>
            <w:vAlign w:val="center"/>
          </w:tcPr>
          <w:p w14:paraId="60FEDF01">
            <w:pP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1.提供房屋产权证明或租赁合同复印件，加盖投标人公章。其中，复印件上有使用面积数量，且产权证上的所有人或承租方须与投标人名称一致；</w:t>
            </w:r>
          </w:p>
          <w:p w14:paraId="12E82171">
            <w:pP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2.提供门面门头或带有厂名的厂区照片，照片上记录名称须与投标投标人名称一致；</w:t>
            </w:r>
          </w:p>
          <w:p w14:paraId="0A5E6120">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3.以上两项要求必须同时</w:t>
            </w:r>
            <w:r>
              <w:rPr>
                <w:rFonts w:hint="eastAsia" w:ascii="方正仿宋_GBK" w:hAnsi="方正仿宋_GBK" w:eastAsia="方正仿宋_GBK" w:cs="方正仿宋_GBK"/>
                <w:color w:val="auto"/>
                <w:sz w:val="24"/>
                <w:szCs w:val="24"/>
                <w:highlight w:val="none"/>
                <w:lang w:eastAsia="zh-CN"/>
              </w:rPr>
              <w:t>提供</w:t>
            </w: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lang w:eastAsia="zh-CN"/>
              </w:rPr>
              <w:t>否则</w:t>
            </w:r>
            <w:r>
              <w:rPr>
                <w:rFonts w:hint="eastAsia" w:ascii="方正仿宋_GBK" w:hAnsi="方正仿宋_GBK" w:eastAsia="方正仿宋_GBK" w:cs="方正仿宋_GBK"/>
                <w:color w:val="auto"/>
                <w:sz w:val="24"/>
                <w:szCs w:val="24"/>
                <w:highlight w:val="none"/>
              </w:rPr>
              <w:t>得0分。</w:t>
            </w:r>
          </w:p>
        </w:tc>
      </w:tr>
      <w:tr w14:paraId="629EB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jc w:val="center"/>
        </w:trPr>
        <w:tc>
          <w:tcPr>
            <w:tcW w:w="427" w:type="dxa"/>
            <w:vMerge w:val="continue"/>
            <w:noWrap/>
            <w:vAlign w:val="center"/>
          </w:tcPr>
          <w:p w14:paraId="6DDEBFE5">
            <w:pPr>
              <w:spacing w:line="360" w:lineRule="exact"/>
              <w:rPr>
                <w:rFonts w:ascii="方正仿宋_GBK" w:hAnsi="方正仿宋_GBK" w:eastAsia="方正仿宋_GBK" w:cs="方正仿宋_GBK"/>
                <w:color w:val="auto"/>
                <w:sz w:val="24"/>
                <w:szCs w:val="24"/>
                <w:highlight w:val="none"/>
              </w:rPr>
            </w:pPr>
          </w:p>
        </w:tc>
        <w:tc>
          <w:tcPr>
            <w:tcW w:w="999" w:type="dxa"/>
            <w:vMerge w:val="continue"/>
            <w:noWrap/>
            <w:vAlign w:val="center"/>
          </w:tcPr>
          <w:p w14:paraId="09D589E4">
            <w:pPr>
              <w:spacing w:line="360" w:lineRule="exact"/>
              <w:rPr>
                <w:rFonts w:ascii="方正仿宋_GBK" w:hAnsi="方正仿宋_GBK" w:eastAsia="方正仿宋_GBK" w:cs="方正仿宋_GBK"/>
                <w:color w:val="auto"/>
                <w:sz w:val="24"/>
                <w:szCs w:val="24"/>
                <w:highlight w:val="none"/>
              </w:rPr>
            </w:pPr>
          </w:p>
        </w:tc>
        <w:tc>
          <w:tcPr>
            <w:tcW w:w="843" w:type="dxa"/>
            <w:noWrap/>
            <w:tcMar>
              <w:left w:w="108" w:type="dxa"/>
              <w:right w:w="108" w:type="dxa"/>
            </w:tcMar>
            <w:vAlign w:val="center"/>
          </w:tcPr>
          <w:p w14:paraId="60179E82">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供应商业绩</w:t>
            </w:r>
          </w:p>
        </w:tc>
        <w:tc>
          <w:tcPr>
            <w:tcW w:w="646" w:type="dxa"/>
            <w:noWrap/>
            <w:tcMar>
              <w:left w:w="108" w:type="dxa"/>
              <w:right w:w="108" w:type="dxa"/>
            </w:tcMar>
            <w:vAlign w:val="center"/>
          </w:tcPr>
          <w:p w14:paraId="0528C14A">
            <w:pPr>
              <w:spacing w:line="360" w:lineRule="exact"/>
              <w:ind w:firstLine="28"/>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10</w:t>
            </w:r>
          </w:p>
        </w:tc>
        <w:tc>
          <w:tcPr>
            <w:tcW w:w="5211" w:type="dxa"/>
            <w:noWrap/>
            <w:tcMar>
              <w:left w:w="108" w:type="dxa"/>
              <w:right w:w="108" w:type="dxa"/>
            </w:tcMar>
            <w:vAlign w:val="center"/>
          </w:tcPr>
          <w:p w14:paraId="078BE21E">
            <w:pPr>
              <w:autoSpaceDE w:val="0"/>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应商自2021年1月1日至投标截止时间止（以合同签订时间为准），与学校或机关事业单位签订的食堂食材供货合同或协议（含正在履行或已经履行完结的）为依据评价业绩，食材供货合同或协议应包括所投分包标的物。每提供1份，得1分，最高得10分。不提供合同、协议，或提供的合同、协议仅为学校或单位食堂的一个档口，或提供的合同、协议未包括所投分包标的物的，得0分。</w:t>
            </w:r>
          </w:p>
          <w:p w14:paraId="1C6E4F26">
            <w:pPr>
              <w:autoSpaceDE w:val="0"/>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注：同一个食堂多份合同视为一个业绩，且一个业绩不重复得分。</w:t>
            </w:r>
          </w:p>
        </w:tc>
        <w:tc>
          <w:tcPr>
            <w:tcW w:w="1921" w:type="dxa"/>
            <w:noWrap/>
            <w:tcMar>
              <w:left w:w="108" w:type="dxa"/>
              <w:right w:w="108" w:type="dxa"/>
            </w:tcMar>
            <w:vAlign w:val="center"/>
          </w:tcPr>
          <w:p w14:paraId="4EDF2BC3">
            <w:pPr>
              <w:autoSpaceDE w:val="0"/>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提供合同复印件并加盖供应商公章。</w:t>
            </w:r>
          </w:p>
        </w:tc>
      </w:tr>
      <w:tr w14:paraId="62643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jc w:val="center"/>
        </w:trPr>
        <w:tc>
          <w:tcPr>
            <w:tcW w:w="427" w:type="dxa"/>
            <w:vMerge w:val="continue"/>
            <w:noWrap/>
            <w:vAlign w:val="center"/>
          </w:tcPr>
          <w:p w14:paraId="7D2750F9">
            <w:pPr>
              <w:spacing w:line="360" w:lineRule="exact"/>
              <w:rPr>
                <w:rFonts w:ascii="方正仿宋_GBK" w:hAnsi="方正仿宋_GBK" w:eastAsia="方正仿宋_GBK" w:cs="方正仿宋_GBK"/>
                <w:color w:val="auto"/>
                <w:sz w:val="24"/>
                <w:szCs w:val="24"/>
                <w:highlight w:val="none"/>
              </w:rPr>
            </w:pPr>
          </w:p>
        </w:tc>
        <w:tc>
          <w:tcPr>
            <w:tcW w:w="999" w:type="dxa"/>
            <w:vMerge w:val="continue"/>
            <w:noWrap/>
            <w:vAlign w:val="center"/>
          </w:tcPr>
          <w:p w14:paraId="685A69B9">
            <w:pPr>
              <w:spacing w:line="360" w:lineRule="exact"/>
              <w:rPr>
                <w:rFonts w:ascii="方正仿宋_GBK" w:hAnsi="方正仿宋_GBK" w:eastAsia="方正仿宋_GBK" w:cs="方正仿宋_GBK"/>
                <w:color w:val="auto"/>
                <w:sz w:val="24"/>
                <w:szCs w:val="24"/>
                <w:highlight w:val="none"/>
              </w:rPr>
            </w:pPr>
          </w:p>
        </w:tc>
        <w:tc>
          <w:tcPr>
            <w:tcW w:w="843" w:type="dxa"/>
            <w:noWrap/>
            <w:tcMar>
              <w:left w:w="108" w:type="dxa"/>
              <w:right w:w="108" w:type="dxa"/>
            </w:tcMar>
            <w:vAlign w:val="center"/>
          </w:tcPr>
          <w:p w14:paraId="6F96D56A">
            <w:pPr>
              <w:spacing w:line="36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满意度评价</w:t>
            </w:r>
          </w:p>
        </w:tc>
        <w:tc>
          <w:tcPr>
            <w:tcW w:w="646" w:type="dxa"/>
            <w:noWrap/>
            <w:tcMar>
              <w:left w:w="108" w:type="dxa"/>
              <w:right w:w="108" w:type="dxa"/>
            </w:tcMar>
            <w:vAlign w:val="center"/>
          </w:tcPr>
          <w:p w14:paraId="08864357">
            <w:pPr>
              <w:spacing w:line="360" w:lineRule="exact"/>
              <w:ind w:firstLine="28"/>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5</w:t>
            </w:r>
          </w:p>
        </w:tc>
        <w:tc>
          <w:tcPr>
            <w:tcW w:w="5211" w:type="dxa"/>
            <w:noWrap/>
            <w:tcMar>
              <w:left w:w="108" w:type="dxa"/>
              <w:right w:w="108" w:type="dxa"/>
            </w:tcMar>
            <w:vAlign w:val="center"/>
          </w:tcPr>
          <w:p w14:paraId="21D20F96">
            <w:pPr>
              <w:autoSpaceDE w:val="0"/>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供应商自2021年1月1日至投标截止日期用户评价，优良或满意的肯定性评价证明，有一个得1分，没有得0分，本项最多得5分。</w:t>
            </w:r>
          </w:p>
          <w:p w14:paraId="12ACC310">
            <w:pPr>
              <w:autoSpaceDE w:val="0"/>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注：同一甲方不重复计分</w:t>
            </w:r>
          </w:p>
        </w:tc>
        <w:tc>
          <w:tcPr>
            <w:tcW w:w="1921" w:type="dxa"/>
            <w:noWrap/>
            <w:tcMar>
              <w:left w:w="108" w:type="dxa"/>
              <w:right w:w="108" w:type="dxa"/>
            </w:tcMar>
            <w:vAlign w:val="center"/>
          </w:tcPr>
          <w:p w14:paraId="08C400ED">
            <w:pPr>
              <w:autoSpaceDE w:val="0"/>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提供相关信息清晰的合同复印件及加盖合同甲方公章的评价证明文件（格式自拟），提供不齐全的不得分。</w:t>
            </w:r>
          </w:p>
        </w:tc>
      </w:tr>
    </w:tbl>
    <w:p w14:paraId="3A58ACB4">
      <w:pPr>
        <w:snapToGrid w:val="0"/>
        <w:spacing w:line="276" w:lineRule="auto"/>
        <w:ind w:firstLine="480" w:firstLineChars="200"/>
        <w:rPr>
          <w:rFonts w:ascii="方正仿宋_GBK" w:eastAsia="方正仿宋_GBK"/>
          <w:color w:val="auto"/>
          <w:sz w:val="24"/>
          <w:szCs w:val="24"/>
          <w:highlight w:val="none"/>
        </w:rPr>
      </w:pPr>
      <w:r>
        <w:rPr>
          <w:rFonts w:hint="eastAsia" w:ascii="方正仿宋_GBK" w:hAnsi="宋体" w:eastAsia="方正仿宋_GBK"/>
          <w:color w:val="auto"/>
          <w:sz w:val="24"/>
          <w:szCs w:val="24"/>
          <w:highlight w:val="none"/>
        </w:rPr>
        <w:t>说明：评标委员会认为供应商的报价明显低于其他通过符合性审查供应商的报价，有可能影响产品质量或者不能诚信履约的，应当要求其在评标现场合理的时间内</w:t>
      </w:r>
      <w:r>
        <w:rPr>
          <w:rFonts w:hint="eastAsia" w:ascii="方正仿宋_GBK" w:hAnsi="宋体" w:eastAsia="方正仿宋_GBK"/>
          <w:b/>
          <w:bCs/>
          <w:color w:val="auto"/>
          <w:sz w:val="24"/>
          <w:szCs w:val="24"/>
          <w:highlight w:val="none"/>
        </w:rPr>
        <w:t>提供书面说明以及成本测算依据，必要时还需提交相关证明材料；</w:t>
      </w:r>
      <w:r>
        <w:rPr>
          <w:rFonts w:hint="eastAsia" w:ascii="方正仿宋_GBK" w:hAnsi="宋体" w:eastAsia="方正仿宋_GBK"/>
          <w:color w:val="auto"/>
          <w:sz w:val="24"/>
          <w:szCs w:val="24"/>
          <w:highlight w:val="none"/>
        </w:rPr>
        <w:t>供应商不能证明其报价合理性的，评标委员会应当将其作为无效投标处理。</w:t>
      </w:r>
    </w:p>
    <w:p w14:paraId="76E64A0E">
      <w:pPr>
        <w:pStyle w:val="5"/>
        <w:spacing w:line="276" w:lineRule="auto"/>
        <w:ind w:firstLine="482" w:firstLineChars="200"/>
        <w:rPr>
          <w:rFonts w:ascii="方正仿宋_GBK" w:eastAsia="方正仿宋_GBK"/>
          <w:b/>
          <w:color w:val="auto"/>
          <w:sz w:val="24"/>
          <w:szCs w:val="24"/>
          <w:highlight w:val="none"/>
        </w:rPr>
      </w:pPr>
      <w:bookmarkStart w:id="124" w:name="_Toc59621303"/>
      <w:bookmarkStart w:id="125" w:name="_Toc29883"/>
      <w:bookmarkStart w:id="126" w:name="_Toc115877709"/>
      <w:bookmarkStart w:id="127" w:name="_Toc129178885"/>
      <w:bookmarkStart w:id="128" w:name="_Toc4523"/>
      <w:r>
        <w:rPr>
          <w:rFonts w:hint="eastAsia" w:ascii="方正仿宋_GBK" w:eastAsia="方正仿宋_GBK"/>
          <w:b/>
          <w:color w:val="auto"/>
          <w:sz w:val="24"/>
          <w:szCs w:val="24"/>
          <w:highlight w:val="none"/>
        </w:rPr>
        <w:t>五、无效投标条款</w:t>
      </w:r>
      <w:bookmarkEnd w:id="124"/>
      <w:bookmarkEnd w:id="125"/>
      <w:bookmarkEnd w:id="126"/>
      <w:bookmarkEnd w:id="127"/>
      <w:bookmarkEnd w:id="128"/>
    </w:p>
    <w:p w14:paraId="7BB40507">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供应商或其投标文件出现下列情况之一者，应为无效投标：</w:t>
      </w:r>
    </w:p>
    <w:p w14:paraId="4431C6D1">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（一）未按照招标文件的规定提交投标保证金的；</w:t>
      </w:r>
    </w:p>
    <w:p w14:paraId="44A521B5">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（二）投标文件未按招标文件要求签署、盖章的；</w:t>
      </w:r>
    </w:p>
    <w:p w14:paraId="0E0AF82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（三）不具备招标文件中规定的资格要求的；</w:t>
      </w:r>
    </w:p>
    <w:p w14:paraId="55DF542C">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（四）报价超过招标文件中规定的最高限价、单价最高限价（折扣系数）的；</w:t>
      </w:r>
    </w:p>
    <w:p w14:paraId="73AD11E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（五）投标文件含有采购人不能接受的附加条件的；</w:t>
      </w:r>
    </w:p>
    <w:p w14:paraId="519560D4">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（六）供应商串通投标的；</w:t>
      </w:r>
    </w:p>
    <w:p w14:paraId="6AB0739D">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（七）供应商以联合体形式参与投标的；</w:t>
      </w:r>
    </w:p>
    <w:p w14:paraId="0E503CA2">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（八）法律、法规和招标文件规定的其他无效情形。</w:t>
      </w:r>
    </w:p>
    <w:p w14:paraId="3732CA39">
      <w:pPr>
        <w:pStyle w:val="5"/>
        <w:spacing w:line="276" w:lineRule="auto"/>
        <w:ind w:firstLine="482" w:firstLineChars="200"/>
        <w:rPr>
          <w:rFonts w:ascii="方正仿宋_GBK" w:eastAsia="方正仿宋_GBK"/>
          <w:b/>
          <w:color w:val="auto"/>
          <w:sz w:val="24"/>
          <w:szCs w:val="24"/>
          <w:highlight w:val="none"/>
        </w:rPr>
      </w:pPr>
      <w:bookmarkStart w:id="129" w:name="_Toc115877710"/>
      <w:bookmarkStart w:id="130" w:name="_Toc129178886"/>
      <w:bookmarkStart w:id="131" w:name="_Toc8586"/>
      <w:bookmarkStart w:id="132" w:name="_Toc59621304"/>
      <w:bookmarkStart w:id="133" w:name="_Toc31787"/>
      <w:r>
        <w:rPr>
          <w:rFonts w:hint="eastAsia" w:ascii="方正仿宋_GBK" w:eastAsia="方正仿宋_GBK"/>
          <w:b/>
          <w:color w:val="auto"/>
          <w:sz w:val="24"/>
          <w:szCs w:val="24"/>
          <w:highlight w:val="none"/>
        </w:rPr>
        <w:t>六、废标条款</w:t>
      </w:r>
      <w:bookmarkEnd w:id="129"/>
      <w:bookmarkEnd w:id="130"/>
      <w:bookmarkEnd w:id="131"/>
      <w:bookmarkEnd w:id="132"/>
      <w:bookmarkEnd w:id="133"/>
    </w:p>
    <w:p w14:paraId="3284CF77">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在招标采购中，出现下列情形之一的，应予废标：</w:t>
      </w:r>
    </w:p>
    <w:p w14:paraId="2C17CB25">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（一）符合专业条件的供应商或者对招标文件作实质响应的供应商不足三家的；</w:t>
      </w:r>
    </w:p>
    <w:p w14:paraId="27D905C9">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（二）供应商的报价均超过了采购预算（或限价），采购人不能支付的；</w:t>
      </w:r>
    </w:p>
    <w:p w14:paraId="4BBFC477">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（三）出现影响采购公正的违法、违规行为的；</w:t>
      </w:r>
    </w:p>
    <w:p w14:paraId="16E0D7E8">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（四）因重大变故，采购任务取消的。</w:t>
      </w:r>
    </w:p>
    <w:p w14:paraId="4AC7AE7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废标后，除采购任务取消情形外，应当重新组织采购。</w:t>
      </w:r>
    </w:p>
    <w:p w14:paraId="697D7E4C">
      <w:pPr>
        <w:pStyle w:val="4"/>
        <w:spacing w:before="0" w:beforeLines="0" w:after="0" w:afterLines="0" w:line="276" w:lineRule="auto"/>
        <w:rPr>
          <w:rFonts w:ascii="方正仿宋_GBK" w:hAnsi="宋体" w:eastAsia="方正仿宋_GBK"/>
          <w:b/>
          <w:color w:val="auto"/>
          <w:szCs w:val="44"/>
          <w:highlight w:val="none"/>
        </w:rPr>
      </w:pPr>
      <w:r>
        <w:rPr>
          <w:rFonts w:hint="eastAsia" w:ascii="方正仿宋_GBK" w:hAnsi="宋体" w:eastAsia="方正仿宋_GBK"/>
          <w:color w:val="auto"/>
          <w:sz w:val="24"/>
          <w:szCs w:val="24"/>
          <w:highlight w:val="none"/>
        </w:rPr>
        <w:br w:type="page"/>
      </w:r>
      <w:bookmarkStart w:id="134" w:name="_Toc10037"/>
      <w:bookmarkStart w:id="135" w:name="_Toc129178887"/>
      <w:bookmarkStart w:id="136" w:name="_Toc23670"/>
      <w:bookmarkStart w:id="137" w:name="_Toc115877711"/>
      <w:r>
        <w:rPr>
          <w:rFonts w:hint="eastAsia" w:ascii="方正仿宋_GBK" w:hAnsi="宋体" w:eastAsia="方正仿宋_GBK"/>
          <w:b/>
          <w:color w:val="auto"/>
          <w:szCs w:val="44"/>
          <w:highlight w:val="none"/>
        </w:rPr>
        <w:t>第五篇  供应商须知</w:t>
      </w:r>
      <w:bookmarkEnd w:id="134"/>
      <w:bookmarkEnd w:id="135"/>
      <w:bookmarkEnd w:id="136"/>
      <w:bookmarkEnd w:id="137"/>
    </w:p>
    <w:p w14:paraId="0E630CBE">
      <w:pPr>
        <w:pStyle w:val="5"/>
        <w:spacing w:line="276" w:lineRule="auto"/>
        <w:ind w:firstLine="482" w:firstLineChars="200"/>
        <w:rPr>
          <w:rFonts w:ascii="方正仿宋_GBK" w:eastAsia="方正仿宋_GBK"/>
          <w:b/>
          <w:color w:val="auto"/>
          <w:sz w:val="24"/>
          <w:szCs w:val="24"/>
          <w:highlight w:val="none"/>
        </w:rPr>
      </w:pPr>
      <w:bookmarkStart w:id="138" w:name="_Toc115877712"/>
      <w:bookmarkStart w:id="139" w:name="_Toc19675"/>
      <w:bookmarkStart w:id="140" w:name="_Toc20453"/>
      <w:bookmarkStart w:id="141" w:name="_Toc129178888"/>
      <w:r>
        <w:rPr>
          <w:rFonts w:hint="eastAsia" w:ascii="方正仿宋_GBK" w:eastAsia="方正仿宋_GBK"/>
          <w:b/>
          <w:color w:val="auto"/>
          <w:sz w:val="24"/>
          <w:szCs w:val="24"/>
          <w:highlight w:val="none"/>
        </w:rPr>
        <w:t>一、供应商</w:t>
      </w:r>
      <w:bookmarkEnd w:id="138"/>
      <w:bookmarkEnd w:id="139"/>
      <w:bookmarkEnd w:id="140"/>
      <w:bookmarkEnd w:id="141"/>
    </w:p>
    <w:p w14:paraId="08EC946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（一）供应商</w:t>
      </w:r>
    </w:p>
    <w:p w14:paraId="7706739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供应商是指响应招标、参加投标竞争的法人、其他组织或者自然人。</w:t>
      </w:r>
    </w:p>
    <w:p w14:paraId="4D8DFDFD">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（二）合格供应商条件</w:t>
      </w:r>
    </w:p>
    <w:p w14:paraId="5B55B657">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合格供应商应完全符合招标文件第一篇中规定的供应商资格条件，并对招标文件作出实质性响应。</w:t>
      </w:r>
    </w:p>
    <w:p w14:paraId="024102DF">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（三）供应商的风险</w:t>
      </w:r>
    </w:p>
    <w:p w14:paraId="1317E1A2">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供应商没有按照招标文件要求提供全部资料，或者供应商没有对招标文件在各方面作出实质性响应，可能导致投标被拒绝或评定为无效投标。</w:t>
      </w:r>
    </w:p>
    <w:p w14:paraId="1637B54F">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（四）法律责任</w:t>
      </w:r>
    </w:p>
    <w:p w14:paraId="72335DAE">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供应商违反《中华人民共和国政府采购法》、《中华人民共和国政府采购实施条例》等相关规定，将按规定追究供应商法律责任。</w:t>
      </w:r>
    </w:p>
    <w:p w14:paraId="379DCF14">
      <w:pPr>
        <w:pStyle w:val="5"/>
        <w:spacing w:line="276" w:lineRule="auto"/>
        <w:ind w:firstLine="482" w:firstLineChars="200"/>
        <w:rPr>
          <w:rFonts w:ascii="方正仿宋_GBK" w:eastAsia="方正仿宋_GBK"/>
          <w:b/>
          <w:color w:val="auto"/>
          <w:sz w:val="24"/>
          <w:szCs w:val="24"/>
          <w:highlight w:val="none"/>
        </w:rPr>
      </w:pPr>
      <w:bookmarkStart w:id="142" w:name="_Toc23582"/>
      <w:bookmarkStart w:id="143" w:name="_Toc115877713"/>
      <w:bookmarkStart w:id="144" w:name="_Toc10400"/>
      <w:bookmarkStart w:id="145" w:name="_Toc129178889"/>
      <w:r>
        <w:rPr>
          <w:rFonts w:hint="eastAsia" w:ascii="方正仿宋_GBK" w:eastAsia="方正仿宋_GBK"/>
          <w:b/>
          <w:color w:val="auto"/>
          <w:sz w:val="24"/>
          <w:szCs w:val="24"/>
          <w:highlight w:val="none"/>
        </w:rPr>
        <w:t>二、招标文件</w:t>
      </w:r>
      <w:bookmarkEnd w:id="142"/>
      <w:bookmarkEnd w:id="143"/>
      <w:bookmarkEnd w:id="144"/>
      <w:bookmarkEnd w:id="145"/>
    </w:p>
    <w:p w14:paraId="3C1DF746">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招标文件是供应商编制投标文件的依据，是评标委员会评判依据和标准。招标文件也是采购人与中标人签订合同的基础。</w:t>
      </w:r>
    </w:p>
    <w:p w14:paraId="64A41D6E">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（一）招标文件由投标邀请书；项目技术规格、数量及质量要求；商务条款；供应商须知；评标方法、评标标准、无效投标条款和废标条款；合同主要条款、合同范本；投标文件格式等七部分组成。</w:t>
      </w:r>
    </w:p>
    <w:p w14:paraId="0709FF79">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（二）采购代理机构对招标文件所作的一切有效的书面通知、修改及补充，都是招标文件不可分割的部分。</w:t>
      </w:r>
    </w:p>
    <w:p w14:paraId="259A77C3">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本项目的招标文件、澄清文件（如果有）一律在行采家https://www.gec123.com/）和重庆工商大学招投标信息网（https://zbcg.ctbu.edu.cn/）上发布，请各供应商注意下载；无论供应商下载与否，均视同供应商已知晓本项目招标文件、澄清文件的内容。</w:t>
      </w:r>
    </w:p>
    <w:p w14:paraId="31F12D29">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（四）采购代理机构对已发出的招标文件需要进行澄清或修改的，应以书面形式或公告形式通知所有招标文件收受人。该澄清或者修改的内容为招标文件的组成部分。</w:t>
      </w:r>
    </w:p>
    <w:p w14:paraId="0C5E5604">
      <w:pPr>
        <w:pStyle w:val="5"/>
        <w:spacing w:line="276" w:lineRule="auto"/>
        <w:ind w:firstLine="482" w:firstLineChars="200"/>
        <w:rPr>
          <w:rFonts w:ascii="方正仿宋_GBK" w:eastAsia="方正仿宋_GBK"/>
          <w:b/>
          <w:color w:val="auto"/>
          <w:sz w:val="24"/>
          <w:szCs w:val="24"/>
          <w:highlight w:val="none"/>
        </w:rPr>
      </w:pPr>
      <w:bookmarkStart w:id="146" w:name="_Toc7461"/>
      <w:bookmarkStart w:id="147" w:name="_Toc129178890"/>
      <w:bookmarkStart w:id="148" w:name="_Toc22920"/>
      <w:bookmarkStart w:id="149" w:name="_Toc115877714"/>
      <w:r>
        <w:rPr>
          <w:rFonts w:hint="eastAsia" w:ascii="方正仿宋_GBK" w:eastAsia="方正仿宋_GBK"/>
          <w:b/>
          <w:color w:val="auto"/>
          <w:sz w:val="24"/>
          <w:szCs w:val="24"/>
          <w:highlight w:val="none"/>
        </w:rPr>
        <w:t>三、投标文件</w:t>
      </w:r>
      <w:bookmarkEnd w:id="146"/>
      <w:bookmarkEnd w:id="147"/>
      <w:bookmarkEnd w:id="148"/>
      <w:bookmarkEnd w:id="149"/>
    </w:p>
    <w:p w14:paraId="1A167BF2">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供应商应当按照招标文件的要求编制投标文件，并对招标文件提出的要求和条件作出实质性响应，投标文件原则上采用软面订本，同时应编制完整的页码、目录。</w:t>
      </w:r>
    </w:p>
    <w:p w14:paraId="6B9DB7FF">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（一）投标文件组成</w:t>
      </w:r>
    </w:p>
    <w:p w14:paraId="1CA89D9C">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文件由第七篇“投标文件格式”规定的部分和供应商所作的一切有效补充、修改和承诺等文件组成，供应商应按照第七篇“投标文件格式”规定的目录顺序组织编写和装订，否则有可能影响评委对投标文件的评审。</w:t>
      </w:r>
    </w:p>
    <w:p w14:paraId="0BB339C6">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（二）投标有效期</w:t>
      </w:r>
    </w:p>
    <w:p w14:paraId="75BC1B12">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投标有效期为投标截止时间起90天。</w:t>
      </w:r>
    </w:p>
    <w:p w14:paraId="4C677FF1">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（三）投标保证金</w:t>
      </w:r>
    </w:p>
    <w:p w14:paraId="39A42AE0">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1.供应商应在投标截止时间前，按招标文件第一篇规定交纳投标保证金。</w:t>
      </w:r>
    </w:p>
    <w:p w14:paraId="6A0DA38C">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2.投标保证金为投标的有效约束条件。</w:t>
      </w:r>
    </w:p>
    <w:p w14:paraId="28481956">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3.投标保证金的有效期限在投标有效期过后三十天继续有效。</w:t>
      </w:r>
    </w:p>
    <w:p w14:paraId="7100CC29">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4.投标保证金币种应与投标报价币种相同。</w:t>
      </w:r>
    </w:p>
    <w:p w14:paraId="46A52B84">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未中标供应商的投标保证金，在采购结果公告发布后五个工作日内按来款渠道全额无息直接退还；中标人的投标保证金，在中标人缴纳履约保证金且与采购人签订合同后五个工作日内按资金来款渠道全额无息直接退还。。</w:t>
      </w:r>
    </w:p>
    <w:p w14:paraId="49835313">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6.供应商有下列情形之一的，采购人或者采购代理机构可以不退还投标保证金：</w:t>
      </w:r>
    </w:p>
    <w:p w14:paraId="4E16DDDD">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6.1供应商在投标有效期撤回投标文件的；</w:t>
      </w:r>
    </w:p>
    <w:p w14:paraId="5E4A3895">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6.2供应商未按规定提交履约保证金的；</w:t>
      </w:r>
    </w:p>
    <w:p w14:paraId="6069890A">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6.3供应商在投标过程中弄虚作假，提供虚假材料的；</w:t>
      </w:r>
    </w:p>
    <w:p w14:paraId="4BBB2776">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6.4中标人无正当理由不与采购人签订合同的；</w:t>
      </w:r>
    </w:p>
    <w:p w14:paraId="65E5CA1C">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6.5中标人将中标项目转让给他人或者在投标文件中未说明且未经采购人同意，将中标项目分包给他人的；</w:t>
      </w:r>
    </w:p>
    <w:p w14:paraId="3B8771C2">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6.6中标人拒绝履行合同义务的；</w:t>
      </w:r>
    </w:p>
    <w:p w14:paraId="5623F44B">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6.7其他严重扰乱招投标程序的。</w:t>
      </w:r>
    </w:p>
    <w:p w14:paraId="3C5FD2C3">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（四）投标文件的份数和签署</w:t>
      </w:r>
    </w:p>
    <w:p w14:paraId="432563CC">
      <w:pPr>
        <w:pStyle w:val="11"/>
        <w:spacing w:line="276" w:lineRule="auto"/>
        <w:ind w:firstLine="482" w:firstLineChars="200"/>
        <w:rPr>
          <w:rFonts w:ascii="方正仿宋_GBK" w:hAnsi="宋体" w:eastAsia="方正仿宋_GBK"/>
          <w:color w:val="auto"/>
          <w:sz w:val="24"/>
          <w:szCs w:val="24"/>
          <w:highlight w:val="none"/>
        </w:rPr>
      </w:pPr>
      <w:r>
        <w:rPr>
          <w:rFonts w:hint="eastAsia" w:ascii="方正仿宋_GBK" w:hAnsi="宋体" w:eastAsia="方正仿宋_GBK"/>
          <w:b/>
          <w:bCs/>
          <w:color w:val="auto"/>
          <w:sz w:val="24"/>
          <w:szCs w:val="24"/>
          <w:highlight w:val="none"/>
        </w:rPr>
        <w:t>1.投标文件一式四份，其中正本一份，副本二份，电子文档一份（电子文档内容须为投标文件纸质正本的PDF扫描件，文件载体须为优盘）。</w:t>
      </w:r>
      <w:r>
        <w:rPr>
          <w:rFonts w:hint="eastAsia" w:ascii="方正仿宋_GBK" w:hAnsi="宋体" w:eastAsia="方正仿宋_GBK"/>
          <w:color w:val="auto"/>
          <w:sz w:val="24"/>
          <w:szCs w:val="24"/>
          <w:highlight w:val="none"/>
        </w:rPr>
        <w:t>每套纸质投标文件须在封面清楚地标明“正本”、“副本”或“电子文档”，副本应为正本的完整复印件，副本与正本不一致时以正本为准。投标文件电子文档与纸质投标文件正本不一致时，以纸质投标文件正本为准。</w:t>
      </w:r>
    </w:p>
    <w:p w14:paraId="0C72649A">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2.在投标文件正本中，招标文件第七篇投标文件格式中规定签字、盖章的地方必须按其规定签字、盖章。</w:t>
      </w:r>
    </w:p>
    <w:p w14:paraId="1B8A131B">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3.若供应商对投标文件的错处作必要修改，则应在修改处加盖供应商公章或由法定代表人（或其授权代表）签字确认。</w:t>
      </w:r>
    </w:p>
    <w:p w14:paraId="1B0BBE44">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4.电报、电话、传真形式的投标文件概不接受。</w:t>
      </w:r>
    </w:p>
    <w:p w14:paraId="2C8EE6CF">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（五）投标报价</w:t>
      </w:r>
    </w:p>
    <w:p w14:paraId="01395E35">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1.供应商应严格按照“投标文件格式”中“开标一览表”和“分项报价明细表”的格式填写报价。</w:t>
      </w:r>
    </w:p>
    <w:p w14:paraId="10DFC3EA">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2.供应商的报价为一次性报价，即在投标有效期内投标价格固定不变。</w:t>
      </w:r>
    </w:p>
    <w:p w14:paraId="736BA55F">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3.本项目只接受一个投标报价，有选择的或有条件的报价将不予接受。</w:t>
      </w:r>
    </w:p>
    <w:p w14:paraId="03B43027">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（六）修正错误</w:t>
      </w:r>
    </w:p>
    <w:p w14:paraId="32A802FD">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若投标文件出现计算或表达上的错误，修正错误的原则如下：</w:t>
      </w:r>
    </w:p>
    <w:p w14:paraId="72876DF0">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1.投标文件中开标一览表（报价表）内容与投标文件中相应内容不一致的，以开标一览表（报价表）为准；</w:t>
      </w:r>
    </w:p>
    <w:p w14:paraId="50917BB5">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2.大写金额和小写金额不一致的，以大写金额为准；</w:t>
      </w:r>
    </w:p>
    <w:p w14:paraId="7843C1C4">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3.单价金额小数点或者百分比有明显错位的，以开标一览表的总价为准，并修改单价；</w:t>
      </w:r>
    </w:p>
    <w:p w14:paraId="5A6D7570">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4.总价金额与按单价汇总金额不一致的，以单价金额计算结果为准。</w:t>
      </w:r>
    </w:p>
    <w:p w14:paraId="343F1FA2">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评标委员会按上述修正错误的原则及方法调整或修正供应商投标报价，若同时出现两种以上不一致的，按照前款规定的顺序修正，供应商同意并签字确认后，调整后的投标报价对供应商具有约束作用。如果供应商不接受修正后的报价，则其投标将作为无效投标处理。</w:t>
      </w:r>
    </w:p>
    <w:p w14:paraId="74AD4A70">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（七）投标文件的递交</w:t>
      </w:r>
    </w:p>
    <w:p w14:paraId="370D9A8E">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投标文件的正本、副本以及电子文档均应密封送达投标地点，应在封套上注明项目名称、供应商名称。若正本、副本以及电子文档分别进行密封的，还应在封套上注明“正本”、“副本”、“电子文档”字样。</w:t>
      </w:r>
    </w:p>
    <w:p w14:paraId="1FEF1AC5">
      <w:pPr>
        <w:pStyle w:val="5"/>
        <w:spacing w:line="276" w:lineRule="auto"/>
        <w:ind w:firstLine="482" w:firstLineChars="200"/>
        <w:rPr>
          <w:rFonts w:ascii="方正仿宋_GBK" w:eastAsia="方正仿宋_GBK"/>
          <w:b/>
          <w:color w:val="auto"/>
          <w:sz w:val="24"/>
          <w:szCs w:val="24"/>
          <w:highlight w:val="none"/>
        </w:rPr>
      </w:pPr>
      <w:bookmarkStart w:id="150" w:name="_Toc129178891"/>
      <w:bookmarkStart w:id="151" w:name="_Toc7223"/>
      <w:bookmarkStart w:id="152" w:name="_Toc15369"/>
      <w:bookmarkStart w:id="153" w:name="_Toc115877715"/>
      <w:r>
        <w:rPr>
          <w:rFonts w:hint="eastAsia" w:ascii="方正仿宋_GBK" w:eastAsia="方正仿宋_GBK"/>
          <w:b/>
          <w:color w:val="auto"/>
          <w:sz w:val="24"/>
          <w:szCs w:val="24"/>
          <w:highlight w:val="none"/>
        </w:rPr>
        <w:t>四、开标</w:t>
      </w:r>
      <w:bookmarkEnd w:id="150"/>
      <w:bookmarkEnd w:id="151"/>
      <w:bookmarkEnd w:id="152"/>
      <w:bookmarkEnd w:id="153"/>
    </w:p>
    <w:p w14:paraId="32E2C199">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（一）开标应当在招标文件中“投标邀请书”确定的时间和地点公开进行。</w:t>
      </w:r>
    </w:p>
    <w:p w14:paraId="4029CFBE">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（二）采购代理机构可视采购具体情况，延长投标截止时间和开标时间，并将变更时间书面通知所有招标文件收受人。</w:t>
      </w:r>
    </w:p>
    <w:p w14:paraId="1F13789A">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（三）开标由采购人或采购代理机构主持，邀请供应商和有关监督部门代表参加,有关监督部门可视情况派员现场监督。</w:t>
      </w:r>
    </w:p>
    <w:p w14:paraId="490677D9">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开标时，由供应商或者其推选的代表检查投标文件的密封情况；经确认无误后，由采购人或者采购代理机构工作人员当众拆封，宣布供应商名称、投标价格和《开标一览表》规定的需要宣布的其他内容。供应商不足三家的，不得开标。</w:t>
      </w:r>
    </w:p>
    <w:p w14:paraId="183099C0">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（五）未宣读的投标价格、价格折扣和招标文件允许提供的备选投标方案等实质性内容等，评标时不予承认。</w:t>
      </w:r>
    </w:p>
    <w:p w14:paraId="1B870D08">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（六）开标过程应由采购人或采购代理机构或重庆市公共资源交易中心指定专人负责记录，并存档备查。</w:t>
      </w:r>
    </w:p>
    <w:p w14:paraId="270B9AD0">
      <w:pPr>
        <w:pStyle w:val="11"/>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（七）供应商未参加开标的，视同认可开标结果。</w:t>
      </w:r>
    </w:p>
    <w:p w14:paraId="033EEC2B">
      <w:pPr>
        <w:pStyle w:val="5"/>
        <w:spacing w:line="276" w:lineRule="auto"/>
        <w:ind w:firstLine="482" w:firstLineChars="200"/>
        <w:rPr>
          <w:rFonts w:ascii="方正仿宋_GBK" w:eastAsia="方正仿宋_GBK"/>
          <w:b/>
          <w:color w:val="auto"/>
          <w:sz w:val="24"/>
          <w:szCs w:val="24"/>
          <w:highlight w:val="none"/>
        </w:rPr>
      </w:pPr>
      <w:bookmarkStart w:id="154" w:name="_Toc129178892"/>
      <w:bookmarkStart w:id="155" w:name="_Toc28211"/>
      <w:bookmarkStart w:id="156" w:name="_Toc115877716"/>
      <w:bookmarkStart w:id="157" w:name="_Toc32724"/>
      <w:r>
        <w:rPr>
          <w:rFonts w:hint="eastAsia" w:ascii="方正仿宋_GBK" w:eastAsia="方正仿宋_GBK"/>
          <w:b/>
          <w:color w:val="auto"/>
          <w:sz w:val="24"/>
          <w:szCs w:val="24"/>
          <w:highlight w:val="none"/>
        </w:rPr>
        <w:t>五、评标</w:t>
      </w:r>
      <w:bookmarkEnd w:id="154"/>
      <w:bookmarkEnd w:id="155"/>
      <w:bookmarkEnd w:id="156"/>
      <w:bookmarkEnd w:id="157"/>
    </w:p>
    <w:p w14:paraId="1FF6CF7E">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见第四篇“评标”内容。</w:t>
      </w:r>
    </w:p>
    <w:p w14:paraId="5A82CC26">
      <w:pPr>
        <w:pStyle w:val="5"/>
        <w:spacing w:line="276" w:lineRule="auto"/>
        <w:ind w:firstLine="482" w:firstLineChars="200"/>
        <w:rPr>
          <w:rFonts w:ascii="方正仿宋_GBK" w:eastAsia="方正仿宋_GBK"/>
          <w:b/>
          <w:color w:val="auto"/>
          <w:sz w:val="24"/>
          <w:szCs w:val="24"/>
          <w:highlight w:val="none"/>
        </w:rPr>
      </w:pPr>
      <w:bookmarkStart w:id="158" w:name="_Toc115877717"/>
      <w:bookmarkStart w:id="159" w:name="_Toc31916"/>
      <w:bookmarkStart w:id="160" w:name="_Toc129178893"/>
      <w:bookmarkStart w:id="161" w:name="_Toc24228"/>
      <w:r>
        <w:rPr>
          <w:rFonts w:hint="eastAsia" w:ascii="方正仿宋_GBK" w:eastAsia="方正仿宋_GBK"/>
          <w:b/>
          <w:color w:val="auto"/>
          <w:sz w:val="24"/>
          <w:szCs w:val="24"/>
          <w:highlight w:val="none"/>
        </w:rPr>
        <w:t>六、定标</w:t>
      </w:r>
      <w:bookmarkEnd w:id="158"/>
      <w:bookmarkEnd w:id="159"/>
      <w:bookmarkEnd w:id="160"/>
      <w:bookmarkEnd w:id="161"/>
    </w:p>
    <w:p w14:paraId="66DEA133">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（一）定标原则</w:t>
      </w:r>
    </w:p>
    <w:p w14:paraId="05DB01BD">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采购人或其授权的评标委员会应按照评标报告中推荐的中标候选人排名顺序确定中标人。</w:t>
      </w:r>
    </w:p>
    <w:p w14:paraId="3DDE6BD4">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（二）定标程序</w:t>
      </w:r>
    </w:p>
    <w:p w14:paraId="18DB7863">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1.采购代理机构应当在评标结束后2个工作日内将评标报告送采购人。</w:t>
      </w:r>
    </w:p>
    <w:p w14:paraId="36A635AC">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2.采购人应当自收到评标报告之日起5个工作日内按评标报告推荐的中标候选人顺序确定中标人。</w:t>
      </w:r>
    </w:p>
    <w:p w14:paraId="2165DACF">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中标候选人并列的，由采购人或者采购人委托评标委员会按照技术需求的优劣顺序排列；技术需求优劣顺序相同的，按商务条款的优劣顺序排列确定中标人。</w:t>
      </w:r>
    </w:p>
    <w:p w14:paraId="5B87EA13">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3.采购人或者采购代理机构应当自中标人确定之日起2个工作日内，行采家（https://www.gec123.com/）和重庆工商大学招投标信息网（https://zbcg.ctbu.edu.cn/）公告中标结果。中标公告期限为1个工作日。</w:t>
      </w:r>
    </w:p>
    <w:p w14:paraId="082BC18F">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4.中标人变更</w:t>
      </w:r>
    </w:p>
    <w:p w14:paraId="11AD3895">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中标人拒绝与采购人签订合同的，采购人可以按照评标报告推荐的中标候选人顺序，确定排名下一位的候选人为中标人，也可以重新开展政府采购活动。</w:t>
      </w:r>
    </w:p>
    <w:p w14:paraId="3D60775B">
      <w:pPr>
        <w:pStyle w:val="5"/>
        <w:spacing w:line="276" w:lineRule="auto"/>
        <w:ind w:firstLine="482" w:firstLineChars="200"/>
        <w:rPr>
          <w:rFonts w:ascii="方正仿宋_GBK" w:eastAsia="方正仿宋_GBK"/>
          <w:b/>
          <w:color w:val="auto"/>
          <w:sz w:val="24"/>
          <w:szCs w:val="24"/>
          <w:highlight w:val="none"/>
        </w:rPr>
      </w:pPr>
      <w:bookmarkStart w:id="162" w:name="_Toc115877718"/>
      <w:bookmarkStart w:id="163" w:name="_Toc129178894"/>
      <w:bookmarkStart w:id="164" w:name="_Toc7736"/>
      <w:bookmarkStart w:id="165" w:name="_Toc20232"/>
      <w:r>
        <w:rPr>
          <w:rFonts w:hint="eastAsia" w:ascii="方正仿宋_GBK" w:eastAsia="方正仿宋_GBK"/>
          <w:b/>
          <w:color w:val="auto"/>
          <w:sz w:val="24"/>
          <w:szCs w:val="24"/>
          <w:highlight w:val="none"/>
        </w:rPr>
        <w:t>七、中标</w:t>
      </w:r>
      <w:bookmarkEnd w:id="162"/>
      <w:bookmarkEnd w:id="163"/>
      <w:bookmarkEnd w:id="164"/>
      <w:bookmarkEnd w:id="165"/>
    </w:p>
    <w:p w14:paraId="38CFC5FC">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（一）采购人依法确定中标人后，采购代理机构将在“行采家”和“重庆工商大学招投标信息网”发布中标结果公告。</w:t>
      </w:r>
    </w:p>
    <w:p w14:paraId="15EB2BE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（二）中标结果公告发出后，采购人改变中标结果，或者中标人放弃中标，应当承担相应的法律责任。</w:t>
      </w:r>
    </w:p>
    <w:p w14:paraId="7A0081E7">
      <w:pPr>
        <w:pStyle w:val="5"/>
        <w:spacing w:line="276" w:lineRule="auto"/>
        <w:ind w:firstLine="482" w:firstLineChars="200"/>
        <w:rPr>
          <w:rFonts w:ascii="方正仿宋_GBK" w:eastAsia="方正仿宋_GBK"/>
          <w:b/>
          <w:color w:val="auto"/>
          <w:sz w:val="24"/>
          <w:szCs w:val="24"/>
          <w:highlight w:val="none"/>
        </w:rPr>
      </w:pPr>
      <w:bookmarkStart w:id="166" w:name="_Toc32125"/>
      <w:r>
        <w:rPr>
          <w:rFonts w:hint="eastAsia" w:ascii="方正仿宋_GBK" w:eastAsia="方正仿宋_GBK"/>
          <w:b/>
          <w:color w:val="auto"/>
          <w:sz w:val="24"/>
          <w:szCs w:val="24"/>
          <w:highlight w:val="none"/>
        </w:rPr>
        <w:t>八、询问、质疑和投诉</w:t>
      </w:r>
      <w:bookmarkEnd w:id="166"/>
    </w:p>
    <w:p w14:paraId="00846937">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（一）询问</w:t>
      </w:r>
    </w:p>
    <w:p w14:paraId="72C524D7">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采购人或者采购代理机构应当在3个工作日内对供应商依法提出的询问作出答复。供应商询问可以是口头或书面形式。</w:t>
      </w:r>
    </w:p>
    <w:p w14:paraId="10233F59">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（二）质疑</w:t>
      </w:r>
    </w:p>
    <w:p w14:paraId="33420649">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供应商认为采购文件、采购过程和中标结果使自己的权益受到伤害的，可向采购人或采购代理机构以书面形式提出质疑。</w:t>
      </w:r>
    </w:p>
    <w:p w14:paraId="06F7E6E7">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提出质疑的应当是参与所质疑项目采购活动的供应商。</w:t>
      </w:r>
    </w:p>
    <w:p w14:paraId="6F61F139">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1.质疑时限、内容</w:t>
      </w:r>
    </w:p>
    <w:p w14:paraId="1B701896">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1.1供应商对招标文件提出质疑的，应在依法获取招标文件之日或者招标文件公告期限届满之日起七个工作日内提出。</w:t>
      </w:r>
    </w:p>
    <w:p w14:paraId="366BF627">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1.2 供应商对采购过程提出质疑的，应在各采购程序环节结束之日起七个工作日内提出。</w:t>
      </w:r>
    </w:p>
    <w:p w14:paraId="66CF10D4">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1.3供应商对中标结果提出质疑的，应当在中标结果公告期限届满之日起七个工作日内提出。</w:t>
      </w:r>
    </w:p>
    <w:p w14:paraId="30C58CFA">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1.4供应商提出质疑应当提交质疑函和必要的证明材料，质疑函应当包括下列内容：</w:t>
      </w:r>
    </w:p>
    <w:p w14:paraId="25BE253E">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1.4.1供应商的姓名或者名称、地址、邮编、联系人及联系电话；</w:t>
      </w:r>
    </w:p>
    <w:p w14:paraId="0AA78DE0">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1.4.2质疑项目的名称、项目编号以及采购执行编号；</w:t>
      </w:r>
    </w:p>
    <w:p w14:paraId="58FA6F63">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1.4.3具体、明确的质疑事项和与质疑事项相关的请求；</w:t>
      </w:r>
    </w:p>
    <w:p w14:paraId="1A901ED4">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1.4.4事实依据；</w:t>
      </w:r>
    </w:p>
    <w:p w14:paraId="25FB7A24">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1.4.5必要的法律依据；</w:t>
      </w:r>
    </w:p>
    <w:p w14:paraId="3B8989BA">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1.4.6提出质疑的日期；</w:t>
      </w:r>
    </w:p>
    <w:p w14:paraId="26756576">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1.4.7营业执照（或事业单位法人证书，或个体工商户营业执照或有效的自然人身份证明）复印件；</w:t>
      </w:r>
    </w:p>
    <w:p w14:paraId="00C21EE3">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1.4.8法定代表人授权委托书原件、法定代表人身份证复印件和其授权代表的身份证复印件（供应商为自然人的提供自然人身份证复印件）；</w:t>
      </w:r>
    </w:p>
    <w:p w14:paraId="322794BA">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1.5供应商为自然人的，质疑函应当由本人签字；供应商为法人或者其他组织的，质疑函应当由法定代表人、主要负责人，或者其授权代表签字或者盖章，并加盖公章。</w:t>
      </w:r>
    </w:p>
    <w:p w14:paraId="33816822">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2.质疑答复</w:t>
      </w:r>
    </w:p>
    <w:p w14:paraId="0684A70D">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采购人、采购代理机构应当在收到供应商的书面质疑后七个工作日内作出答复，并以书面形式通知质疑供应商和其他有关供应商。</w:t>
      </w:r>
    </w:p>
    <w:p w14:paraId="2A094C84">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3.其他</w:t>
      </w:r>
    </w:p>
    <w:p w14:paraId="41C93B48">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3.1供应商应按照《政府采购质疑和投诉办法》（财政部令第94号）及相关法律法规要求，在法定质疑期内一次性提出针对同一采购程序环节的质疑。</w:t>
      </w:r>
    </w:p>
    <w:p w14:paraId="5FF41AC0">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3.2质疑函范本可在财政部门户网站和中国政府采购网下载。</w:t>
      </w:r>
    </w:p>
    <w:p w14:paraId="32B314F6">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4.质疑联系方式详见第一篇“联系方式”。</w:t>
      </w:r>
    </w:p>
    <w:p w14:paraId="1B37F9B6">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（三）投诉</w:t>
      </w:r>
    </w:p>
    <w:p w14:paraId="4D737483">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1.供应商对采购人、采购代理机构的答复不满意，或者采购人、采购代理机构未在规定时间内作出答复的，可以在答复期满后15个工作日内按照采购人相关内控制度规定向采购人党政办公室提起投诉。</w:t>
      </w:r>
    </w:p>
    <w:p w14:paraId="6149A4AC">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2.供应商应按照《政府采购质疑和投诉办法》（财政部令第94号）及相关法律法规要求递交投诉书和必要的证明材料。投诉书范本可在财政部门户网站和中国政府采购网下载。</w:t>
      </w:r>
    </w:p>
    <w:p w14:paraId="613F4794">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3.投诉书应当使用中文，相关当事人提供外文书证或者外国语视听资料的，应当附有中文译本，由翻译机构盖章或者翻译人员签名；相关当事人向党政办公室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53A9E496">
      <w:pPr>
        <w:snapToGrid w:val="0"/>
        <w:spacing w:line="276" w:lineRule="auto"/>
        <w:ind w:firstLine="480" w:firstLineChars="200"/>
        <w:rPr>
          <w:rFonts w:ascii="方正仿宋_GBK" w:hAnsi="宋体" w:eastAsia="方正仿宋_GBK" w:cs="仿宋"/>
          <w:color w:val="auto"/>
          <w:sz w:val="24"/>
          <w:szCs w:val="24"/>
          <w:highlight w:val="none"/>
        </w:rPr>
      </w:pPr>
      <w:r>
        <w:rPr>
          <w:rFonts w:hint="eastAsia" w:ascii="方正仿宋_GBK" w:hAnsi="宋体" w:eastAsia="方正仿宋_GBK" w:cs="仿宋"/>
          <w:color w:val="auto"/>
          <w:sz w:val="24"/>
          <w:szCs w:val="24"/>
          <w:highlight w:val="none"/>
        </w:rPr>
        <w:t>4.在确定受理投诉后，党政办公室自受理投诉之日起30个工作日内（需要检验、检测、鉴定、专家评审以及需要投诉人补正材料的，所需时间不计算在投诉处理期限内）对投诉事项做出处理决定。</w:t>
      </w:r>
    </w:p>
    <w:p w14:paraId="37B336F1">
      <w:pPr>
        <w:pStyle w:val="5"/>
        <w:spacing w:line="276" w:lineRule="auto"/>
        <w:ind w:firstLine="482" w:firstLineChars="200"/>
        <w:rPr>
          <w:rFonts w:ascii="方正仿宋_GBK" w:eastAsia="方正仿宋_GBK"/>
          <w:b/>
          <w:color w:val="auto"/>
          <w:sz w:val="24"/>
          <w:szCs w:val="24"/>
          <w:highlight w:val="none"/>
        </w:rPr>
      </w:pPr>
      <w:bookmarkStart w:id="167" w:name="_Toc129178895"/>
      <w:bookmarkStart w:id="168" w:name="_Toc31669"/>
      <w:bookmarkStart w:id="169" w:name="_Toc115877719"/>
      <w:bookmarkStart w:id="170" w:name="_Toc16628"/>
      <w:r>
        <w:rPr>
          <w:rFonts w:hint="eastAsia" w:ascii="方正仿宋_GBK" w:eastAsia="方正仿宋_GBK"/>
          <w:b/>
          <w:color w:val="auto"/>
          <w:sz w:val="24"/>
          <w:szCs w:val="24"/>
          <w:highlight w:val="none"/>
        </w:rPr>
        <w:t>九、交易服务费</w:t>
      </w:r>
      <w:bookmarkEnd w:id="167"/>
      <w:bookmarkEnd w:id="168"/>
      <w:bookmarkEnd w:id="169"/>
      <w:bookmarkEnd w:id="170"/>
    </w:p>
    <w:p w14:paraId="1653A14B">
      <w:pPr>
        <w:snapToGrid w:val="0"/>
        <w:spacing w:line="276" w:lineRule="auto"/>
        <w:ind w:firstLine="480" w:firstLineChars="200"/>
        <w:rPr>
          <w:rFonts w:hint="eastAsia" w:ascii="方正仿宋_GBK" w:hAnsi="宋体" w:eastAsia="方正仿宋_GBK" w:cs="仿宋"/>
          <w:color w:val="auto"/>
          <w:sz w:val="24"/>
          <w:szCs w:val="24"/>
          <w:highlight w:val="none"/>
          <w:lang w:eastAsia="zh-CN"/>
        </w:rPr>
      </w:pPr>
      <w:r>
        <w:rPr>
          <w:rFonts w:hint="eastAsia" w:ascii="方正仿宋_GBK" w:hAnsi="方正仿宋_GBK" w:eastAsia="方正仿宋_GBK" w:cs="方正仿宋_GBK"/>
          <w:color w:val="auto"/>
          <w:sz w:val="24"/>
          <w:highlight w:val="none"/>
          <w:lang w:val="en-US" w:eastAsia="zh-CN"/>
        </w:rPr>
        <w:t>无</w:t>
      </w:r>
      <w:bookmarkStart w:id="240" w:name="_GoBack"/>
      <w:bookmarkEnd w:id="240"/>
    </w:p>
    <w:p w14:paraId="215F84CD">
      <w:pPr>
        <w:pStyle w:val="5"/>
        <w:spacing w:line="276" w:lineRule="auto"/>
        <w:ind w:firstLine="482" w:firstLineChars="200"/>
        <w:rPr>
          <w:rFonts w:ascii="方正仿宋_GBK" w:eastAsia="方正仿宋_GBK"/>
          <w:b/>
          <w:color w:val="auto"/>
          <w:sz w:val="24"/>
          <w:szCs w:val="24"/>
          <w:highlight w:val="none"/>
        </w:rPr>
      </w:pPr>
      <w:bookmarkStart w:id="171" w:name="_Toc129178896"/>
      <w:bookmarkStart w:id="172" w:name="_Toc25022"/>
      <w:bookmarkStart w:id="173" w:name="_Toc3008"/>
      <w:bookmarkStart w:id="174" w:name="_Toc115877720"/>
      <w:r>
        <w:rPr>
          <w:rFonts w:hint="eastAsia" w:ascii="方正仿宋_GBK" w:eastAsia="方正仿宋_GBK"/>
          <w:b/>
          <w:color w:val="auto"/>
          <w:sz w:val="24"/>
          <w:szCs w:val="24"/>
          <w:highlight w:val="none"/>
        </w:rPr>
        <w:t>十、签订合同</w:t>
      </w:r>
      <w:bookmarkEnd w:id="171"/>
      <w:bookmarkEnd w:id="172"/>
      <w:bookmarkEnd w:id="173"/>
      <w:bookmarkEnd w:id="174"/>
    </w:p>
    <w:p w14:paraId="68767C0B">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采购人应当自采购结果公告发出之日起三十日内，按照招标文件和中标人投标文件的约定，与中标人签订书面合同。所签订的合同不得对招标文件和中标人投标文件作实质性修改。其他未尽事宜由采购人和中标人在采购合同中详细约定。</w:t>
      </w:r>
    </w:p>
    <w:p w14:paraId="2481AE74">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（二）采购人应当自政府采购合同签订之日起2个工作日内，将政府采购合同在重庆市政府采购网上公告，但政府采购合同中涉及国家秘密、商业秘密的内容除外。</w:t>
      </w:r>
    </w:p>
    <w:p w14:paraId="1E0E66AB">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（三）招标文件、中标人的投标文件及澄清文件等，均为签订政府采购合同的依据。</w:t>
      </w:r>
    </w:p>
    <w:p w14:paraId="29856F63">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（四）合同生效条款由供需双方约定，法律、行政法规规定应当办理批准、登记等手续后生效的合同，依照其规定。</w:t>
      </w:r>
    </w:p>
    <w:p w14:paraId="7F0EE474">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（五）合同原则上应按照《重庆市政府采购合同》签订，相关单位要求适用合同通用格式版本的，应按其要求另行签订其他合同。</w:t>
      </w:r>
    </w:p>
    <w:p w14:paraId="795F3EE2">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（六）采购人要求中标人提供履约保证金的，应当在招标文件中予以约定。中标人履约完毕后，采购人应按招标文件及合同的约定无息退还其履约保证金。</w:t>
      </w:r>
    </w:p>
    <w:p w14:paraId="55FC50F9">
      <w:pPr>
        <w:pStyle w:val="5"/>
        <w:spacing w:line="276" w:lineRule="auto"/>
        <w:ind w:firstLine="482" w:firstLineChars="200"/>
        <w:rPr>
          <w:rFonts w:ascii="方正仿宋_GBK" w:eastAsia="方正仿宋_GBK"/>
          <w:b/>
          <w:color w:val="auto"/>
          <w:sz w:val="24"/>
          <w:szCs w:val="24"/>
          <w:highlight w:val="none"/>
        </w:rPr>
      </w:pPr>
      <w:bookmarkStart w:id="175" w:name="_Toc129178897"/>
      <w:bookmarkStart w:id="176" w:name="_Toc31381"/>
      <w:bookmarkStart w:id="177" w:name="_Toc115877721"/>
      <w:bookmarkStart w:id="178" w:name="_Toc9910"/>
      <w:r>
        <w:rPr>
          <w:rFonts w:hint="eastAsia" w:ascii="方正仿宋_GBK" w:eastAsia="方正仿宋_GBK"/>
          <w:b/>
          <w:color w:val="auto"/>
          <w:sz w:val="24"/>
          <w:szCs w:val="24"/>
          <w:highlight w:val="none"/>
        </w:rPr>
        <w:t>十一、政府采购信用融资</w:t>
      </w:r>
      <w:bookmarkEnd w:id="175"/>
      <w:bookmarkEnd w:id="176"/>
      <w:bookmarkEnd w:id="177"/>
      <w:bookmarkEnd w:id="178"/>
    </w:p>
    <w:p w14:paraId="4BBB3773">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无。</w:t>
      </w:r>
    </w:p>
    <w:p w14:paraId="684B0C32">
      <w:pPr>
        <w:pStyle w:val="5"/>
        <w:spacing w:line="276" w:lineRule="auto"/>
        <w:ind w:firstLine="482" w:firstLineChars="200"/>
        <w:rPr>
          <w:rFonts w:ascii="方正仿宋_GBK" w:eastAsia="方正仿宋_GBK"/>
          <w:b/>
          <w:color w:val="auto"/>
          <w:sz w:val="24"/>
          <w:szCs w:val="24"/>
          <w:highlight w:val="none"/>
        </w:rPr>
      </w:pPr>
      <w:bookmarkStart w:id="179" w:name="_Toc129178898"/>
      <w:bookmarkStart w:id="180" w:name="_Toc9666"/>
      <w:bookmarkStart w:id="181" w:name="_Toc534202998"/>
      <w:bookmarkStart w:id="182" w:name="_Toc115877722"/>
      <w:bookmarkStart w:id="183" w:name="_Toc29430"/>
      <w:bookmarkStart w:id="184" w:name="_Toc15334"/>
      <w:r>
        <w:rPr>
          <w:rFonts w:hint="eastAsia" w:ascii="方正仿宋_GBK" w:eastAsia="方正仿宋_GBK"/>
          <w:b/>
          <w:color w:val="auto"/>
          <w:sz w:val="24"/>
          <w:szCs w:val="24"/>
          <w:highlight w:val="none"/>
        </w:rPr>
        <w:t>十二、其他</w:t>
      </w:r>
      <w:bookmarkEnd w:id="179"/>
      <w:bookmarkEnd w:id="180"/>
      <w:bookmarkEnd w:id="181"/>
      <w:bookmarkEnd w:id="182"/>
      <w:bookmarkEnd w:id="183"/>
      <w:bookmarkEnd w:id="184"/>
    </w:p>
    <w:p w14:paraId="221FB6B4">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本招标文件未尽事宜及解释权属于重庆工商大学。</w:t>
      </w:r>
    </w:p>
    <w:p w14:paraId="35B0D761">
      <w:pPr>
        <w:spacing w:line="276" w:lineRule="auto"/>
        <w:ind w:firstLine="480" w:firstLineChars="200"/>
        <w:rPr>
          <w:rFonts w:ascii="方正仿宋_GBK" w:hAnsi="宋体" w:eastAsia="方正仿宋_GBK"/>
          <w:color w:val="auto"/>
          <w:sz w:val="24"/>
          <w:szCs w:val="24"/>
          <w:highlight w:val="none"/>
        </w:rPr>
      </w:pPr>
    </w:p>
    <w:p w14:paraId="2BB55DCA">
      <w:pPr>
        <w:spacing w:line="276" w:lineRule="auto"/>
        <w:ind w:firstLine="480" w:firstLineChars="200"/>
        <w:rPr>
          <w:rFonts w:ascii="方正仿宋_GBK" w:hAnsi="宋体" w:eastAsia="方正仿宋_GBK"/>
          <w:color w:val="auto"/>
          <w:sz w:val="24"/>
          <w:szCs w:val="24"/>
          <w:highlight w:val="none"/>
        </w:rPr>
        <w:sectPr>
          <w:pgSz w:w="11907" w:h="16840"/>
          <w:pgMar w:top="1134" w:right="1191" w:bottom="1134" w:left="1304" w:header="964" w:footer="992" w:gutter="0"/>
          <w:pgNumType w:fmt="numberInDash"/>
          <w:cols w:space="720" w:num="1"/>
          <w:docGrid w:linePitch="312" w:charSpace="0"/>
        </w:sectPr>
      </w:pPr>
    </w:p>
    <w:p w14:paraId="24FACEEC">
      <w:pPr>
        <w:pStyle w:val="4"/>
        <w:spacing w:before="0" w:beforeLines="0" w:after="0" w:afterLines="0" w:line="276" w:lineRule="auto"/>
        <w:rPr>
          <w:rFonts w:ascii="方正仿宋_GBK" w:hAnsi="宋体" w:eastAsia="方正仿宋_GBK"/>
          <w:b/>
          <w:color w:val="auto"/>
          <w:szCs w:val="44"/>
          <w:highlight w:val="none"/>
        </w:rPr>
      </w:pPr>
      <w:bookmarkStart w:id="185" w:name="_Toc115877723"/>
      <w:bookmarkStart w:id="186" w:name="_Toc20068"/>
      <w:bookmarkStart w:id="187" w:name="_Toc18751"/>
      <w:bookmarkStart w:id="188" w:name="_Toc72311783"/>
      <w:bookmarkStart w:id="189" w:name="_Toc129178899"/>
      <w:r>
        <w:rPr>
          <w:rFonts w:hint="eastAsia" w:ascii="方正仿宋_GBK" w:hAnsi="宋体" w:eastAsia="方正仿宋_GBK"/>
          <w:b/>
          <w:color w:val="auto"/>
          <w:szCs w:val="44"/>
          <w:highlight w:val="none"/>
        </w:rPr>
        <w:t>第六篇  合同主要条款和格式合同（样本）</w:t>
      </w:r>
      <w:bookmarkEnd w:id="185"/>
      <w:bookmarkEnd w:id="186"/>
      <w:bookmarkEnd w:id="187"/>
      <w:bookmarkEnd w:id="188"/>
      <w:bookmarkEnd w:id="189"/>
    </w:p>
    <w:p w14:paraId="44E0F3CC">
      <w:pPr>
        <w:pStyle w:val="5"/>
        <w:spacing w:line="276" w:lineRule="auto"/>
        <w:rPr>
          <w:rFonts w:ascii="方正仿宋_GBK" w:eastAsia="方正仿宋_GBK"/>
          <w:b/>
          <w:color w:val="auto"/>
          <w:sz w:val="24"/>
          <w:szCs w:val="24"/>
          <w:highlight w:val="none"/>
        </w:rPr>
      </w:pPr>
      <w:bookmarkStart w:id="190" w:name="_Toc108774403"/>
      <w:bookmarkStart w:id="191" w:name="_Toc115877724"/>
      <w:bookmarkStart w:id="192" w:name="_Toc129178900"/>
      <w:bookmarkStart w:id="193" w:name="_Toc26062"/>
      <w:bookmarkStart w:id="194" w:name="_Toc7669"/>
      <w:r>
        <w:rPr>
          <w:rFonts w:hint="eastAsia" w:ascii="方正仿宋_GBK" w:eastAsia="方正仿宋_GBK"/>
          <w:b/>
          <w:color w:val="auto"/>
          <w:sz w:val="24"/>
          <w:szCs w:val="24"/>
          <w:highlight w:val="none"/>
        </w:rPr>
        <w:t>一、采购合同（格式）</w:t>
      </w:r>
      <w:bookmarkEnd w:id="190"/>
      <w:bookmarkEnd w:id="191"/>
      <w:bookmarkEnd w:id="192"/>
      <w:bookmarkEnd w:id="193"/>
      <w:bookmarkEnd w:id="194"/>
    </w:p>
    <w:p w14:paraId="04F5BE91">
      <w:pPr>
        <w:spacing w:line="276" w:lineRule="auto"/>
        <w:jc w:val="center"/>
        <w:rPr>
          <w:rFonts w:ascii="方正仿宋_GBK" w:hAnsi="宋体" w:eastAsia="方正仿宋_GBK"/>
          <w:b/>
          <w:color w:val="auto"/>
          <w:sz w:val="24"/>
          <w:szCs w:val="24"/>
          <w:highlight w:val="none"/>
        </w:rPr>
      </w:pPr>
      <w:r>
        <w:rPr>
          <w:rFonts w:hint="eastAsia" w:ascii="方正仿宋_GBK" w:hAnsi="宋体" w:eastAsia="方正仿宋_GBK"/>
          <w:b/>
          <w:color w:val="auto"/>
          <w:sz w:val="24"/>
          <w:szCs w:val="24"/>
          <w:highlight w:val="none"/>
        </w:rPr>
        <w:t>重庆工商大学采购合同</w:t>
      </w:r>
    </w:p>
    <w:p w14:paraId="629C71E7">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（项目编号： ）</w:t>
      </w:r>
    </w:p>
    <w:p w14:paraId="26CA91B9">
      <w:pPr>
        <w:spacing w:line="276" w:lineRule="auto"/>
        <w:jc w:val="center"/>
        <w:rPr>
          <w:rFonts w:ascii="方正仿宋_GBK" w:hAnsi="宋体" w:eastAsia="方正仿宋_GBK"/>
          <w:color w:val="auto"/>
          <w:sz w:val="24"/>
          <w:szCs w:val="24"/>
          <w:highlight w:val="none"/>
        </w:rPr>
      </w:pPr>
    </w:p>
    <w:p w14:paraId="444521C6">
      <w:pPr>
        <w:spacing w:line="276" w:lineRule="auto"/>
        <w:rPr>
          <w:rFonts w:ascii="方正仿宋_GBK" w:hAnsi="宋体" w:eastAsia="方正仿宋_GBK"/>
          <w:color w:val="auto"/>
          <w:sz w:val="24"/>
          <w:szCs w:val="24"/>
          <w:highlight w:val="none"/>
          <w:u w:val="single"/>
        </w:rPr>
      </w:pPr>
      <w:r>
        <w:rPr>
          <w:rFonts w:hint="eastAsia" w:ascii="方正仿宋_GBK" w:hAnsi="宋体" w:eastAsia="方正仿宋_GBK"/>
          <w:color w:val="auto"/>
          <w:sz w:val="24"/>
          <w:szCs w:val="24"/>
          <w:highlight w:val="none"/>
        </w:rPr>
        <w:t>甲方 ：</w:t>
      </w:r>
      <w:r>
        <w:rPr>
          <w:rFonts w:hint="eastAsia" w:ascii="方正仿宋_GBK" w:hAnsi="宋体" w:eastAsia="方正仿宋_GBK"/>
          <w:color w:val="auto"/>
          <w:sz w:val="24"/>
          <w:szCs w:val="24"/>
          <w:highlight w:val="none"/>
          <w:u w:val="single"/>
        </w:rPr>
        <w:t xml:space="preserve">重庆工商大学 </w:t>
      </w:r>
      <w:r>
        <w:rPr>
          <w:rFonts w:hint="eastAsia" w:ascii="方正仿宋_GBK" w:hAnsi="宋体" w:eastAsia="方正仿宋_GBK"/>
          <w:color w:val="auto"/>
          <w:sz w:val="24"/>
          <w:szCs w:val="24"/>
          <w:highlight w:val="none"/>
        </w:rPr>
        <w:t xml:space="preserve">              计价单位：</w:t>
      </w:r>
      <w:r>
        <w:rPr>
          <w:rFonts w:hint="eastAsia" w:ascii="方正仿宋_GBK" w:hAnsi="宋体" w:eastAsia="方正仿宋_GBK"/>
          <w:color w:val="auto"/>
          <w:sz w:val="24"/>
          <w:szCs w:val="24"/>
          <w:highlight w:val="none"/>
          <w:u w:val="single"/>
        </w:rPr>
        <w:t xml:space="preserve">             </w:t>
      </w:r>
    </w:p>
    <w:p w14:paraId="2B2D9248">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乙方 ：</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 xml:space="preserve">              计量单位：</w:t>
      </w:r>
      <w:r>
        <w:rPr>
          <w:rFonts w:hint="eastAsia" w:ascii="方正仿宋_GBK" w:hAnsi="宋体" w:eastAsia="方正仿宋_GBK"/>
          <w:color w:val="auto"/>
          <w:sz w:val="24"/>
          <w:szCs w:val="24"/>
          <w:highlight w:val="none"/>
          <w:u w:val="single"/>
        </w:rPr>
        <w:t xml:space="preserve">             </w:t>
      </w:r>
    </w:p>
    <w:p w14:paraId="0E519679">
      <w:pPr>
        <w:spacing w:line="276" w:lineRule="auto"/>
        <w:rPr>
          <w:rFonts w:ascii="方正仿宋_GBK" w:hAnsi="宋体" w:eastAsia="方正仿宋_GBK"/>
          <w:color w:val="auto"/>
          <w:sz w:val="24"/>
          <w:szCs w:val="24"/>
          <w:highlight w:val="none"/>
        </w:rPr>
      </w:pPr>
    </w:p>
    <w:p w14:paraId="6B0649EA">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经双方协商一致，达成以下购销合同：</w:t>
      </w:r>
    </w:p>
    <w:tbl>
      <w:tblPr>
        <w:tblStyle w:val="20"/>
        <w:tblW w:w="9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8"/>
        <w:gridCol w:w="765"/>
        <w:gridCol w:w="850"/>
        <w:gridCol w:w="709"/>
        <w:gridCol w:w="996"/>
        <w:gridCol w:w="1275"/>
        <w:gridCol w:w="1417"/>
        <w:gridCol w:w="1133"/>
        <w:gridCol w:w="1144"/>
        <w:gridCol w:w="15"/>
      </w:tblGrid>
      <w:tr w14:paraId="540A4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28" w:type="dxa"/>
            <w:vAlign w:val="center"/>
          </w:tcPr>
          <w:p w14:paraId="6B4E8B6B">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商品名称</w:t>
            </w:r>
          </w:p>
        </w:tc>
        <w:tc>
          <w:tcPr>
            <w:tcW w:w="765" w:type="dxa"/>
            <w:vAlign w:val="center"/>
          </w:tcPr>
          <w:p w14:paraId="3F4779FD">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品牌</w:t>
            </w:r>
          </w:p>
          <w:p w14:paraId="341FAAF7">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产地</w:t>
            </w:r>
          </w:p>
        </w:tc>
        <w:tc>
          <w:tcPr>
            <w:tcW w:w="850" w:type="dxa"/>
            <w:vAlign w:val="center"/>
          </w:tcPr>
          <w:p w14:paraId="3DEE8738">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生产</w:t>
            </w:r>
          </w:p>
          <w:p w14:paraId="02C63FBF">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厂商</w:t>
            </w:r>
          </w:p>
        </w:tc>
        <w:tc>
          <w:tcPr>
            <w:tcW w:w="709" w:type="dxa"/>
            <w:vAlign w:val="center"/>
          </w:tcPr>
          <w:p w14:paraId="0A88320B">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规格型号</w:t>
            </w:r>
          </w:p>
        </w:tc>
        <w:tc>
          <w:tcPr>
            <w:tcW w:w="992" w:type="dxa"/>
            <w:vAlign w:val="center"/>
          </w:tcPr>
          <w:p w14:paraId="25F4978F">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数量</w:t>
            </w:r>
          </w:p>
        </w:tc>
        <w:tc>
          <w:tcPr>
            <w:tcW w:w="1276" w:type="dxa"/>
            <w:vAlign w:val="center"/>
          </w:tcPr>
          <w:p w14:paraId="3366FEF7">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单价</w:t>
            </w:r>
          </w:p>
        </w:tc>
        <w:tc>
          <w:tcPr>
            <w:tcW w:w="1418" w:type="dxa"/>
            <w:vAlign w:val="center"/>
          </w:tcPr>
          <w:p w14:paraId="115012E7">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总价</w:t>
            </w:r>
          </w:p>
        </w:tc>
        <w:tc>
          <w:tcPr>
            <w:tcW w:w="1134" w:type="dxa"/>
            <w:vAlign w:val="center"/>
          </w:tcPr>
          <w:p w14:paraId="47F1D67C">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交货时间</w:t>
            </w:r>
          </w:p>
        </w:tc>
        <w:tc>
          <w:tcPr>
            <w:tcW w:w="1145" w:type="dxa"/>
            <w:vAlign w:val="center"/>
          </w:tcPr>
          <w:p w14:paraId="23BE3BD6">
            <w:pPr>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交货地点</w:t>
            </w:r>
          </w:p>
        </w:tc>
      </w:tr>
      <w:tr w14:paraId="45310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28" w:type="dxa"/>
            <w:vAlign w:val="center"/>
          </w:tcPr>
          <w:p w14:paraId="2987573B">
            <w:pPr>
              <w:spacing w:line="276" w:lineRule="auto"/>
              <w:rPr>
                <w:rFonts w:ascii="方正仿宋_GBK" w:hAnsi="宋体" w:eastAsia="方正仿宋_GBK"/>
                <w:color w:val="auto"/>
                <w:sz w:val="24"/>
                <w:szCs w:val="24"/>
                <w:highlight w:val="none"/>
              </w:rPr>
            </w:pPr>
          </w:p>
        </w:tc>
        <w:tc>
          <w:tcPr>
            <w:tcW w:w="765" w:type="dxa"/>
            <w:vAlign w:val="center"/>
          </w:tcPr>
          <w:p w14:paraId="482A296E">
            <w:pPr>
              <w:spacing w:line="276" w:lineRule="auto"/>
              <w:rPr>
                <w:rFonts w:ascii="方正仿宋_GBK" w:hAnsi="宋体" w:eastAsia="方正仿宋_GBK"/>
                <w:color w:val="auto"/>
                <w:sz w:val="24"/>
                <w:szCs w:val="24"/>
                <w:highlight w:val="none"/>
              </w:rPr>
            </w:pPr>
          </w:p>
        </w:tc>
        <w:tc>
          <w:tcPr>
            <w:tcW w:w="850" w:type="dxa"/>
            <w:vAlign w:val="center"/>
          </w:tcPr>
          <w:p w14:paraId="1484473E">
            <w:pPr>
              <w:spacing w:line="276" w:lineRule="auto"/>
              <w:rPr>
                <w:rFonts w:ascii="方正仿宋_GBK" w:hAnsi="宋体" w:eastAsia="方正仿宋_GBK"/>
                <w:color w:val="auto"/>
                <w:sz w:val="24"/>
                <w:szCs w:val="24"/>
                <w:highlight w:val="none"/>
              </w:rPr>
            </w:pPr>
          </w:p>
        </w:tc>
        <w:tc>
          <w:tcPr>
            <w:tcW w:w="709" w:type="dxa"/>
            <w:vAlign w:val="center"/>
          </w:tcPr>
          <w:p w14:paraId="31ADC6AD">
            <w:pPr>
              <w:spacing w:line="276" w:lineRule="auto"/>
              <w:rPr>
                <w:rFonts w:ascii="方正仿宋_GBK" w:hAnsi="宋体" w:eastAsia="方正仿宋_GBK"/>
                <w:color w:val="auto"/>
                <w:sz w:val="24"/>
                <w:szCs w:val="24"/>
                <w:highlight w:val="none"/>
              </w:rPr>
            </w:pPr>
          </w:p>
        </w:tc>
        <w:tc>
          <w:tcPr>
            <w:tcW w:w="992" w:type="dxa"/>
            <w:vAlign w:val="center"/>
          </w:tcPr>
          <w:p w14:paraId="72ABBAAE">
            <w:pPr>
              <w:spacing w:line="276" w:lineRule="auto"/>
              <w:rPr>
                <w:rFonts w:ascii="方正仿宋_GBK" w:hAnsi="宋体" w:eastAsia="方正仿宋_GBK"/>
                <w:color w:val="auto"/>
                <w:sz w:val="24"/>
                <w:szCs w:val="24"/>
                <w:highlight w:val="none"/>
              </w:rPr>
            </w:pPr>
          </w:p>
        </w:tc>
        <w:tc>
          <w:tcPr>
            <w:tcW w:w="1276" w:type="dxa"/>
            <w:vAlign w:val="center"/>
          </w:tcPr>
          <w:p w14:paraId="41258B43">
            <w:pPr>
              <w:spacing w:line="276" w:lineRule="auto"/>
              <w:rPr>
                <w:rFonts w:ascii="方正仿宋_GBK" w:hAnsi="宋体" w:eastAsia="方正仿宋_GBK"/>
                <w:color w:val="auto"/>
                <w:sz w:val="24"/>
                <w:szCs w:val="24"/>
                <w:highlight w:val="none"/>
              </w:rPr>
            </w:pPr>
          </w:p>
        </w:tc>
        <w:tc>
          <w:tcPr>
            <w:tcW w:w="1418" w:type="dxa"/>
            <w:vAlign w:val="center"/>
          </w:tcPr>
          <w:p w14:paraId="585C7277">
            <w:pPr>
              <w:spacing w:line="276" w:lineRule="auto"/>
              <w:rPr>
                <w:rFonts w:ascii="方正仿宋_GBK" w:hAnsi="宋体" w:eastAsia="方正仿宋_GBK"/>
                <w:color w:val="auto"/>
                <w:sz w:val="24"/>
                <w:szCs w:val="24"/>
                <w:highlight w:val="none"/>
              </w:rPr>
            </w:pPr>
          </w:p>
        </w:tc>
        <w:tc>
          <w:tcPr>
            <w:tcW w:w="1134" w:type="dxa"/>
            <w:vMerge w:val="restart"/>
            <w:vAlign w:val="center"/>
          </w:tcPr>
          <w:p w14:paraId="6DA012FF">
            <w:pPr>
              <w:spacing w:line="276" w:lineRule="auto"/>
              <w:rPr>
                <w:rFonts w:ascii="方正仿宋_GBK" w:hAnsi="宋体" w:eastAsia="方正仿宋_GBK"/>
                <w:color w:val="auto"/>
                <w:sz w:val="24"/>
                <w:szCs w:val="24"/>
                <w:highlight w:val="none"/>
              </w:rPr>
            </w:pPr>
          </w:p>
        </w:tc>
        <w:tc>
          <w:tcPr>
            <w:tcW w:w="1145" w:type="dxa"/>
            <w:vMerge w:val="restart"/>
            <w:vAlign w:val="center"/>
          </w:tcPr>
          <w:p w14:paraId="3105C3B0">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甲方指定地方。</w:t>
            </w:r>
          </w:p>
        </w:tc>
      </w:tr>
      <w:tr w14:paraId="5627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28" w:type="dxa"/>
            <w:vAlign w:val="center"/>
          </w:tcPr>
          <w:p w14:paraId="04974867">
            <w:pPr>
              <w:spacing w:line="276" w:lineRule="auto"/>
              <w:rPr>
                <w:rFonts w:ascii="方正仿宋_GBK" w:hAnsi="宋体" w:eastAsia="方正仿宋_GBK"/>
                <w:color w:val="auto"/>
                <w:sz w:val="24"/>
                <w:szCs w:val="24"/>
                <w:highlight w:val="none"/>
              </w:rPr>
            </w:pPr>
          </w:p>
        </w:tc>
        <w:tc>
          <w:tcPr>
            <w:tcW w:w="765" w:type="dxa"/>
            <w:vAlign w:val="center"/>
          </w:tcPr>
          <w:p w14:paraId="3AC14965">
            <w:pPr>
              <w:spacing w:line="276" w:lineRule="auto"/>
              <w:rPr>
                <w:rFonts w:ascii="方正仿宋_GBK" w:hAnsi="宋体" w:eastAsia="方正仿宋_GBK"/>
                <w:color w:val="auto"/>
                <w:sz w:val="24"/>
                <w:szCs w:val="24"/>
                <w:highlight w:val="none"/>
              </w:rPr>
            </w:pPr>
          </w:p>
        </w:tc>
        <w:tc>
          <w:tcPr>
            <w:tcW w:w="850" w:type="dxa"/>
            <w:vAlign w:val="center"/>
          </w:tcPr>
          <w:p w14:paraId="24298774">
            <w:pPr>
              <w:spacing w:line="276" w:lineRule="auto"/>
              <w:rPr>
                <w:rFonts w:ascii="方正仿宋_GBK" w:hAnsi="宋体" w:eastAsia="方正仿宋_GBK"/>
                <w:color w:val="auto"/>
                <w:sz w:val="24"/>
                <w:szCs w:val="24"/>
                <w:highlight w:val="none"/>
              </w:rPr>
            </w:pPr>
          </w:p>
        </w:tc>
        <w:tc>
          <w:tcPr>
            <w:tcW w:w="709" w:type="dxa"/>
            <w:vAlign w:val="center"/>
          </w:tcPr>
          <w:p w14:paraId="683E25DC">
            <w:pPr>
              <w:spacing w:line="276" w:lineRule="auto"/>
              <w:rPr>
                <w:rFonts w:ascii="方正仿宋_GBK" w:hAnsi="宋体" w:eastAsia="方正仿宋_GBK"/>
                <w:color w:val="auto"/>
                <w:sz w:val="24"/>
                <w:szCs w:val="24"/>
                <w:highlight w:val="none"/>
              </w:rPr>
            </w:pPr>
          </w:p>
        </w:tc>
        <w:tc>
          <w:tcPr>
            <w:tcW w:w="992" w:type="dxa"/>
            <w:vAlign w:val="center"/>
          </w:tcPr>
          <w:p w14:paraId="333F5605">
            <w:pPr>
              <w:spacing w:line="276" w:lineRule="auto"/>
              <w:rPr>
                <w:rFonts w:ascii="方正仿宋_GBK" w:hAnsi="宋体" w:eastAsia="方正仿宋_GBK"/>
                <w:color w:val="auto"/>
                <w:sz w:val="24"/>
                <w:szCs w:val="24"/>
                <w:highlight w:val="none"/>
              </w:rPr>
            </w:pPr>
          </w:p>
        </w:tc>
        <w:tc>
          <w:tcPr>
            <w:tcW w:w="1276" w:type="dxa"/>
            <w:vAlign w:val="center"/>
          </w:tcPr>
          <w:p w14:paraId="1FD3C347">
            <w:pPr>
              <w:spacing w:line="276" w:lineRule="auto"/>
              <w:rPr>
                <w:rFonts w:ascii="方正仿宋_GBK" w:hAnsi="宋体" w:eastAsia="方正仿宋_GBK"/>
                <w:color w:val="auto"/>
                <w:sz w:val="24"/>
                <w:szCs w:val="24"/>
                <w:highlight w:val="none"/>
              </w:rPr>
            </w:pPr>
          </w:p>
        </w:tc>
        <w:tc>
          <w:tcPr>
            <w:tcW w:w="1418" w:type="dxa"/>
            <w:vAlign w:val="center"/>
          </w:tcPr>
          <w:p w14:paraId="19F73CE2">
            <w:pPr>
              <w:spacing w:line="276" w:lineRule="auto"/>
              <w:rPr>
                <w:rFonts w:ascii="方正仿宋_GBK" w:hAnsi="宋体" w:eastAsia="方正仿宋_GBK"/>
                <w:color w:val="auto"/>
                <w:sz w:val="24"/>
                <w:szCs w:val="24"/>
                <w:highlight w:val="none"/>
              </w:rPr>
            </w:pPr>
          </w:p>
        </w:tc>
        <w:tc>
          <w:tcPr>
            <w:tcW w:w="1134" w:type="dxa"/>
            <w:vMerge w:val="continue"/>
            <w:vAlign w:val="center"/>
          </w:tcPr>
          <w:p w14:paraId="3CE76585">
            <w:pPr>
              <w:spacing w:line="276" w:lineRule="auto"/>
              <w:rPr>
                <w:rFonts w:ascii="方正仿宋_GBK" w:hAnsi="宋体" w:eastAsia="方正仿宋_GBK"/>
                <w:color w:val="auto"/>
                <w:sz w:val="24"/>
                <w:szCs w:val="24"/>
                <w:highlight w:val="none"/>
              </w:rPr>
            </w:pPr>
          </w:p>
        </w:tc>
        <w:tc>
          <w:tcPr>
            <w:tcW w:w="1145" w:type="dxa"/>
            <w:vMerge w:val="continue"/>
            <w:vAlign w:val="center"/>
          </w:tcPr>
          <w:p w14:paraId="142E7ABB">
            <w:pPr>
              <w:spacing w:line="276" w:lineRule="auto"/>
              <w:rPr>
                <w:rFonts w:ascii="方正仿宋_GBK" w:hAnsi="宋体" w:eastAsia="方正仿宋_GBK"/>
                <w:color w:val="auto"/>
                <w:sz w:val="24"/>
                <w:szCs w:val="24"/>
                <w:highlight w:val="none"/>
              </w:rPr>
            </w:pPr>
          </w:p>
        </w:tc>
      </w:tr>
      <w:tr w14:paraId="419AB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28" w:type="dxa"/>
            <w:vAlign w:val="center"/>
          </w:tcPr>
          <w:p w14:paraId="3662E4FC">
            <w:pPr>
              <w:spacing w:line="276" w:lineRule="auto"/>
              <w:rPr>
                <w:rFonts w:ascii="方正仿宋_GBK" w:hAnsi="宋体" w:eastAsia="方正仿宋_GBK"/>
                <w:color w:val="auto"/>
                <w:sz w:val="24"/>
                <w:szCs w:val="24"/>
                <w:highlight w:val="none"/>
              </w:rPr>
            </w:pPr>
          </w:p>
        </w:tc>
        <w:tc>
          <w:tcPr>
            <w:tcW w:w="765" w:type="dxa"/>
            <w:vAlign w:val="center"/>
          </w:tcPr>
          <w:p w14:paraId="0AF76DA5">
            <w:pPr>
              <w:spacing w:line="276" w:lineRule="auto"/>
              <w:rPr>
                <w:rFonts w:ascii="方正仿宋_GBK" w:hAnsi="宋体" w:eastAsia="方正仿宋_GBK"/>
                <w:color w:val="auto"/>
                <w:sz w:val="24"/>
                <w:szCs w:val="24"/>
                <w:highlight w:val="none"/>
              </w:rPr>
            </w:pPr>
          </w:p>
        </w:tc>
        <w:tc>
          <w:tcPr>
            <w:tcW w:w="850" w:type="dxa"/>
            <w:vAlign w:val="center"/>
          </w:tcPr>
          <w:p w14:paraId="5135FB1A">
            <w:pPr>
              <w:spacing w:line="276" w:lineRule="auto"/>
              <w:rPr>
                <w:rFonts w:ascii="方正仿宋_GBK" w:hAnsi="宋体" w:eastAsia="方正仿宋_GBK"/>
                <w:color w:val="auto"/>
                <w:sz w:val="24"/>
                <w:szCs w:val="24"/>
                <w:highlight w:val="none"/>
              </w:rPr>
            </w:pPr>
          </w:p>
        </w:tc>
        <w:tc>
          <w:tcPr>
            <w:tcW w:w="709" w:type="dxa"/>
            <w:vAlign w:val="center"/>
          </w:tcPr>
          <w:p w14:paraId="1EEEFC13">
            <w:pPr>
              <w:spacing w:line="276" w:lineRule="auto"/>
              <w:rPr>
                <w:rFonts w:ascii="方正仿宋_GBK" w:hAnsi="宋体" w:eastAsia="方正仿宋_GBK"/>
                <w:color w:val="auto"/>
                <w:sz w:val="24"/>
                <w:szCs w:val="24"/>
                <w:highlight w:val="none"/>
              </w:rPr>
            </w:pPr>
          </w:p>
        </w:tc>
        <w:tc>
          <w:tcPr>
            <w:tcW w:w="992" w:type="dxa"/>
            <w:vAlign w:val="center"/>
          </w:tcPr>
          <w:p w14:paraId="51492065">
            <w:pPr>
              <w:spacing w:line="276" w:lineRule="auto"/>
              <w:rPr>
                <w:rFonts w:ascii="方正仿宋_GBK" w:hAnsi="宋体" w:eastAsia="方正仿宋_GBK"/>
                <w:color w:val="auto"/>
                <w:sz w:val="24"/>
                <w:szCs w:val="24"/>
                <w:highlight w:val="none"/>
              </w:rPr>
            </w:pPr>
          </w:p>
        </w:tc>
        <w:tc>
          <w:tcPr>
            <w:tcW w:w="1276" w:type="dxa"/>
            <w:vAlign w:val="center"/>
          </w:tcPr>
          <w:p w14:paraId="7D6CA512">
            <w:pPr>
              <w:spacing w:line="276" w:lineRule="auto"/>
              <w:rPr>
                <w:rFonts w:ascii="方正仿宋_GBK" w:hAnsi="宋体" w:eastAsia="方正仿宋_GBK"/>
                <w:color w:val="auto"/>
                <w:sz w:val="24"/>
                <w:szCs w:val="24"/>
                <w:highlight w:val="none"/>
              </w:rPr>
            </w:pPr>
          </w:p>
        </w:tc>
        <w:tc>
          <w:tcPr>
            <w:tcW w:w="1418" w:type="dxa"/>
            <w:vAlign w:val="center"/>
          </w:tcPr>
          <w:p w14:paraId="4C059056">
            <w:pPr>
              <w:spacing w:line="276" w:lineRule="auto"/>
              <w:rPr>
                <w:rFonts w:ascii="方正仿宋_GBK" w:hAnsi="宋体" w:eastAsia="方正仿宋_GBK"/>
                <w:color w:val="auto"/>
                <w:sz w:val="24"/>
                <w:szCs w:val="24"/>
                <w:highlight w:val="none"/>
              </w:rPr>
            </w:pPr>
          </w:p>
        </w:tc>
        <w:tc>
          <w:tcPr>
            <w:tcW w:w="1134" w:type="dxa"/>
            <w:vMerge w:val="continue"/>
            <w:vAlign w:val="center"/>
          </w:tcPr>
          <w:p w14:paraId="0C7F0332">
            <w:pPr>
              <w:spacing w:line="276" w:lineRule="auto"/>
              <w:rPr>
                <w:rFonts w:ascii="方正仿宋_GBK" w:hAnsi="宋体" w:eastAsia="方正仿宋_GBK"/>
                <w:color w:val="auto"/>
                <w:sz w:val="24"/>
                <w:szCs w:val="24"/>
                <w:highlight w:val="none"/>
              </w:rPr>
            </w:pPr>
          </w:p>
        </w:tc>
        <w:tc>
          <w:tcPr>
            <w:tcW w:w="1145" w:type="dxa"/>
            <w:vMerge w:val="continue"/>
            <w:vAlign w:val="center"/>
          </w:tcPr>
          <w:p w14:paraId="7FAA415E">
            <w:pPr>
              <w:spacing w:line="276" w:lineRule="auto"/>
              <w:rPr>
                <w:rFonts w:ascii="方正仿宋_GBK" w:hAnsi="宋体" w:eastAsia="方正仿宋_GBK"/>
                <w:color w:val="auto"/>
                <w:sz w:val="24"/>
                <w:szCs w:val="24"/>
                <w:highlight w:val="none"/>
              </w:rPr>
            </w:pPr>
          </w:p>
        </w:tc>
      </w:tr>
      <w:tr w14:paraId="3FE0F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28" w:type="dxa"/>
            <w:vAlign w:val="center"/>
          </w:tcPr>
          <w:p w14:paraId="67D68A51">
            <w:pPr>
              <w:spacing w:line="276" w:lineRule="auto"/>
              <w:rPr>
                <w:rFonts w:ascii="方正仿宋_GBK" w:hAnsi="宋体" w:eastAsia="方正仿宋_GBK"/>
                <w:color w:val="auto"/>
                <w:sz w:val="24"/>
                <w:szCs w:val="24"/>
                <w:highlight w:val="none"/>
              </w:rPr>
            </w:pPr>
          </w:p>
        </w:tc>
        <w:tc>
          <w:tcPr>
            <w:tcW w:w="765" w:type="dxa"/>
            <w:vAlign w:val="center"/>
          </w:tcPr>
          <w:p w14:paraId="2C854302">
            <w:pPr>
              <w:spacing w:line="276" w:lineRule="auto"/>
              <w:rPr>
                <w:rFonts w:ascii="方正仿宋_GBK" w:hAnsi="宋体" w:eastAsia="方正仿宋_GBK"/>
                <w:color w:val="auto"/>
                <w:sz w:val="24"/>
                <w:szCs w:val="24"/>
                <w:highlight w:val="none"/>
              </w:rPr>
            </w:pPr>
          </w:p>
        </w:tc>
        <w:tc>
          <w:tcPr>
            <w:tcW w:w="850" w:type="dxa"/>
            <w:vAlign w:val="center"/>
          </w:tcPr>
          <w:p w14:paraId="0F6867B1">
            <w:pPr>
              <w:spacing w:line="276" w:lineRule="auto"/>
              <w:rPr>
                <w:rFonts w:ascii="方正仿宋_GBK" w:hAnsi="宋体" w:eastAsia="方正仿宋_GBK"/>
                <w:color w:val="auto"/>
                <w:sz w:val="24"/>
                <w:szCs w:val="24"/>
                <w:highlight w:val="none"/>
              </w:rPr>
            </w:pPr>
          </w:p>
        </w:tc>
        <w:tc>
          <w:tcPr>
            <w:tcW w:w="709" w:type="dxa"/>
            <w:vAlign w:val="center"/>
          </w:tcPr>
          <w:p w14:paraId="335E9B1D">
            <w:pPr>
              <w:spacing w:line="276" w:lineRule="auto"/>
              <w:rPr>
                <w:rFonts w:ascii="方正仿宋_GBK" w:hAnsi="宋体" w:eastAsia="方正仿宋_GBK"/>
                <w:color w:val="auto"/>
                <w:sz w:val="24"/>
                <w:szCs w:val="24"/>
                <w:highlight w:val="none"/>
              </w:rPr>
            </w:pPr>
          </w:p>
        </w:tc>
        <w:tc>
          <w:tcPr>
            <w:tcW w:w="992" w:type="dxa"/>
            <w:vAlign w:val="center"/>
          </w:tcPr>
          <w:p w14:paraId="4F7168A6">
            <w:pPr>
              <w:spacing w:line="276" w:lineRule="auto"/>
              <w:rPr>
                <w:rFonts w:ascii="方正仿宋_GBK" w:hAnsi="宋体" w:eastAsia="方正仿宋_GBK"/>
                <w:color w:val="auto"/>
                <w:sz w:val="24"/>
                <w:szCs w:val="24"/>
                <w:highlight w:val="none"/>
              </w:rPr>
            </w:pPr>
          </w:p>
        </w:tc>
        <w:tc>
          <w:tcPr>
            <w:tcW w:w="1276" w:type="dxa"/>
            <w:vAlign w:val="center"/>
          </w:tcPr>
          <w:p w14:paraId="4CC87C39">
            <w:pPr>
              <w:spacing w:line="276" w:lineRule="auto"/>
              <w:rPr>
                <w:rFonts w:ascii="方正仿宋_GBK" w:hAnsi="宋体" w:eastAsia="方正仿宋_GBK"/>
                <w:color w:val="auto"/>
                <w:sz w:val="24"/>
                <w:szCs w:val="24"/>
                <w:highlight w:val="none"/>
              </w:rPr>
            </w:pPr>
          </w:p>
        </w:tc>
        <w:tc>
          <w:tcPr>
            <w:tcW w:w="1418" w:type="dxa"/>
            <w:vAlign w:val="center"/>
          </w:tcPr>
          <w:p w14:paraId="42528155">
            <w:pPr>
              <w:spacing w:line="276" w:lineRule="auto"/>
              <w:rPr>
                <w:rFonts w:ascii="方正仿宋_GBK" w:hAnsi="宋体" w:eastAsia="方正仿宋_GBK"/>
                <w:color w:val="auto"/>
                <w:sz w:val="24"/>
                <w:szCs w:val="24"/>
                <w:highlight w:val="none"/>
              </w:rPr>
            </w:pPr>
          </w:p>
        </w:tc>
        <w:tc>
          <w:tcPr>
            <w:tcW w:w="1134" w:type="dxa"/>
            <w:vMerge w:val="continue"/>
            <w:vAlign w:val="center"/>
          </w:tcPr>
          <w:p w14:paraId="72385F8F">
            <w:pPr>
              <w:spacing w:line="276" w:lineRule="auto"/>
              <w:rPr>
                <w:rFonts w:ascii="方正仿宋_GBK" w:hAnsi="宋体" w:eastAsia="方正仿宋_GBK"/>
                <w:color w:val="auto"/>
                <w:sz w:val="24"/>
                <w:szCs w:val="24"/>
                <w:highlight w:val="none"/>
              </w:rPr>
            </w:pPr>
          </w:p>
        </w:tc>
        <w:tc>
          <w:tcPr>
            <w:tcW w:w="1145" w:type="dxa"/>
            <w:vMerge w:val="continue"/>
            <w:vAlign w:val="center"/>
          </w:tcPr>
          <w:p w14:paraId="77B6EE4D">
            <w:pPr>
              <w:spacing w:line="276" w:lineRule="auto"/>
              <w:rPr>
                <w:rFonts w:ascii="方正仿宋_GBK" w:hAnsi="宋体" w:eastAsia="方正仿宋_GBK"/>
                <w:color w:val="auto"/>
                <w:sz w:val="24"/>
                <w:szCs w:val="24"/>
                <w:highlight w:val="none"/>
              </w:rPr>
            </w:pPr>
          </w:p>
        </w:tc>
      </w:tr>
      <w:tr w14:paraId="2B08B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28" w:type="dxa"/>
            <w:vAlign w:val="center"/>
          </w:tcPr>
          <w:p w14:paraId="3529D799">
            <w:pPr>
              <w:spacing w:line="276" w:lineRule="auto"/>
              <w:rPr>
                <w:rFonts w:ascii="方正仿宋_GBK" w:hAnsi="宋体" w:eastAsia="方正仿宋_GBK"/>
                <w:color w:val="auto"/>
                <w:sz w:val="24"/>
                <w:szCs w:val="24"/>
                <w:highlight w:val="none"/>
              </w:rPr>
            </w:pPr>
          </w:p>
        </w:tc>
        <w:tc>
          <w:tcPr>
            <w:tcW w:w="765" w:type="dxa"/>
            <w:vAlign w:val="center"/>
          </w:tcPr>
          <w:p w14:paraId="2140CB6C">
            <w:pPr>
              <w:spacing w:line="276" w:lineRule="auto"/>
              <w:rPr>
                <w:rFonts w:ascii="方正仿宋_GBK" w:hAnsi="宋体" w:eastAsia="方正仿宋_GBK"/>
                <w:color w:val="auto"/>
                <w:sz w:val="24"/>
                <w:szCs w:val="24"/>
                <w:highlight w:val="none"/>
              </w:rPr>
            </w:pPr>
          </w:p>
        </w:tc>
        <w:tc>
          <w:tcPr>
            <w:tcW w:w="850" w:type="dxa"/>
            <w:vAlign w:val="center"/>
          </w:tcPr>
          <w:p w14:paraId="4DC8A29C">
            <w:pPr>
              <w:spacing w:line="276" w:lineRule="auto"/>
              <w:rPr>
                <w:rFonts w:ascii="方正仿宋_GBK" w:hAnsi="宋体" w:eastAsia="方正仿宋_GBK"/>
                <w:color w:val="auto"/>
                <w:sz w:val="24"/>
                <w:szCs w:val="24"/>
                <w:highlight w:val="none"/>
              </w:rPr>
            </w:pPr>
          </w:p>
        </w:tc>
        <w:tc>
          <w:tcPr>
            <w:tcW w:w="709" w:type="dxa"/>
            <w:vAlign w:val="center"/>
          </w:tcPr>
          <w:p w14:paraId="2513133D">
            <w:pPr>
              <w:spacing w:line="276" w:lineRule="auto"/>
              <w:rPr>
                <w:rFonts w:ascii="方正仿宋_GBK" w:hAnsi="宋体" w:eastAsia="方正仿宋_GBK"/>
                <w:color w:val="auto"/>
                <w:sz w:val="24"/>
                <w:szCs w:val="24"/>
                <w:highlight w:val="none"/>
              </w:rPr>
            </w:pPr>
          </w:p>
        </w:tc>
        <w:tc>
          <w:tcPr>
            <w:tcW w:w="992" w:type="dxa"/>
            <w:vAlign w:val="center"/>
          </w:tcPr>
          <w:p w14:paraId="67D5D975">
            <w:pPr>
              <w:spacing w:line="276" w:lineRule="auto"/>
              <w:rPr>
                <w:rFonts w:ascii="方正仿宋_GBK" w:hAnsi="宋体" w:eastAsia="方正仿宋_GBK"/>
                <w:color w:val="auto"/>
                <w:sz w:val="24"/>
                <w:szCs w:val="24"/>
                <w:highlight w:val="none"/>
              </w:rPr>
            </w:pPr>
          </w:p>
        </w:tc>
        <w:tc>
          <w:tcPr>
            <w:tcW w:w="1276" w:type="dxa"/>
            <w:vAlign w:val="center"/>
          </w:tcPr>
          <w:p w14:paraId="12045697">
            <w:pPr>
              <w:spacing w:line="276" w:lineRule="auto"/>
              <w:rPr>
                <w:rFonts w:ascii="方正仿宋_GBK" w:hAnsi="宋体" w:eastAsia="方正仿宋_GBK"/>
                <w:color w:val="auto"/>
                <w:sz w:val="24"/>
                <w:szCs w:val="24"/>
                <w:highlight w:val="none"/>
              </w:rPr>
            </w:pPr>
          </w:p>
        </w:tc>
        <w:tc>
          <w:tcPr>
            <w:tcW w:w="1418" w:type="dxa"/>
            <w:vAlign w:val="center"/>
          </w:tcPr>
          <w:p w14:paraId="4B7AA6B6">
            <w:pPr>
              <w:spacing w:line="276" w:lineRule="auto"/>
              <w:rPr>
                <w:rFonts w:ascii="方正仿宋_GBK" w:hAnsi="宋体" w:eastAsia="方正仿宋_GBK"/>
                <w:color w:val="auto"/>
                <w:sz w:val="24"/>
                <w:szCs w:val="24"/>
                <w:highlight w:val="none"/>
              </w:rPr>
            </w:pPr>
          </w:p>
        </w:tc>
        <w:tc>
          <w:tcPr>
            <w:tcW w:w="1134" w:type="dxa"/>
            <w:vMerge w:val="continue"/>
            <w:vAlign w:val="center"/>
          </w:tcPr>
          <w:p w14:paraId="3B5A7560">
            <w:pPr>
              <w:spacing w:line="276" w:lineRule="auto"/>
              <w:rPr>
                <w:rFonts w:ascii="方正仿宋_GBK" w:hAnsi="宋体" w:eastAsia="方正仿宋_GBK"/>
                <w:color w:val="auto"/>
                <w:sz w:val="24"/>
                <w:szCs w:val="24"/>
                <w:highlight w:val="none"/>
              </w:rPr>
            </w:pPr>
          </w:p>
        </w:tc>
        <w:tc>
          <w:tcPr>
            <w:tcW w:w="1145" w:type="dxa"/>
            <w:vMerge w:val="continue"/>
            <w:vAlign w:val="center"/>
          </w:tcPr>
          <w:p w14:paraId="1855B4E0">
            <w:pPr>
              <w:spacing w:line="276" w:lineRule="auto"/>
              <w:rPr>
                <w:rFonts w:ascii="方正仿宋_GBK" w:hAnsi="宋体" w:eastAsia="方正仿宋_GBK"/>
                <w:color w:val="auto"/>
                <w:sz w:val="24"/>
                <w:szCs w:val="24"/>
                <w:highlight w:val="none"/>
              </w:rPr>
            </w:pPr>
          </w:p>
        </w:tc>
      </w:tr>
      <w:tr w14:paraId="0A35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28" w:type="dxa"/>
            <w:vAlign w:val="center"/>
          </w:tcPr>
          <w:p w14:paraId="084ACD77">
            <w:pPr>
              <w:spacing w:line="276" w:lineRule="auto"/>
              <w:rPr>
                <w:rFonts w:ascii="方正仿宋_GBK" w:hAnsi="宋体" w:eastAsia="方正仿宋_GBK"/>
                <w:color w:val="auto"/>
                <w:sz w:val="24"/>
                <w:szCs w:val="24"/>
                <w:highlight w:val="none"/>
              </w:rPr>
            </w:pPr>
          </w:p>
        </w:tc>
        <w:tc>
          <w:tcPr>
            <w:tcW w:w="765" w:type="dxa"/>
            <w:vAlign w:val="center"/>
          </w:tcPr>
          <w:p w14:paraId="38B8F040">
            <w:pPr>
              <w:spacing w:line="276" w:lineRule="auto"/>
              <w:rPr>
                <w:rFonts w:ascii="方正仿宋_GBK" w:hAnsi="宋体" w:eastAsia="方正仿宋_GBK"/>
                <w:color w:val="auto"/>
                <w:sz w:val="24"/>
                <w:szCs w:val="24"/>
                <w:highlight w:val="none"/>
              </w:rPr>
            </w:pPr>
          </w:p>
        </w:tc>
        <w:tc>
          <w:tcPr>
            <w:tcW w:w="850" w:type="dxa"/>
            <w:vAlign w:val="center"/>
          </w:tcPr>
          <w:p w14:paraId="29E58C8F">
            <w:pPr>
              <w:spacing w:line="276" w:lineRule="auto"/>
              <w:rPr>
                <w:rFonts w:ascii="方正仿宋_GBK" w:hAnsi="宋体" w:eastAsia="方正仿宋_GBK"/>
                <w:color w:val="auto"/>
                <w:sz w:val="24"/>
                <w:szCs w:val="24"/>
                <w:highlight w:val="none"/>
              </w:rPr>
            </w:pPr>
          </w:p>
        </w:tc>
        <w:tc>
          <w:tcPr>
            <w:tcW w:w="709" w:type="dxa"/>
            <w:vAlign w:val="center"/>
          </w:tcPr>
          <w:p w14:paraId="664E2476">
            <w:pPr>
              <w:spacing w:line="276" w:lineRule="auto"/>
              <w:rPr>
                <w:rFonts w:ascii="方正仿宋_GBK" w:hAnsi="宋体" w:eastAsia="方正仿宋_GBK"/>
                <w:color w:val="auto"/>
                <w:sz w:val="24"/>
                <w:szCs w:val="24"/>
                <w:highlight w:val="none"/>
              </w:rPr>
            </w:pPr>
          </w:p>
        </w:tc>
        <w:tc>
          <w:tcPr>
            <w:tcW w:w="992" w:type="dxa"/>
            <w:vAlign w:val="center"/>
          </w:tcPr>
          <w:p w14:paraId="5ED9ACE4">
            <w:pPr>
              <w:spacing w:line="276" w:lineRule="auto"/>
              <w:rPr>
                <w:rFonts w:ascii="方正仿宋_GBK" w:hAnsi="宋体" w:eastAsia="方正仿宋_GBK"/>
                <w:color w:val="auto"/>
                <w:sz w:val="24"/>
                <w:szCs w:val="24"/>
                <w:highlight w:val="none"/>
              </w:rPr>
            </w:pPr>
          </w:p>
        </w:tc>
        <w:tc>
          <w:tcPr>
            <w:tcW w:w="1276" w:type="dxa"/>
            <w:vAlign w:val="center"/>
          </w:tcPr>
          <w:p w14:paraId="5FCA817D">
            <w:pPr>
              <w:spacing w:line="276" w:lineRule="auto"/>
              <w:rPr>
                <w:rFonts w:ascii="方正仿宋_GBK" w:hAnsi="宋体" w:eastAsia="方正仿宋_GBK"/>
                <w:color w:val="auto"/>
                <w:sz w:val="24"/>
                <w:szCs w:val="24"/>
                <w:highlight w:val="none"/>
              </w:rPr>
            </w:pPr>
          </w:p>
        </w:tc>
        <w:tc>
          <w:tcPr>
            <w:tcW w:w="1418" w:type="dxa"/>
            <w:vAlign w:val="center"/>
          </w:tcPr>
          <w:p w14:paraId="76D6905E">
            <w:pPr>
              <w:spacing w:line="276" w:lineRule="auto"/>
              <w:rPr>
                <w:rFonts w:ascii="方正仿宋_GBK" w:hAnsi="宋体" w:eastAsia="方正仿宋_GBK"/>
                <w:color w:val="auto"/>
                <w:sz w:val="24"/>
                <w:szCs w:val="24"/>
                <w:highlight w:val="none"/>
              </w:rPr>
            </w:pPr>
          </w:p>
        </w:tc>
        <w:tc>
          <w:tcPr>
            <w:tcW w:w="1134" w:type="dxa"/>
            <w:vMerge w:val="continue"/>
            <w:vAlign w:val="center"/>
          </w:tcPr>
          <w:p w14:paraId="206D5EEF">
            <w:pPr>
              <w:spacing w:line="276" w:lineRule="auto"/>
              <w:rPr>
                <w:rFonts w:ascii="方正仿宋_GBK" w:hAnsi="宋体" w:eastAsia="方正仿宋_GBK"/>
                <w:color w:val="auto"/>
                <w:sz w:val="24"/>
                <w:szCs w:val="24"/>
                <w:highlight w:val="none"/>
              </w:rPr>
            </w:pPr>
          </w:p>
        </w:tc>
        <w:tc>
          <w:tcPr>
            <w:tcW w:w="1145" w:type="dxa"/>
            <w:vMerge w:val="continue"/>
            <w:vAlign w:val="center"/>
          </w:tcPr>
          <w:p w14:paraId="1EDFC92C">
            <w:pPr>
              <w:spacing w:line="276" w:lineRule="auto"/>
              <w:rPr>
                <w:rFonts w:ascii="方正仿宋_GBK" w:hAnsi="宋体" w:eastAsia="方正仿宋_GBK"/>
                <w:color w:val="auto"/>
                <w:sz w:val="24"/>
                <w:szCs w:val="24"/>
                <w:highlight w:val="none"/>
              </w:rPr>
            </w:pPr>
          </w:p>
        </w:tc>
      </w:tr>
      <w:tr w14:paraId="75DFC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9617" w:type="dxa"/>
            <w:gridSpan w:val="9"/>
            <w:vAlign w:val="center"/>
          </w:tcPr>
          <w:p w14:paraId="3DF18749">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合计人民币（小写）：</w:t>
            </w:r>
          </w:p>
        </w:tc>
      </w:tr>
      <w:tr w14:paraId="0566D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9617" w:type="dxa"/>
            <w:gridSpan w:val="9"/>
            <w:vAlign w:val="center"/>
          </w:tcPr>
          <w:p w14:paraId="256DEE97">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合计人民币（大写）：</w:t>
            </w:r>
          </w:p>
        </w:tc>
      </w:tr>
      <w:tr w14:paraId="1ED7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9617" w:type="dxa"/>
            <w:gridSpan w:val="9"/>
            <w:vAlign w:val="center"/>
          </w:tcPr>
          <w:p w14:paraId="55725945">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备注：</w:t>
            </w:r>
          </w:p>
        </w:tc>
      </w:tr>
      <w:tr w14:paraId="2ED32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958" w:hRule="atLeast"/>
        </w:trPr>
        <w:tc>
          <w:tcPr>
            <w:tcW w:w="9617" w:type="dxa"/>
            <w:gridSpan w:val="9"/>
            <w:vAlign w:val="center"/>
          </w:tcPr>
          <w:p w14:paraId="50F8FBC2">
            <w:pPr>
              <w:numPr>
                <w:ilvl w:val="0"/>
                <w:numId w:val="2"/>
              </w:num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质量要求和技术标准</w:t>
            </w:r>
          </w:p>
          <w:p w14:paraId="7ADF1F82">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乙方提供的商品必须是全新的，完全符合国家有关技术标准，乙方的质量保证及售后服务承诺如下：</w:t>
            </w:r>
          </w:p>
          <w:p w14:paraId="5CC8BCDB">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（一）产品质量保证期</w:t>
            </w:r>
          </w:p>
          <w:p w14:paraId="1C01F680">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（二）售后服务内容</w:t>
            </w:r>
          </w:p>
          <w:p w14:paraId="125A5748">
            <w:pPr>
              <w:spacing w:line="276" w:lineRule="auto"/>
              <w:rPr>
                <w:rFonts w:ascii="方正仿宋_GBK" w:hAnsi="宋体" w:eastAsia="方正仿宋_GBK"/>
                <w:color w:val="auto"/>
                <w:sz w:val="24"/>
                <w:szCs w:val="24"/>
                <w:highlight w:val="none"/>
              </w:rPr>
            </w:pPr>
          </w:p>
        </w:tc>
      </w:tr>
      <w:tr w14:paraId="6565C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617" w:hRule="atLeast"/>
        </w:trPr>
        <w:tc>
          <w:tcPr>
            <w:tcW w:w="9617" w:type="dxa"/>
            <w:gridSpan w:val="9"/>
            <w:vAlign w:val="center"/>
          </w:tcPr>
          <w:p w14:paraId="74FCFE28">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二、随机备品、附件、工具数量及供应方法</w:t>
            </w:r>
          </w:p>
          <w:p w14:paraId="28AF3A8C">
            <w:pPr>
              <w:spacing w:line="276" w:lineRule="auto"/>
              <w:rPr>
                <w:rFonts w:ascii="方正仿宋_GBK" w:hAnsi="宋体" w:eastAsia="方正仿宋_GBK"/>
                <w:color w:val="auto"/>
                <w:sz w:val="24"/>
                <w:szCs w:val="24"/>
                <w:highlight w:val="none"/>
              </w:rPr>
            </w:pPr>
          </w:p>
        </w:tc>
      </w:tr>
      <w:tr w14:paraId="6F6CF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555" w:hRule="atLeast"/>
        </w:trPr>
        <w:tc>
          <w:tcPr>
            <w:tcW w:w="9617" w:type="dxa"/>
            <w:gridSpan w:val="9"/>
            <w:vAlign w:val="center"/>
          </w:tcPr>
          <w:p w14:paraId="0C0EEF3A">
            <w:pPr>
              <w:numPr>
                <w:ilvl w:val="0"/>
                <w:numId w:val="2"/>
              </w:num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交提货方式</w:t>
            </w:r>
          </w:p>
          <w:p w14:paraId="33FC4196">
            <w:pPr>
              <w:spacing w:line="276" w:lineRule="auto"/>
              <w:rPr>
                <w:rFonts w:ascii="方正仿宋_GBK" w:hAnsi="宋体" w:eastAsia="方正仿宋_GBK"/>
                <w:color w:val="auto"/>
                <w:sz w:val="24"/>
                <w:szCs w:val="24"/>
                <w:highlight w:val="none"/>
              </w:rPr>
            </w:pPr>
          </w:p>
        </w:tc>
      </w:tr>
      <w:tr w14:paraId="5B4A9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32" w:type="dxa"/>
            <w:gridSpan w:val="10"/>
            <w:vAlign w:val="center"/>
          </w:tcPr>
          <w:p w14:paraId="422DF325">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四、验收标准、方法</w:t>
            </w:r>
          </w:p>
          <w:p w14:paraId="77D5AC94">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如有异议，请于 5 日内以书面意见提出。</w:t>
            </w:r>
          </w:p>
        </w:tc>
      </w:tr>
      <w:tr w14:paraId="52271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32" w:type="dxa"/>
            <w:gridSpan w:val="10"/>
            <w:vAlign w:val="center"/>
          </w:tcPr>
          <w:p w14:paraId="579BA11E">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五、履约保证金</w:t>
            </w:r>
          </w:p>
          <w:p w14:paraId="0880D990">
            <w:pPr>
              <w:spacing w:line="276" w:lineRule="auto"/>
              <w:rPr>
                <w:rFonts w:ascii="方正仿宋_GBK" w:hAnsi="宋体" w:eastAsia="方正仿宋_GBK"/>
                <w:color w:val="auto"/>
                <w:sz w:val="24"/>
                <w:szCs w:val="24"/>
                <w:highlight w:val="none"/>
              </w:rPr>
            </w:pPr>
          </w:p>
        </w:tc>
      </w:tr>
      <w:tr w14:paraId="07AC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632" w:type="dxa"/>
            <w:gridSpan w:val="10"/>
            <w:vAlign w:val="center"/>
          </w:tcPr>
          <w:p w14:paraId="41D2FFB1">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六、付款方式</w:t>
            </w:r>
          </w:p>
          <w:p w14:paraId="56A80AA2">
            <w:pPr>
              <w:spacing w:line="276" w:lineRule="auto"/>
              <w:rPr>
                <w:rFonts w:ascii="方正仿宋_GBK" w:hAnsi="宋体" w:eastAsia="方正仿宋_GBK"/>
                <w:color w:val="auto"/>
                <w:sz w:val="24"/>
                <w:szCs w:val="24"/>
                <w:highlight w:val="none"/>
              </w:rPr>
            </w:pPr>
          </w:p>
        </w:tc>
      </w:tr>
      <w:tr w14:paraId="66167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632" w:type="dxa"/>
            <w:gridSpan w:val="10"/>
            <w:vAlign w:val="center"/>
          </w:tcPr>
          <w:p w14:paraId="096DF536">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七、违约责任</w:t>
            </w:r>
          </w:p>
          <w:p w14:paraId="5A64BF94">
            <w:pPr>
              <w:spacing w:line="276" w:lineRule="auto"/>
              <w:rPr>
                <w:rFonts w:ascii="方正仿宋_GBK" w:hAnsi="宋体" w:eastAsia="方正仿宋_GBK"/>
                <w:color w:val="auto"/>
                <w:sz w:val="24"/>
                <w:szCs w:val="24"/>
                <w:highlight w:val="none"/>
              </w:rPr>
            </w:pPr>
          </w:p>
        </w:tc>
      </w:tr>
      <w:tr w14:paraId="39A7E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trPr>
        <w:tc>
          <w:tcPr>
            <w:tcW w:w="9632" w:type="dxa"/>
            <w:gridSpan w:val="10"/>
            <w:vAlign w:val="center"/>
          </w:tcPr>
          <w:p w14:paraId="079F6FFB">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八、其他约定事项</w:t>
            </w:r>
          </w:p>
          <w:p w14:paraId="0A97A636">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（一）招标文件及其补遗文件、投标文件和承诺是本合同不可分割的部分。</w:t>
            </w:r>
          </w:p>
          <w:p w14:paraId="76D017AB">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（二）本合同如发生争议由双方协商解决，协商不成向甲方所在人民法院提请诉讼。</w:t>
            </w:r>
          </w:p>
          <w:p w14:paraId="2828E1D9">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（三）本合同一式陆份，甲方肆份，乙方贰份，具同等法律效力。</w:t>
            </w:r>
          </w:p>
          <w:p w14:paraId="436D1CDF">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（四）甲方在中华人民共和国境内使用乙方提供的货物及服务时免受第三方提出的侵犯其专利权或其它知识产权的起诉。如果第三方提出侵权指控，乙方应承担由此而引起的一切法律责任和费用。</w:t>
            </w:r>
          </w:p>
          <w:p w14:paraId="4BF96516">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（五）其他：无</w:t>
            </w:r>
          </w:p>
        </w:tc>
      </w:tr>
      <w:tr w14:paraId="7E17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4649" w:type="dxa"/>
            <w:gridSpan w:val="5"/>
            <w:vAlign w:val="center"/>
          </w:tcPr>
          <w:p w14:paraId="78762933">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甲方：重庆工商大学</w:t>
            </w:r>
          </w:p>
          <w:p w14:paraId="68179006">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地址：重庆市南岸区学府大道19号</w:t>
            </w:r>
          </w:p>
          <w:p w14:paraId="6AFD11D1">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联系电话：023-62769774</w:t>
            </w:r>
          </w:p>
          <w:p w14:paraId="09A15E63">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开户行：工行重庆南岸学府支行</w:t>
            </w:r>
          </w:p>
          <w:p w14:paraId="0EAEBF54">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账号：3100027609024907533</w:t>
            </w:r>
          </w:p>
          <w:p w14:paraId="60EEB84E">
            <w:pPr>
              <w:spacing w:line="276" w:lineRule="auto"/>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纳税人识别号:125000007428748822</w:t>
            </w:r>
          </w:p>
          <w:p w14:paraId="41216A6B">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法定代表人：</w:t>
            </w:r>
          </w:p>
          <w:p w14:paraId="39FC5BCB">
            <w:pPr>
              <w:spacing w:line="276" w:lineRule="auto"/>
              <w:rPr>
                <w:rFonts w:ascii="方正仿宋_GBK" w:hAnsi="宋体" w:eastAsia="方正仿宋_GBK"/>
                <w:color w:val="auto"/>
                <w:sz w:val="24"/>
                <w:szCs w:val="24"/>
                <w:highlight w:val="none"/>
              </w:rPr>
            </w:pPr>
          </w:p>
          <w:p w14:paraId="215A5B2E">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授权代表：</w:t>
            </w:r>
          </w:p>
        </w:tc>
        <w:tc>
          <w:tcPr>
            <w:tcW w:w="4983" w:type="dxa"/>
            <w:gridSpan w:val="5"/>
            <w:vAlign w:val="center"/>
          </w:tcPr>
          <w:p w14:paraId="2268C4C9">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乙方：</w:t>
            </w:r>
          </w:p>
          <w:p w14:paraId="28521B07">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地址： </w:t>
            </w:r>
          </w:p>
          <w:p w14:paraId="70E3A45F">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联系电话：</w:t>
            </w:r>
          </w:p>
          <w:p w14:paraId="6825BFA1">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开户行： </w:t>
            </w:r>
          </w:p>
          <w:p w14:paraId="0B356BB8">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账号：</w:t>
            </w:r>
          </w:p>
          <w:p w14:paraId="1B72185C">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纳税人识别号:</w:t>
            </w:r>
          </w:p>
          <w:p w14:paraId="031D42D7">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法定代表人：</w:t>
            </w:r>
          </w:p>
          <w:p w14:paraId="1499D52D">
            <w:pPr>
              <w:spacing w:line="276" w:lineRule="auto"/>
              <w:rPr>
                <w:rFonts w:ascii="方正仿宋_GBK" w:hAnsi="宋体" w:eastAsia="方正仿宋_GBK"/>
                <w:color w:val="auto"/>
                <w:sz w:val="24"/>
                <w:szCs w:val="24"/>
                <w:highlight w:val="none"/>
              </w:rPr>
            </w:pPr>
          </w:p>
          <w:p w14:paraId="6C93D320">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授权代表：</w:t>
            </w:r>
          </w:p>
        </w:tc>
      </w:tr>
      <w:tr w14:paraId="65534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9632" w:type="dxa"/>
            <w:gridSpan w:val="10"/>
            <w:vAlign w:val="center"/>
          </w:tcPr>
          <w:p w14:paraId="5F83FB7A">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备注：技术参数，培训方案，售后服务能力和优惠承诺，备品备件及耗材清单</w:t>
            </w:r>
          </w:p>
        </w:tc>
      </w:tr>
    </w:tbl>
    <w:p w14:paraId="48072772">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签约时间：     年   月   日                签约地点：重庆工商大学</w:t>
      </w:r>
    </w:p>
    <w:p w14:paraId="55812258">
      <w:pPr>
        <w:spacing w:line="276" w:lineRule="auto"/>
        <w:outlineLvl w:val="1"/>
        <w:rPr>
          <w:rFonts w:ascii="方正仿宋_GBK" w:hAnsi="宋体" w:eastAsia="方正仿宋_GBK"/>
          <w:b/>
          <w:color w:val="auto"/>
          <w:sz w:val="24"/>
          <w:szCs w:val="24"/>
          <w:highlight w:val="none"/>
        </w:rPr>
      </w:pPr>
      <w:r>
        <w:rPr>
          <w:rFonts w:hint="eastAsia" w:ascii="方正仿宋_GBK" w:eastAsia="方正仿宋_GBK"/>
          <w:color w:val="auto"/>
          <w:sz w:val="24"/>
          <w:szCs w:val="24"/>
          <w:highlight w:val="none"/>
        </w:rPr>
        <w:br w:type="page"/>
      </w:r>
      <w:bookmarkStart w:id="195" w:name="_Toc5567252"/>
      <w:r>
        <w:rPr>
          <w:rFonts w:hint="eastAsia" w:ascii="方正仿宋_GBK" w:hAnsi="宋体" w:eastAsia="方正仿宋_GBK"/>
          <w:b/>
          <w:color w:val="auto"/>
          <w:sz w:val="24"/>
          <w:szCs w:val="24"/>
          <w:highlight w:val="none"/>
        </w:rPr>
        <w:t>二、廉洁协议格式：</w:t>
      </w:r>
      <w:bookmarkEnd w:id="195"/>
    </w:p>
    <w:p w14:paraId="560F7351">
      <w:pPr>
        <w:snapToGrid w:val="0"/>
        <w:spacing w:line="360" w:lineRule="auto"/>
        <w:jc w:val="center"/>
        <w:rPr>
          <w:rFonts w:ascii="仿宋" w:hAnsi="仿宋" w:eastAsia="仿宋" w:cs="仿宋"/>
          <w:b/>
          <w:bCs/>
          <w:color w:val="auto"/>
          <w:sz w:val="32"/>
          <w:szCs w:val="44"/>
          <w:highlight w:val="none"/>
        </w:rPr>
      </w:pPr>
      <w:r>
        <w:rPr>
          <w:rFonts w:hint="eastAsia" w:ascii="仿宋" w:hAnsi="仿宋" w:eastAsia="仿宋" w:cs="仿宋"/>
          <w:b/>
          <w:bCs/>
          <w:color w:val="auto"/>
          <w:sz w:val="32"/>
          <w:szCs w:val="44"/>
          <w:highlight w:val="none"/>
        </w:rPr>
        <w:t>重庆工商大学货物服务类采购廉洁协议</w:t>
      </w:r>
    </w:p>
    <w:p w14:paraId="29C7D31A">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71FA5CC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TW"/>
        </w:rPr>
        <w:t>采购项目编号：</w:t>
      </w:r>
      <w:r>
        <w:rPr>
          <w:rFonts w:hint="eastAsia" w:ascii="仿宋" w:hAnsi="仿宋" w:eastAsia="仿宋" w:cs="仿宋"/>
          <w:color w:val="auto"/>
          <w:sz w:val="24"/>
          <w:szCs w:val="24"/>
          <w:highlight w:val="none"/>
        </w:rPr>
        <w:t>）</w:t>
      </w:r>
    </w:p>
    <w:p w14:paraId="2CC5C09E">
      <w:pPr>
        <w:spacing w:line="360" w:lineRule="auto"/>
        <w:rPr>
          <w:rFonts w:ascii="仿宋" w:hAnsi="仿宋" w:eastAsia="仿宋" w:cs="仿宋"/>
          <w:color w:val="auto"/>
          <w:sz w:val="24"/>
          <w:szCs w:val="24"/>
          <w:highlight w:val="none"/>
        </w:rPr>
      </w:pPr>
    </w:p>
    <w:tbl>
      <w:tblPr>
        <w:tblStyle w:val="21"/>
        <w:tblW w:w="101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30"/>
        <w:gridCol w:w="5085"/>
      </w:tblGrid>
      <w:tr w14:paraId="5704C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jc w:val="center"/>
        </w:trPr>
        <w:tc>
          <w:tcPr>
            <w:tcW w:w="5030" w:type="dxa"/>
          </w:tcPr>
          <w:p w14:paraId="397B3927">
            <w:pPr>
              <w:tabs>
                <w:tab w:val="left" w:pos="5387"/>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需方：</w:t>
            </w:r>
            <w:r>
              <w:rPr>
                <w:rFonts w:hint="eastAsia" w:ascii="仿宋" w:hAnsi="仿宋" w:eastAsia="仿宋" w:cs="仿宋"/>
                <w:color w:val="auto"/>
                <w:sz w:val="24"/>
                <w:szCs w:val="24"/>
                <w:highlight w:val="none"/>
                <w:u w:val="single"/>
              </w:rPr>
              <w:t>重庆工商大学</w:t>
            </w:r>
          </w:p>
        </w:tc>
        <w:tc>
          <w:tcPr>
            <w:tcW w:w="5085" w:type="dxa"/>
          </w:tcPr>
          <w:p w14:paraId="474C5925">
            <w:pPr>
              <w:tabs>
                <w:tab w:val="left" w:pos="5387"/>
              </w:tabs>
              <w:spacing w:line="360" w:lineRule="auto"/>
              <w:ind w:left="840" w:hanging="840" w:hangingChars="350"/>
              <w:rPr>
                <w:rFonts w:ascii="仿宋" w:hAnsi="仿宋" w:eastAsia="仿宋" w:cs="仿宋"/>
                <w:color w:val="auto"/>
                <w:highlight w:val="none"/>
                <w:u w:val="single"/>
              </w:rPr>
            </w:pPr>
            <w:r>
              <w:rPr>
                <w:rFonts w:hint="eastAsia" w:ascii="仿宋" w:hAnsi="仿宋" w:eastAsia="仿宋" w:cs="仿宋"/>
                <w:color w:val="auto"/>
                <w:sz w:val="24"/>
                <w:szCs w:val="24"/>
                <w:highlight w:val="none"/>
              </w:rPr>
              <w:t>供方：</w:t>
            </w:r>
            <w:r>
              <w:rPr>
                <w:rFonts w:hint="eastAsia" w:ascii="仿宋" w:hAnsi="仿宋" w:eastAsia="仿宋" w:cs="仿宋"/>
                <w:color w:val="auto"/>
                <w:sz w:val="24"/>
                <w:szCs w:val="24"/>
                <w:highlight w:val="none"/>
                <w:u w:val="single"/>
              </w:rPr>
              <w:t xml:space="preserve">               </w:t>
            </w:r>
          </w:p>
        </w:tc>
      </w:tr>
    </w:tbl>
    <w:p w14:paraId="6C7961A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07A4D922">
      <w:pPr>
        <w:spacing w:line="360" w:lineRule="auto"/>
        <w:ind w:firstLine="57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（一）需供双方应当自觉遵守国家有关廉政建设的法律法规，杜绝商业贿赂和不正当竞争。</w:t>
      </w:r>
    </w:p>
    <w:p w14:paraId="5A2A9224">
      <w:pPr>
        <w:spacing w:line="360" w:lineRule="auto"/>
        <w:ind w:firstLine="57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2E355009">
      <w:pPr>
        <w:spacing w:line="360" w:lineRule="auto"/>
        <w:ind w:firstLine="57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4E4C44C2">
      <w:pPr>
        <w:spacing w:line="360" w:lineRule="auto"/>
        <w:ind w:firstLine="57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（四）需方需求部门应加强采购项目的后续履约管理，做好到货验收，积极为供方进场履约提供相应保障，积极配合供方进行安装调试。</w:t>
      </w:r>
      <w:r>
        <w:rPr>
          <w:rFonts w:hint="eastAsia" w:ascii="仿宋" w:hAnsi="仿宋" w:eastAsia="仿宋" w:cs="仿宋"/>
          <w:color w:val="auto"/>
          <w:sz w:val="24"/>
          <w:szCs w:val="24"/>
          <w:highlight w:val="none"/>
          <w:lang w:val="zh-TW"/>
        </w:rPr>
        <w:t>若到货产品品牌、型号、质量、样式及规格参数等与合同、采购文件的规定不符的，供方不得进行设备安装。</w:t>
      </w:r>
      <w:r>
        <w:rPr>
          <w:rFonts w:hint="eastAsia" w:ascii="仿宋" w:hAnsi="仿宋" w:eastAsia="仿宋" w:cs="仿宋"/>
          <w:color w:val="auto"/>
          <w:sz w:val="24"/>
          <w:szCs w:val="24"/>
          <w:highlight w:val="none"/>
        </w:rPr>
        <w:t>需方资产管理部门或考核牵头部门应严格按照合同与招标（采购）文件内容进行验收或考核，双方不得出现未达到验收或考核条件弄虚作假以致验收考核虚假通过等情形。</w:t>
      </w:r>
    </w:p>
    <w:p w14:paraId="5EF697FF">
      <w:pPr>
        <w:spacing w:line="360" w:lineRule="auto"/>
        <w:ind w:firstLine="57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35320374">
      <w:pPr>
        <w:spacing w:line="360" w:lineRule="auto"/>
        <w:ind w:firstLine="57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（六）供方不得邀请需方相关人员及其近亲属参加宴请、健身和娱乐活动，不得赠送回扣、礼金、有价证券、贵重物品和好处费、感谢费等，不得代为报销应由需方或个人支付的费用。</w:t>
      </w:r>
    </w:p>
    <w:p w14:paraId="5ABB4F9B">
      <w:pPr>
        <w:spacing w:line="360" w:lineRule="auto"/>
        <w:ind w:firstLine="57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5EE9DEAC">
      <w:pPr>
        <w:spacing w:line="360" w:lineRule="auto"/>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（八）供需双方均应分别加强对相关人员廉洁教育，强化人员法纪意识，杜绝行贿、受贿、索贿（变相索贿）等违法乱纪行为发生，坚守纪律红线、法律准线、道德底线、责任钢线。</w:t>
      </w:r>
    </w:p>
    <w:p w14:paraId="4D1065DE">
      <w:pPr>
        <w:spacing w:line="360" w:lineRule="auto"/>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（九）需方相关人员包含但不限于需方需求部门、归口部门、考核牵头部门、采购部门、资产管理部门等相关人员。</w:t>
      </w:r>
    </w:p>
    <w:p w14:paraId="0920D962">
      <w:pPr>
        <w:spacing w:line="360" w:lineRule="auto"/>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（十）本协议作为采购合同的组成部分，具有同等法律效力。此协议一式叁份，需方贰份，供方壹份，自各方签字后生效。</w:t>
      </w:r>
    </w:p>
    <w:p w14:paraId="4C402F03">
      <w:pPr>
        <w:tabs>
          <w:tab w:val="left" w:pos="5387"/>
        </w:tabs>
        <w:spacing w:line="360" w:lineRule="auto"/>
        <w:rPr>
          <w:rFonts w:ascii="仿宋" w:hAnsi="仿宋" w:eastAsia="仿宋" w:cs="仿宋"/>
          <w:color w:val="auto"/>
          <w:sz w:val="24"/>
          <w:szCs w:val="24"/>
          <w:highlight w:val="none"/>
        </w:rPr>
      </w:pPr>
    </w:p>
    <w:tbl>
      <w:tblPr>
        <w:tblStyle w:val="21"/>
        <w:tblW w:w="101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30"/>
        <w:gridCol w:w="5085"/>
      </w:tblGrid>
      <w:tr w14:paraId="18A80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5030" w:type="dxa"/>
          </w:tcPr>
          <w:p w14:paraId="55585896">
            <w:pPr>
              <w:tabs>
                <w:tab w:val="left" w:pos="5387"/>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需方：重庆工商大学（盖章）</w:t>
            </w:r>
          </w:p>
        </w:tc>
        <w:tc>
          <w:tcPr>
            <w:tcW w:w="5085" w:type="dxa"/>
          </w:tcPr>
          <w:p w14:paraId="394B4BCF">
            <w:pPr>
              <w:tabs>
                <w:tab w:val="left" w:pos="5387"/>
              </w:tabs>
              <w:spacing w:line="360" w:lineRule="auto"/>
              <w:ind w:left="840" w:hanging="840" w:hangingChars="350"/>
              <w:rPr>
                <w:rFonts w:ascii="仿宋" w:hAnsi="仿宋" w:eastAsia="仿宋" w:cs="仿宋"/>
                <w:color w:val="auto"/>
                <w:highlight w:val="none"/>
              </w:rPr>
            </w:pPr>
            <w:r>
              <w:rPr>
                <w:rFonts w:hint="eastAsia" w:ascii="仿宋" w:hAnsi="仿宋" w:eastAsia="仿宋" w:cs="仿宋"/>
                <w:color w:val="auto"/>
                <w:sz w:val="24"/>
                <w:szCs w:val="24"/>
                <w:highlight w:val="none"/>
              </w:rPr>
              <w:t>供方：（盖章）</w:t>
            </w:r>
          </w:p>
        </w:tc>
      </w:tr>
      <w:tr w14:paraId="301A4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30" w:type="dxa"/>
          </w:tcPr>
          <w:p w14:paraId="01CC5762">
            <w:pPr>
              <w:tabs>
                <w:tab w:val="left" w:pos="5387"/>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采购与招投标管理中心（签字）：</w:t>
            </w:r>
          </w:p>
          <w:p w14:paraId="1740EFD8">
            <w:pPr>
              <w:tabs>
                <w:tab w:val="left" w:pos="5387"/>
              </w:tabs>
              <w:spacing w:line="360" w:lineRule="auto"/>
              <w:rPr>
                <w:rFonts w:ascii="仿宋" w:hAnsi="仿宋" w:eastAsia="仿宋" w:cs="仿宋"/>
                <w:color w:val="auto"/>
                <w:sz w:val="24"/>
                <w:szCs w:val="24"/>
                <w:highlight w:val="none"/>
              </w:rPr>
            </w:pPr>
          </w:p>
        </w:tc>
        <w:tc>
          <w:tcPr>
            <w:tcW w:w="5085" w:type="dxa"/>
          </w:tcPr>
          <w:p w14:paraId="313DEF83">
            <w:pPr>
              <w:tabs>
                <w:tab w:val="left" w:pos="5387"/>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p>
        </w:tc>
      </w:tr>
      <w:tr w14:paraId="497BC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7" w:hRule="atLeast"/>
          <w:jc w:val="center"/>
        </w:trPr>
        <w:tc>
          <w:tcPr>
            <w:tcW w:w="5030" w:type="dxa"/>
          </w:tcPr>
          <w:p w14:paraId="7C3CC3C2">
            <w:pPr>
              <w:tabs>
                <w:tab w:val="left" w:pos="5387"/>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需求部门（签字）：</w:t>
            </w:r>
          </w:p>
          <w:p w14:paraId="422EED5A">
            <w:pPr>
              <w:tabs>
                <w:tab w:val="left" w:pos="5387"/>
              </w:tabs>
              <w:spacing w:line="360" w:lineRule="auto"/>
              <w:rPr>
                <w:rFonts w:ascii="仿宋" w:hAnsi="仿宋" w:eastAsia="仿宋" w:cs="仿宋"/>
                <w:color w:val="auto"/>
                <w:highlight w:val="none"/>
              </w:rPr>
            </w:pPr>
          </w:p>
        </w:tc>
        <w:tc>
          <w:tcPr>
            <w:tcW w:w="5085" w:type="dxa"/>
          </w:tcPr>
          <w:p w14:paraId="1D54638C">
            <w:pPr>
              <w:tabs>
                <w:tab w:val="left" w:pos="5387"/>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授权代表（签字）：</w:t>
            </w:r>
          </w:p>
        </w:tc>
      </w:tr>
      <w:tr w14:paraId="743CE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7" w:hRule="atLeast"/>
          <w:jc w:val="center"/>
        </w:trPr>
        <w:tc>
          <w:tcPr>
            <w:tcW w:w="5030" w:type="dxa"/>
          </w:tcPr>
          <w:p w14:paraId="2BAD15F0">
            <w:pPr>
              <w:tabs>
                <w:tab w:val="left" w:pos="5387"/>
              </w:tabs>
              <w:spacing w:line="360" w:lineRule="auto"/>
              <w:rPr>
                <w:rFonts w:ascii="仿宋" w:hAnsi="仿宋" w:eastAsia="仿宋" w:cs="仿宋"/>
                <w:color w:val="auto"/>
                <w:highlight w:val="none"/>
              </w:rPr>
            </w:pPr>
            <w:r>
              <w:rPr>
                <w:rFonts w:hint="eastAsia" w:ascii="仿宋" w:hAnsi="仿宋" w:eastAsia="仿宋" w:cs="仿宋"/>
                <w:color w:val="auto"/>
                <w:sz w:val="24"/>
                <w:szCs w:val="24"/>
                <w:highlight w:val="none"/>
              </w:rPr>
              <w:t>考核牵头部门（签字）：</w:t>
            </w:r>
          </w:p>
        </w:tc>
        <w:tc>
          <w:tcPr>
            <w:tcW w:w="5085" w:type="dxa"/>
          </w:tcPr>
          <w:p w14:paraId="2A2F50D6">
            <w:pPr>
              <w:tabs>
                <w:tab w:val="left" w:pos="5387"/>
              </w:tabs>
              <w:spacing w:line="360" w:lineRule="auto"/>
              <w:rPr>
                <w:rFonts w:ascii="仿宋" w:hAnsi="仿宋" w:eastAsia="仿宋" w:cs="仿宋"/>
                <w:color w:val="auto"/>
                <w:sz w:val="24"/>
                <w:szCs w:val="24"/>
                <w:highlight w:val="none"/>
              </w:rPr>
            </w:pPr>
          </w:p>
        </w:tc>
      </w:tr>
    </w:tbl>
    <w:p w14:paraId="5EA401CE">
      <w:pPr>
        <w:spacing w:line="276" w:lineRule="auto"/>
        <w:rPr>
          <w:rFonts w:ascii="方正仿宋_GBK" w:hAnsi="宋体" w:eastAsia="方正仿宋_GBK"/>
          <w:color w:val="auto"/>
          <w:sz w:val="24"/>
          <w:szCs w:val="24"/>
          <w:highlight w:val="none"/>
        </w:rPr>
      </w:pPr>
    </w:p>
    <w:p w14:paraId="54E6240F">
      <w:pPr>
        <w:rPr>
          <w:rFonts w:ascii="方正仿宋_GBK" w:eastAsia="方正仿宋_GBK"/>
          <w:b/>
          <w:bCs/>
          <w:color w:val="auto"/>
          <w:sz w:val="24"/>
          <w:szCs w:val="24"/>
          <w:highlight w:val="none"/>
        </w:rPr>
      </w:pPr>
      <w:r>
        <w:rPr>
          <w:rFonts w:hint="eastAsia" w:ascii="方正仿宋_GBK" w:eastAsia="方正仿宋_GBK"/>
          <w:b/>
          <w:bCs/>
          <w:color w:val="auto"/>
          <w:sz w:val="24"/>
          <w:szCs w:val="24"/>
          <w:highlight w:val="none"/>
        </w:rPr>
        <w:br w:type="page"/>
      </w:r>
    </w:p>
    <w:p w14:paraId="1C0246B1">
      <w:pPr>
        <w:pStyle w:val="4"/>
        <w:spacing w:before="0" w:beforeLines="0" w:after="0" w:afterLines="0" w:line="276" w:lineRule="auto"/>
        <w:rPr>
          <w:rFonts w:ascii="方正仿宋_GBK" w:hAnsi="宋体" w:eastAsia="方正仿宋_GBK"/>
          <w:b/>
          <w:color w:val="auto"/>
          <w:szCs w:val="44"/>
          <w:highlight w:val="none"/>
        </w:rPr>
      </w:pPr>
      <w:bookmarkStart w:id="196" w:name="_Toc31828"/>
      <w:bookmarkStart w:id="197" w:name="_Toc59621317"/>
      <w:bookmarkStart w:id="198" w:name="_Toc16144"/>
      <w:bookmarkStart w:id="199" w:name="_Toc129178901"/>
      <w:bookmarkStart w:id="200" w:name="_Toc115877725"/>
      <w:r>
        <w:rPr>
          <w:rFonts w:hint="eastAsia" w:ascii="方正仿宋_GBK" w:hAnsi="宋体" w:eastAsia="方正仿宋_GBK"/>
          <w:b/>
          <w:color w:val="auto"/>
          <w:szCs w:val="44"/>
          <w:highlight w:val="none"/>
        </w:rPr>
        <w:t>第七篇  投标文件格式</w:t>
      </w:r>
      <w:bookmarkEnd w:id="196"/>
      <w:bookmarkEnd w:id="197"/>
      <w:bookmarkEnd w:id="198"/>
      <w:bookmarkEnd w:id="199"/>
      <w:bookmarkEnd w:id="200"/>
    </w:p>
    <w:p w14:paraId="1E5EB5B7">
      <w:pPr>
        <w:pStyle w:val="5"/>
        <w:spacing w:line="276" w:lineRule="auto"/>
        <w:ind w:firstLine="482" w:firstLineChars="200"/>
        <w:rPr>
          <w:rFonts w:ascii="方正仿宋_GBK" w:eastAsia="方正仿宋_GBK" w:cs="宋体"/>
          <w:b/>
          <w:color w:val="auto"/>
          <w:sz w:val="24"/>
          <w:szCs w:val="24"/>
          <w:highlight w:val="none"/>
        </w:rPr>
      </w:pPr>
      <w:bookmarkStart w:id="201" w:name="_Toc129178902"/>
      <w:bookmarkStart w:id="202" w:name="_Toc115877726"/>
      <w:bookmarkStart w:id="203" w:name="_Toc1569"/>
      <w:bookmarkStart w:id="204" w:name="_Toc19510"/>
      <w:r>
        <w:rPr>
          <w:rFonts w:hint="eastAsia" w:ascii="方正仿宋_GBK" w:eastAsia="方正仿宋_GBK" w:cs="宋体"/>
          <w:b/>
          <w:color w:val="auto"/>
          <w:sz w:val="24"/>
          <w:szCs w:val="24"/>
          <w:highlight w:val="none"/>
        </w:rPr>
        <w:t>一、经济文件</w:t>
      </w:r>
      <w:bookmarkEnd w:id="201"/>
      <w:bookmarkEnd w:id="202"/>
      <w:bookmarkEnd w:id="203"/>
      <w:bookmarkEnd w:id="204"/>
    </w:p>
    <w:p w14:paraId="326DF6E9">
      <w:pPr>
        <w:snapToGrid w:val="0"/>
        <w:spacing w:line="276" w:lineRule="auto"/>
        <w:ind w:firstLine="480" w:firstLineChars="200"/>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（一）开标一览表</w:t>
      </w:r>
    </w:p>
    <w:p w14:paraId="3FA622C9">
      <w:pPr>
        <w:snapToGrid w:val="0"/>
        <w:spacing w:line="276" w:lineRule="auto"/>
        <w:ind w:firstLine="480" w:firstLineChars="200"/>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（二）分项报价明细表</w:t>
      </w:r>
    </w:p>
    <w:p w14:paraId="63914033">
      <w:pPr>
        <w:pStyle w:val="5"/>
        <w:spacing w:line="276" w:lineRule="auto"/>
        <w:ind w:firstLine="482" w:firstLineChars="200"/>
        <w:rPr>
          <w:rFonts w:ascii="方正仿宋_GBK" w:eastAsia="方正仿宋_GBK" w:cs="宋体"/>
          <w:b/>
          <w:color w:val="auto"/>
          <w:sz w:val="24"/>
          <w:szCs w:val="24"/>
          <w:highlight w:val="none"/>
        </w:rPr>
      </w:pPr>
      <w:bookmarkStart w:id="205" w:name="_Toc115877727"/>
      <w:bookmarkStart w:id="206" w:name="_Toc129178903"/>
      <w:bookmarkStart w:id="207" w:name="_Toc5513"/>
      <w:bookmarkStart w:id="208" w:name="_Toc10450"/>
      <w:r>
        <w:rPr>
          <w:rFonts w:hint="eastAsia" w:ascii="方正仿宋_GBK" w:eastAsia="方正仿宋_GBK" w:cs="宋体"/>
          <w:b/>
          <w:color w:val="auto"/>
          <w:sz w:val="24"/>
          <w:szCs w:val="24"/>
          <w:highlight w:val="none"/>
        </w:rPr>
        <w:t>二、服务文件</w:t>
      </w:r>
      <w:bookmarkEnd w:id="205"/>
      <w:bookmarkEnd w:id="206"/>
      <w:bookmarkEnd w:id="207"/>
      <w:bookmarkEnd w:id="208"/>
    </w:p>
    <w:p w14:paraId="5658D3CB">
      <w:pPr>
        <w:snapToGrid w:val="0"/>
        <w:spacing w:line="276" w:lineRule="auto"/>
        <w:ind w:firstLine="480" w:firstLineChars="200"/>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（一）服务条款差异表</w:t>
      </w:r>
    </w:p>
    <w:p w14:paraId="28C208D6">
      <w:pPr>
        <w:snapToGrid w:val="0"/>
        <w:spacing w:line="276" w:lineRule="auto"/>
        <w:ind w:firstLine="480" w:firstLineChars="200"/>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（二）其他服务资料</w:t>
      </w:r>
    </w:p>
    <w:p w14:paraId="36D9B769">
      <w:pPr>
        <w:pStyle w:val="5"/>
        <w:spacing w:line="276" w:lineRule="auto"/>
        <w:ind w:firstLine="482" w:firstLineChars="200"/>
        <w:rPr>
          <w:rFonts w:ascii="方正仿宋_GBK" w:eastAsia="方正仿宋_GBK" w:cs="宋体"/>
          <w:b/>
          <w:color w:val="auto"/>
          <w:sz w:val="24"/>
          <w:szCs w:val="24"/>
          <w:highlight w:val="none"/>
        </w:rPr>
      </w:pPr>
      <w:bookmarkStart w:id="209" w:name="_Toc115877728"/>
      <w:bookmarkStart w:id="210" w:name="_Toc18057"/>
      <w:bookmarkStart w:id="211" w:name="_Toc129178904"/>
      <w:bookmarkStart w:id="212" w:name="_Toc25110"/>
      <w:r>
        <w:rPr>
          <w:rFonts w:hint="eastAsia" w:ascii="方正仿宋_GBK" w:eastAsia="方正仿宋_GBK" w:cs="宋体"/>
          <w:b/>
          <w:color w:val="auto"/>
          <w:sz w:val="24"/>
          <w:szCs w:val="24"/>
          <w:highlight w:val="none"/>
        </w:rPr>
        <w:t>三、商务文件</w:t>
      </w:r>
      <w:bookmarkEnd w:id="209"/>
      <w:bookmarkEnd w:id="210"/>
      <w:bookmarkEnd w:id="211"/>
      <w:bookmarkEnd w:id="212"/>
    </w:p>
    <w:p w14:paraId="595DFD6D">
      <w:pPr>
        <w:snapToGrid w:val="0"/>
        <w:spacing w:line="276" w:lineRule="auto"/>
        <w:ind w:firstLine="480" w:firstLineChars="200"/>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（一）投标函（格式）</w:t>
      </w:r>
    </w:p>
    <w:p w14:paraId="05D026FA">
      <w:pPr>
        <w:snapToGrid w:val="0"/>
        <w:spacing w:line="276" w:lineRule="auto"/>
        <w:ind w:firstLine="480" w:firstLineChars="200"/>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（二）商务条款差异表</w:t>
      </w:r>
    </w:p>
    <w:p w14:paraId="1D73F946">
      <w:pPr>
        <w:snapToGrid w:val="0"/>
        <w:spacing w:line="276" w:lineRule="auto"/>
        <w:ind w:firstLine="480" w:firstLineChars="200"/>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（三）其他商务资料</w:t>
      </w:r>
    </w:p>
    <w:p w14:paraId="052EAB9B">
      <w:pPr>
        <w:pStyle w:val="5"/>
        <w:spacing w:line="276" w:lineRule="auto"/>
        <w:ind w:firstLine="482" w:firstLineChars="200"/>
        <w:rPr>
          <w:rFonts w:ascii="方正仿宋_GBK" w:eastAsia="方正仿宋_GBK" w:cs="宋体"/>
          <w:b/>
          <w:color w:val="auto"/>
          <w:sz w:val="24"/>
          <w:szCs w:val="24"/>
          <w:highlight w:val="none"/>
        </w:rPr>
      </w:pPr>
      <w:bookmarkStart w:id="213" w:name="_Toc21425"/>
      <w:bookmarkStart w:id="214" w:name="_Toc115877729"/>
      <w:bookmarkStart w:id="215" w:name="_Toc18578"/>
      <w:bookmarkStart w:id="216" w:name="_Toc129178905"/>
      <w:r>
        <w:rPr>
          <w:rFonts w:hint="eastAsia" w:ascii="方正仿宋_GBK" w:eastAsia="方正仿宋_GBK" w:cs="宋体"/>
          <w:b/>
          <w:color w:val="auto"/>
          <w:sz w:val="24"/>
          <w:szCs w:val="24"/>
          <w:highlight w:val="none"/>
        </w:rPr>
        <w:t>四、其他</w:t>
      </w:r>
      <w:bookmarkEnd w:id="213"/>
      <w:bookmarkEnd w:id="214"/>
      <w:bookmarkEnd w:id="215"/>
      <w:bookmarkEnd w:id="216"/>
    </w:p>
    <w:p w14:paraId="6A79FD1F">
      <w:pPr>
        <w:snapToGrid w:val="0"/>
        <w:spacing w:line="276" w:lineRule="auto"/>
        <w:ind w:firstLine="480" w:firstLineChars="200"/>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其他与项目有关的资料（如有自附）</w:t>
      </w:r>
    </w:p>
    <w:p w14:paraId="64F087B8">
      <w:pPr>
        <w:pStyle w:val="5"/>
        <w:spacing w:line="276" w:lineRule="auto"/>
        <w:ind w:firstLine="482" w:firstLineChars="200"/>
        <w:rPr>
          <w:rFonts w:ascii="方正仿宋_GBK" w:eastAsia="方正仿宋_GBK" w:cs="宋体"/>
          <w:b/>
          <w:color w:val="auto"/>
          <w:sz w:val="24"/>
          <w:szCs w:val="24"/>
          <w:highlight w:val="none"/>
        </w:rPr>
      </w:pPr>
      <w:bookmarkStart w:id="217" w:name="_Toc115877730"/>
      <w:bookmarkStart w:id="218" w:name="_Toc129178906"/>
      <w:bookmarkStart w:id="219" w:name="_Toc15205"/>
      <w:bookmarkStart w:id="220" w:name="_Toc13953"/>
      <w:r>
        <w:rPr>
          <w:rFonts w:hint="eastAsia" w:ascii="方正仿宋_GBK" w:eastAsia="方正仿宋_GBK" w:cs="宋体"/>
          <w:b/>
          <w:color w:val="auto"/>
          <w:sz w:val="24"/>
          <w:szCs w:val="24"/>
          <w:highlight w:val="none"/>
        </w:rPr>
        <w:t>五、资格文件</w:t>
      </w:r>
      <w:bookmarkEnd w:id="217"/>
      <w:bookmarkEnd w:id="218"/>
      <w:bookmarkEnd w:id="219"/>
      <w:bookmarkEnd w:id="220"/>
    </w:p>
    <w:p w14:paraId="7A93888A">
      <w:pPr>
        <w:tabs>
          <w:tab w:val="left" w:pos="6300"/>
        </w:tabs>
        <w:snapToGrid w:val="0"/>
        <w:spacing w:line="276" w:lineRule="auto"/>
        <w:jc w:val="left"/>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（一）法人营业执照（副本）复印件</w:t>
      </w:r>
    </w:p>
    <w:p w14:paraId="08EA0927">
      <w:pPr>
        <w:tabs>
          <w:tab w:val="left" w:pos="6300"/>
        </w:tabs>
        <w:snapToGrid w:val="0"/>
        <w:spacing w:line="276" w:lineRule="auto"/>
        <w:jc w:val="left"/>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（二）法定代表人身份证明书（格式）</w:t>
      </w:r>
    </w:p>
    <w:p w14:paraId="156DC9C1">
      <w:pPr>
        <w:tabs>
          <w:tab w:val="left" w:pos="6300"/>
        </w:tabs>
        <w:snapToGrid w:val="0"/>
        <w:spacing w:line="276" w:lineRule="auto"/>
        <w:jc w:val="left"/>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（三）法定代表人授权委托书（格式）</w:t>
      </w:r>
    </w:p>
    <w:p w14:paraId="2FE1A783">
      <w:pPr>
        <w:tabs>
          <w:tab w:val="left" w:pos="6300"/>
        </w:tabs>
        <w:snapToGrid w:val="0"/>
        <w:spacing w:line="276" w:lineRule="auto"/>
        <w:jc w:val="left"/>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（四）基本资格条件承诺函（格式）</w:t>
      </w:r>
    </w:p>
    <w:p w14:paraId="7EE4217B">
      <w:pPr>
        <w:tabs>
          <w:tab w:val="left" w:pos="6300"/>
        </w:tabs>
        <w:snapToGrid w:val="0"/>
        <w:spacing w:line="276" w:lineRule="auto"/>
        <w:jc w:val="left"/>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（五）特定资格条件证书或证明文件（如有）</w:t>
      </w:r>
    </w:p>
    <w:p w14:paraId="10E5642C">
      <w:pPr>
        <w:tabs>
          <w:tab w:val="left" w:pos="6300"/>
        </w:tabs>
        <w:snapToGrid w:val="0"/>
        <w:spacing w:line="276" w:lineRule="auto"/>
        <w:jc w:val="left"/>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（六）投标保证金和招标文件购买费。</w:t>
      </w:r>
    </w:p>
    <w:p w14:paraId="4B40A275">
      <w:pPr>
        <w:spacing w:line="276" w:lineRule="auto"/>
        <w:rPr>
          <w:rFonts w:ascii="方正仿宋_GBK" w:eastAsia="方正仿宋_GBK"/>
          <w:b/>
          <w:color w:val="auto"/>
          <w:sz w:val="24"/>
          <w:szCs w:val="24"/>
          <w:highlight w:val="none"/>
        </w:rPr>
      </w:pPr>
      <w:r>
        <w:rPr>
          <w:rFonts w:hint="eastAsia" w:ascii="方正仿宋_GBK" w:eastAsia="方正仿宋_GBK"/>
          <w:color w:val="auto"/>
          <w:sz w:val="24"/>
          <w:szCs w:val="24"/>
          <w:highlight w:val="none"/>
        </w:rPr>
        <w:br w:type="page"/>
      </w:r>
      <w:bookmarkStart w:id="221" w:name="_Toc59621318"/>
      <w:bookmarkStart w:id="222" w:name="_Toc429584884"/>
      <w:r>
        <w:rPr>
          <w:rFonts w:hint="eastAsia" w:ascii="方正仿宋_GBK" w:eastAsia="方正仿宋_GBK"/>
          <w:b/>
          <w:color w:val="auto"/>
          <w:sz w:val="24"/>
          <w:szCs w:val="24"/>
          <w:highlight w:val="none"/>
        </w:rPr>
        <w:t>一、经济文件</w:t>
      </w:r>
      <w:bookmarkEnd w:id="221"/>
      <w:bookmarkEnd w:id="222"/>
    </w:p>
    <w:p w14:paraId="09A53E5F">
      <w:pPr>
        <w:snapToGrid w:val="0"/>
        <w:spacing w:line="276" w:lineRule="auto"/>
        <w:ind w:firstLine="480" w:firstLineChars="200"/>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（一）开标一览表（包1）</w:t>
      </w:r>
    </w:p>
    <w:p w14:paraId="23566A27">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项目编号：</w:t>
      </w:r>
    </w:p>
    <w:p w14:paraId="45331104">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招标项目名称：大米面粉</w:t>
      </w:r>
    </w:p>
    <w:tbl>
      <w:tblPr>
        <w:tblStyle w:val="20"/>
        <w:tblW w:w="5090" w:type="pct"/>
        <w:jc w:val="center"/>
        <w:tblLayout w:type="fixed"/>
        <w:tblCellMar>
          <w:top w:w="0" w:type="dxa"/>
          <w:left w:w="108" w:type="dxa"/>
          <w:bottom w:w="0" w:type="dxa"/>
          <w:right w:w="108" w:type="dxa"/>
        </w:tblCellMar>
      </w:tblPr>
      <w:tblGrid>
        <w:gridCol w:w="2336"/>
        <w:gridCol w:w="2600"/>
        <w:gridCol w:w="2858"/>
        <w:gridCol w:w="2007"/>
      </w:tblGrid>
      <w:tr w14:paraId="223E80F3">
        <w:tblPrEx>
          <w:tblCellMar>
            <w:top w:w="0" w:type="dxa"/>
            <w:left w:w="108" w:type="dxa"/>
            <w:bottom w:w="0" w:type="dxa"/>
            <w:right w:w="108" w:type="dxa"/>
          </w:tblCellMar>
        </w:tblPrEx>
        <w:trPr>
          <w:trHeight w:val="23" w:hRule="atLeast"/>
          <w:jc w:val="center"/>
        </w:trPr>
        <w:tc>
          <w:tcPr>
            <w:tcW w:w="2337" w:type="dxa"/>
            <w:tcBorders>
              <w:top w:val="single" w:color="000000" w:sz="4" w:space="0"/>
              <w:left w:val="single" w:color="000000" w:sz="4" w:space="0"/>
              <w:bottom w:val="single" w:color="000000" w:sz="4" w:space="0"/>
              <w:right w:val="single" w:color="000000" w:sz="4" w:space="0"/>
            </w:tcBorders>
            <w:vAlign w:val="center"/>
          </w:tcPr>
          <w:p w14:paraId="53209ECB">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供应商全称</w:t>
            </w:r>
          </w:p>
        </w:tc>
        <w:tc>
          <w:tcPr>
            <w:tcW w:w="7465" w:type="dxa"/>
            <w:gridSpan w:val="3"/>
            <w:tcBorders>
              <w:top w:val="single" w:color="000000" w:sz="4" w:space="0"/>
              <w:left w:val="nil"/>
              <w:bottom w:val="single" w:color="000000" w:sz="4" w:space="0"/>
              <w:right w:val="single" w:color="000000" w:sz="4" w:space="0"/>
            </w:tcBorders>
            <w:vAlign w:val="center"/>
          </w:tcPr>
          <w:p w14:paraId="2578B182">
            <w:pPr>
              <w:spacing w:line="480" w:lineRule="exact"/>
              <w:jc w:val="center"/>
              <w:rPr>
                <w:rFonts w:ascii="方正仿宋_GBK" w:hAnsi="方正仿宋_GBK" w:eastAsia="方正仿宋_GBK" w:cs="方正仿宋_GBK"/>
                <w:color w:val="auto"/>
                <w:sz w:val="24"/>
                <w:szCs w:val="24"/>
                <w:highlight w:val="none"/>
              </w:rPr>
            </w:pPr>
          </w:p>
        </w:tc>
      </w:tr>
      <w:tr w14:paraId="249FE7A3">
        <w:tblPrEx>
          <w:tblCellMar>
            <w:top w:w="0" w:type="dxa"/>
            <w:left w:w="108" w:type="dxa"/>
            <w:bottom w:w="0" w:type="dxa"/>
            <w:right w:w="108" w:type="dxa"/>
          </w:tblCellMar>
        </w:tblPrEx>
        <w:trPr>
          <w:trHeight w:val="23" w:hRule="atLeast"/>
          <w:jc w:val="center"/>
        </w:trPr>
        <w:tc>
          <w:tcPr>
            <w:tcW w:w="2337" w:type="dxa"/>
            <w:tcBorders>
              <w:top w:val="single" w:color="000000" w:sz="4" w:space="0"/>
              <w:left w:val="single" w:color="000000" w:sz="4" w:space="0"/>
              <w:bottom w:val="single" w:color="000000" w:sz="4" w:space="0"/>
              <w:right w:val="single" w:color="000000" w:sz="4" w:space="0"/>
            </w:tcBorders>
            <w:vAlign w:val="center"/>
          </w:tcPr>
          <w:p w14:paraId="52E5B102">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包号及名称</w:t>
            </w:r>
          </w:p>
        </w:tc>
        <w:tc>
          <w:tcPr>
            <w:tcW w:w="2600" w:type="dxa"/>
            <w:tcBorders>
              <w:top w:val="single" w:color="000000" w:sz="4" w:space="0"/>
              <w:left w:val="nil"/>
              <w:bottom w:val="single" w:color="000000" w:sz="4" w:space="0"/>
              <w:right w:val="single" w:color="000000" w:sz="4" w:space="0"/>
            </w:tcBorders>
            <w:vAlign w:val="center"/>
          </w:tcPr>
          <w:p w14:paraId="50C4858C">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供货周期</w:t>
            </w:r>
          </w:p>
        </w:tc>
        <w:tc>
          <w:tcPr>
            <w:tcW w:w="2858" w:type="dxa"/>
            <w:tcBorders>
              <w:top w:val="single" w:color="000000" w:sz="4" w:space="0"/>
              <w:left w:val="nil"/>
              <w:bottom w:val="single" w:color="000000" w:sz="4" w:space="0"/>
              <w:right w:val="single" w:color="000000" w:sz="4" w:space="0"/>
            </w:tcBorders>
            <w:vAlign w:val="center"/>
          </w:tcPr>
          <w:p w14:paraId="1E443450">
            <w:pPr>
              <w:widowControl/>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kern w:val="1"/>
                <w:sz w:val="24"/>
                <w:szCs w:val="24"/>
                <w:highlight w:val="none"/>
              </w:rPr>
              <w:t>预估总数量</w:t>
            </w:r>
          </w:p>
        </w:tc>
        <w:tc>
          <w:tcPr>
            <w:tcW w:w="2007" w:type="dxa"/>
            <w:tcBorders>
              <w:top w:val="single" w:color="000000" w:sz="4" w:space="0"/>
              <w:left w:val="nil"/>
              <w:bottom w:val="single" w:color="000000" w:sz="4" w:space="0"/>
              <w:right w:val="single" w:color="000000" w:sz="4" w:space="0"/>
            </w:tcBorders>
            <w:vAlign w:val="center"/>
          </w:tcPr>
          <w:p w14:paraId="39979C7B">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投标报价（折扣系数）（小写）</w:t>
            </w:r>
          </w:p>
          <w:p w14:paraId="085AF61A">
            <w:pPr>
              <w:spacing w:line="480" w:lineRule="exact"/>
              <w:jc w:val="center"/>
              <w:rPr>
                <w:rFonts w:ascii="方正仿宋_GBK" w:hAnsi="方正仿宋_GBK" w:eastAsia="方正仿宋_GBK" w:cs="方正仿宋_GBK"/>
                <w:color w:val="auto"/>
                <w:sz w:val="24"/>
                <w:szCs w:val="24"/>
                <w:highlight w:val="none"/>
              </w:rPr>
            </w:pPr>
          </w:p>
        </w:tc>
      </w:tr>
      <w:tr w14:paraId="4DB38CA6">
        <w:tblPrEx>
          <w:tblCellMar>
            <w:top w:w="0" w:type="dxa"/>
            <w:left w:w="108" w:type="dxa"/>
            <w:bottom w:w="0" w:type="dxa"/>
            <w:right w:w="108" w:type="dxa"/>
          </w:tblCellMar>
        </w:tblPrEx>
        <w:trPr>
          <w:trHeight w:val="1488" w:hRule="atLeast"/>
          <w:jc w:val="center"/>
        </w:trPr>
        <w:tc>
          <w:tcPr>
            <w:tcW w:w="2337" w:type="dxa"/>
            <w:tcBorders>
              <w:top w:val="single" w:color="000000" w:sz="4" w:space="0"/>
              <w:left w:val="single" w:color="000000" w:sz="4" w:space="0"/>
              <w:bottom w:val="single" w:color="000000" w:sz="4" w:space="0"/>
              <w:right w:val="single" w:color="000000" w:sz="4" w:space="0"/>
            </w:tcBorders>
            <w:vAlign w:val="center"/>
          </w:tcPr>
          <w:p w14:paraId="258627CA">
            <w:pPr>
              <w:widowControl/>
              <w:jc w:val="center"/>
              <w:textAlignment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kern w:val="0"/>
                <w:sz w:val="24"/>
                <w:szCs w:val="24"/>
                <w:highlight w:val="none"/>
                <w:lang w:bidi="ar"/>
              </w:rPr>
              <w:t>包1：</w:t>
            </w:r>
            <w:r>
              <w:rPr>
                <w:rFonts w:hint="eastAsia" w:ascii="方正仿宋_GBK" w:hAnsi="宋体" w:eastAsia="方正仿宋_GBK"/>
                <w:color w:val="auto"/>
                <w:sz w:val="24"/>
                <w:szCs w:val="24"/>
                <w:highlight w:val="none"/>
              </w:rPr>
              <w:t>大米面粉</w:t>
            </w:r>
          </w:p>
        </w:tc>
        <w:tc>
          <w:tcPr>
            <w:tcW w:w="2600" w:type="dxa"/>
            <w:tcBorders>
              <w:top w:val="single" w:color="000000" w:sz="4" w:space="0"/>
              <w:left w:val="nil"/>
              <w:right w:val="single" w:color="000000" w:sz="4" w:space="0"/>
            </w:tcBorders>
            <w:vAlign w:val="center"/>
          </w:tcPr>
          <w:p w14:paraId="26B1467A">
            <w:pPr>
              <w:widowControl/>
              <w:jc w:val="center"/>
              <w:textAlignment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2年</w:t>
            </w:r>
          </w:p>
        </w:tc>
        <w:tc>
          <w:tcPr>
            <w:tcW w:w="2858" w:type="dxa"/>
            <w:tcBorders>
              <w:top w:val="single" w:color="000000" w:sz="4" w:space="0"/>
              <w:left w:val="nil"/>
              <w:right w:val="single" w:color="000000" w:sz="4" w:space="0"/>
            </w:tcBorders>
            <w:vAlign w:val="center"/>
          </w:tcPr>
          <w:p w14:paraId="79E984D8">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详见招标文件第二篇招标项目一览表</w:t>
            </w:r>
          </w:p>
        </w:tc>
        <w:tc>
          <w:tcPr>
            <w:tcW w:w="2007" w:type="dxa"/>
            <w:tcBorders>
              <w:top w:val="single" w:color="000000" w:sz="4" w:space="0"/>
              <w:left w:val="nil"/>
              <w:right w:val="single" w:color="000000" w:sz="4" w:space="0"/>
            </w:tcBorders>
            <w:vAlign w:val="center"/>
          </w:tcPr>
          <w:p w14:paraId="0E9A3A19">
            <w:pPr>
              <w:spacing w:line="480" w:lineRule="exact"/>
              <w:ind w:right="14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u w:val="single"/>
              </w:rPr>
              <w:t xml:space="preserve">    </w:t>
            </w:r>
          </w:p>
        </w:tc>
      </w:tr>
      <w:tr w14:paraId="180AE058">
        <w:tblPrEx>
          <w:tblCellMar>
            <w:top w:w="0" w:type="dxa"/>
            <w:left w:w="108" w:type="dxa"/>
            <w:bottom w:w="0" w:type="dxa"/>
            <w:right w:w="108" w:type="dxa"/>
          </w:tblCellMar>
        </w:tblPrEx>
        <w:trPr>
          <w:trHeight w:val="848" w:hRule="atLeast"/>
          <w:jc w:val="center"/>
        </w:trPr>
        <w:tc>
          <w:tcPr>
            <w:tcW w:w="9802" w:type="dxa"/>
            <w:gridSpan w:val="4"/>
            <w:tcBorders>
              <w:top w:val="single" w:color="000000" w:sz="4" w:space="0"/>
              <w:left w:val="single" w:color="000000" w:sz="4" w:space="0"/>
              <w:bottom w:val="single" w:color="000000" w:sz="4" w:space="0"/>
              <w:right w:val="single" w:color="000000" w:sz="4" w:space="0"/>
            </w:tcBorders>
            <w:vAlign w:val="center"/>
          </w:tcPr>
          <w:p w14:paraId="7C27A5A7">
            <w:pPr>
              <w:spacing w:line="480" w:lineRule="exact"/>
              <w:ind w:right="56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投标报价（折扣系数）（大写）：                       </w:t>
            </w:r>
          </w:p>
        </w:tc>
      </w:tr>
      <w:tr w14:paraId="3A17FF6E">
        <w:tblPrEx>
          <w:tblCellMar>
            <w:top w:w="0" w:type="dxa"/>
            <w:left w:w="108" w:type="dxa"/>
            <w:bottom w:w="0" w:type="dxa"/>
            <w:right w:w="108" w:type="dxa"/>
          </w:tblCellMar>
        </w:tblPrEx>
        <w:trPr>
          <w:trHeight w:val="23" w:hRule="atLeast"/>
          <w:jc w:val="center"/>
        </w:trPr>
        <w:tc>
          <w:tcPr>
            <w:tcW w:w="9802" w:type="dxa"/>
            <w:gridSpan w:val="4"/>
            <w:tcBorders>
              <w:top w:val="single" w:color="000000" w:sz="4" w:space="0"/>
              <w:left w:val="single" w:color="000000" w:sz="4" w:space="0"/>
              <w:bottom w:val="single" w:color="000000" w:sz="4" w:space="0"/>
              <w:right w:val="single" w:color="000000" w:sz="4" w:space="0"/>
            </w:tcBorders>
            <w:vAlign w:val="center"/>
          </w:tcPr>
          <w:p w14:paraId="744D605D">
            <w:pPr>
              <w:spacing w:line="480" w:lineRule="exact"/>
              <w:ind w:right="560"/>
              <w:jc w:val="left"/>
              <w:rPr>
                <w:rFonts w:ascii="方正仿宋_GBK" w:hAnsi="方正仿宋_GBK" w:eastAsia="方正仿宋_GBK" w:cs="方正仿宋_GBK"/>
                <w:color w:val="auto"/>
                <w:sz w:val="24"/>
                <w:szCs w:val="24"/>
                <w:highlight w:val="none"/>
              </w:rPr>
            </w:pPr>
            <w:bookmarkStart w:id="223" w:name="OLE_LINK29"/>
            <w:bookmarkStart w:id="224" w:name="OLE_LINK30"/>
            <w:r>
              <w:rPr>
                <w:rFonts w:hint="eastAsia" w:ascii="方正仿宋_GBK" w:hAnsi="方正仿宋_GBK" w:eastAsia="方正仿宋_GBK" w:cs="方正仿宋_GBK"/>
                <w:color w:val="auto"/>
                <w:sz w:val="24"/>
                <w:szCs w:val="24"/>
                <w:highlight w:val="none"/>
              </w:rPr>
              <w:t>备注：</w:t>
            </w:r>
          </w:p>
          <w:p w14:paraId="5776CC2A">
            <w:pPr>
              <w:spacing w:line="480" w:lineRule="exact"/>
              <w:ind w:right="560"/>
              <w:jc w:val="left"/>
              <w:rPr>
                <w:rFonts w:ascii="方正仿宋_GBK" w:hAnsi="方正仿宋_GBK" w:eastAsia="方正仿宋_GBK" w:cs="方正仿宋_GBK"/>
                <w:color w:val="auto"/>
                <w:sz w:val="24"/>
                <w:szCs w:val="24"/>
                <w:highlight w:val="none"/>
              </w:rPr>
            </w:pPr>
            <w:bookmarkStart w:id="225" w:name="OLE_LINK3"/>
            <w:bookmarkStart w:id="226" w:name="OLE_LINK5"/>
            <w:r>
              <w:rPr>
                <w:rFonts w:hint="eastAsia" w:ascii="方正仿宋_GBK" w:hAnsi="方正仿宋_GBK" w:eastAsia="方正仿宋_GBK" w:cs="方正仿宋_GBK"/>
                <w:b/>
                <w:bCs/>
                <w:color w:val="auto"/>
                <w:sz w:val="24"/>
                <w:szCs w:val="24"/>
                <w:highlight w:val="none"/>
              </w:rPr>
              <w:t>1.本次投标报价报折扣系数。</w:t>
            </w:r>
            <w:r>
              <w:rPr>
                <w:rFonts w:hint="eastAsia" w:ascii="方正仿宋_GBK" w:hAnsi="方正仿宋_GBK" w:eastAsia="方正仿宋_GBK" w:cs="方正仿宋_GBK"/>
                <w:color w:val="auto"/>
                <w:sz w:val="24"/>
                <w:szCs w:val="24"/>
                <w:highlight w:val="none"/>
              </w:rPr>
              <w:t>供应商自行填报折扣系数，折扣系数必须小于0.</w:t>
            </w:r>
            <w:r>
              <w:rPr>
                <w:rFonts w:ascii="方正仿宋_GBK" w:hAnsi="方正仿宋_GBK" w:eastAsia="方正仿宋_GBK" w:cs="方正仿宋_GBK"/>
                <w:color w:val="auto"/>
                <w:sz w:val="24"/>
                <w:szCs w:val="24"/>
                <w:highlight w:val="none"/>
              </w:rPr>
              <w:t>9</w:t>
            </w:r>
            <w:r>
              <w:rPr>
                <w:rFonts w:hint="eastAsia" w:ascii="方正仿宋_GBK" w:hAnsi="方正仿宋_GBK" w:eastAsia="方正仿宋_GBK" w:cs="方正仿宋_GBK"/>
                <w:color w:val="auto"/>
                <w:sz w:val="24"/>
                <w:szCs w:val="24"/>
                <w:highlight w:val="none"/>
              </w:rPr>
              <w:t>0，折扣系数最多保留小数点后2位，否则按无效投标处理。</w:t>
            </w:r>
          </w:p>
          <w:p w14:paraId="0383552E">
            <w:pPr>
              <w:spacing w:line="480" w:lineRule="exact"/>
              <w:ind w:right="560"/>
              <w:jc w:val="lef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b/>
                <w:bCs/>
                <w:color w:val="auto"/>
                <w:sz w:val="24"/>
                <w:szCs w:val="24"/>
                <w:highlight w:val="none"/>
              </w:rPr>
              <w:t>2</w:t>
            </w: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结算单价＝按照第三篇 六结算方式确定的各品类的单价×折扣系数</w:t>
            </w:r>
          </w:p>
          <w:p w14:paraId="60678B18">
            <w:pPr>
              <w:spacing w:line="480" w:lineRule="exact"/>
              <w:ind w:right="560"/>
              <w:jc w:val="lef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3</w:t>
            </w:r>
            <w:r>
              <w:rPr>
                <w:rFonts w:hint="eastAsia" w:ascii="方正仿宋_GBK" w:hAnsi="方正仿宋_GBK" w:eastAsia="方正仿宋_GBK" w:cs="方正仿宋_GBK"/>
                <w:color w:val="auto"/>
                <w:sz w:val="24"/>
                <w:szCs w:val="24"/>
                <w:highlight w:val="none"/>
              </w:rPr>
              <w:t>.具体报价方式和结算方式详见招标文件第三篇。</w:t>
            </w:r>
          </w:p>
          <w:p w14:paraId="7F4FF932">
            <w:pPr>
              <w:spacing w:line="480" w:lineRule="exact"/>
              <w:ind w:right="560"/>
              <w:jc w:val="lef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4</w:t>
            </w:r>
            <w:r>
              <w:rPr>
                <w:rFonts w:hint="eastAsia" w:ascii="方正仿宋_GBK" w:hAnsi="方正仿宋_GBK" w:eastAsia="方正仿宋_GBK" w:cs="方正仿宋_GBK"/>
                <w:color w:val="auto"/>
                <w:sz w:val="24"/>
                <w:szCs w:val="24"/>
                <w:highlight w:val="none"/>
              </w:rPr>
              <w:t>.在合同期内，所有品目执行同一折扣系数且不调整。</w:t>
            </w:r>
            <w:bookmarkEnd w:id="223"/>
            <w:bookmarkEnd w:id="224"/>
            <w:bookmarkEnd w:id="225"/>
            <w:bookmarkEnd w:id="226"/>
          </w:p>
        </w:tc>
      </w:tr>
    </w:tbl>
    <w:p w14:paraId="45AEFA00">
      <w:pPr>
        <w:spacing w:line="276" w:lineRule="auto"/>
        <w:rPr>
          <w:rFonts w:ascii="方正仿宋_GBK" w:hAnsi="宋体" w:eastAsia="方正仿宋_GBK"/>
          <w:color w:val="auto"/>
          <w:sz w:val="24"/>
          <w:szCs w:val="24"/>
          <w:highlight w:val="none"/>
        </w:rPr>
      </w:pPr>
    </w:p>
    <w:p w14:paraId="64B9A013">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                       法定代表人（或法定代表人授权代表）：</w:t>
      </w:r>
    </w:p>
    <w:p w14:paraId="403EDD15">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                                 （签字或盖章）</w:t>
      </w:r>
    </w:p>
    <w:p w14:paraId="46B442D9">
      <w:pPr>
        <w:spacing w:line="276" w:lineRule="auto"/>
        <w:rPr>
          <w:rFonts w:ascii="方正仿宋_GBK" w:hAnsi="宋体" w:eastAsia="方正仿宋_GBK"/>
          <w:color w:val="auto"/>
          <w:sz w:val="24"/>
          <w:szCs w:val="24"/>
          <w:highlight w:val="none"/>
        </w:rPr>
      </w:pPr>
    </w:p>
    <w:p w14:paraId="0C755EF8">
      <w:pPr>
        <w:spacing w:line="276" w:lineRule="auto"/>
        <w:rPr>
          <w:rFonts w:ascii="方正仿宋_GBK" w:hAnsi="宋体" w:eastAsia="方正仿宋_GBK"/>
          <w:color w:val="auto"/>
          <w:sz w:val="24"/>
          <w:szCs w:val="24"/>
          <w:highlight w:val="none"/>
        </w:rPr>
      </w:pPr>
    </w:p>
    <w:p w14:paraId="0DC9054C">
      <w:pPr>
        <w:spacing w:line="276" w:lineRule="auto"/>
        <w:ind w:firstLine="5964" w:firstLineChars="2485"/>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年      月     日</w:t>
      </w:r>
    </w:p>
    <w:p w14:paraId="73DCE6BC">
      <w:pPr>
        <w:snapToGrid w:val="0"/>
        <w:spacing w:line="276" w:lineRule="auto"/>
        <w:ind w:firstLine="480" w:firstLineChars="200"/>
        <w:rPr>
          <w:rFonts w:ascii="方正仿宋_GBK" w:hAnsi="宋体" w:eastAsia="方正仿宋_GBK"/>
          <w:color w:val="auto"/>
          <w:sz w:val="24"/>
          <w:szCs w:val="24"/>
          <w:highlight w:val="none"/>
        </w:rPr>
      </w:pPr>
    </w:p>
    <w:p w14:paraId="7C8CA7FD">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说明：</w:t>
      </w:r>
    </w:p>
    <w:p w14:paraId="3B15921E">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1.开标一览表按格式填列；</w:t>
      </w:r>
    </w:p>
    <w:p w14:paraId="45935074">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2.开标一览表在开标大会上当众宣读，务必填写清楚，准确无误。</w:t>
      </w:r>
    </w:p>
    <w:p w14:paraId="3F825DE3">
      <w:pP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br w:type="page"/>
      </w:r>
    </w:p>
    <w:p w14:paraId="0758AEF3">
      <w:pPr>
        <w:snapToGrid w:val="0"/>
        <w:spacing w:line="276" w:lineRule="auto"/>
        <w:ind w:firstLine="480" w:firstLineChars="200"/>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（一）开标一览表（包2）</w:t>
      </w:r>
    </w:p>
    <w:p w14:paraId="703C5FD0">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项目编号：</w:t>
      </w:r>
    </w:p>
    <w:p w14:paraId="5734AFF6">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w:t>
      </w:r>
    </w:p>
    <w:tbl>
      <w:tblPr>
        <w:tblStyle w:val="20"/>
        <w:tblW w:w="5090" w:type="pct"/>
        <w:jc w:val="center"/>
        <w:tblLayout w:type="fixed"/>
        <w:tblCellMar>
          <w:top w:w="0" w:type="dxa"/>
          <w:left w:w="108" w:type="dxa"/>
          <w:bottom w:w="0" w:type="dxa"/>
          <w:right w:w="108" w:type="dxa"/>
        </w:tblCellMar>
      </w:tblPr>
      <w:tblGrid>
        <w:gridCol w:w="2336"/>
        <w:gridCol w:w="2600"/>
        <w:gridCol w:w="2858"/>
        <w:gridCol w:w="2007"/>
      </w:tblGrid>
      <w:tr w14:paraId="11553291">
        <w:tblPrEx>
          <w:tblCellMar>
            <w:top w:w="0" w:type="dxa"/>
            <w:left w:w="108" w:type="dxa"/>
            <w:bottom w:w="0" w:type="dxa"/>
            <w:right w:w="108" w:type="dxa"/>
          </w:tblCellMar>
        </w:tblPrEx>
        <w:trPr>
          <w:trHeight w:val="23" w:hRule="atLeast"/>
          <w:jc w:val="center"/>
        </w:trPr>
        <w:tc>
          <w:tcPr>
            <w:tcW w:w="2337" w:type="dxa"/>
            <w:tcBorders>
              <w:top w:val="single" w:color="000000" w:sz="4" w:space="0"/>
              <w:left w:val="single" w:color="000000" w:sz="4" w:space="0"/>
              <w:bottom w:val="single" w:color="000000" w:sz="4" w:space="0"/>
              <w:right w:val="single" w:color="000000" w:sz="4" w:space="0"/>
            </w:tcBorders>
            <w:vAlign w:val="center"/>
          </w:tcPr>
          <w:p w14:paraId="1B4F64E2">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供应商全称</w:t>
            </w:r>
          </w:p>
        </w:tc>
        <w:tc>
          <w:tcPr>
            <w:tcW w:w="7465" w:type="dxa"/>
            <w:gridSpan w:val="3"/>
            <w:tcBorders>
              <w:top w:val="single" w:color="000000" w:sz="4" w:space="0"/>
              <w:left w:val="nil"/>
              <w:bottom w:val="single" w:color="000000" w:sz="4" w:space="0"/>
              <w:right w:val="single" w:color="000000" w:sz="4" w:space="0"/>
            </w:tcBorders>
            <w:vAlign w:val="center"/>
          </w:tcPr>
          <w:p w14:paraId="4FDDF6E3">
            <w:pPr>
              <w:spacing w:line="480" w:lineRule="exact"/>
              <w:jc w:val="center"/>
              <w:rPr>
                <w:rFonts w:ascii="方正仿宋_GBK" w:hAnsi="方正仿宋_GBK" w:eastAsia="方正仿宋_GBK" w:cs="方正仿宋_GBK"/>
                <w:color w:val="auto"/>
                <w:sz w:val="24"/>
                <w:szCs w:val="24"/>
                <w:highlight w:val="none"/>
              </w:rPr>
            </w:pPr>
          </w:p>
        </w:tc>
      </w:tr>
      <w:tr w14:paraId="1A2497A8">
        <w:tblPrEx>
          <w:tblCellMar>
            <w:top w:w="0" w:type="dxa"/>
            <w:left w:w="108" w:type="dxa"/>
            <w:bottom w:w="0" w:type="dxa"/>
            <w:right w:w="108" w:type="dxa"/>
          </w:tblCellMar>
        </w:tblPrEx>
        <w:trPr>
          <w:trHeight w:val="23" w:hRule="atLeast"/>
          <w:jc w:val="center"/>
        </w:trPr>
        <w:tc>
          <w:tcPr>
            <w:tcW w:w="2337" w:type="dxa"/>
            <w:tcBorders>
              <w:top w:val="single" w:color="000000" w:sz="4" w:space="0"/>
              <w:left w:val="single" w:color="000000" w:sz="4" w:space="0"/>
              <w:bottom w:val="single" w:color="000000" w:sz="4" w:space="0"/>
              <w:right w:val="single" w:color="000000" w:sz="4" w:space="0"/>
            </w:tcBorders>
            <w:vAlign w:val="center"/>
          </w:tcPr>
          <w:p w14:paraId="0C819ED3">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包号及名称</w:t>
            </w:r>
          </w:p>
        </w:tc>
        <w:tc>
          <w:tcPr>
            <w:tcW w:w="2600" w:type="dxa"/>
            <w:tcBorders>
              <w:top w:val="single" w:color="000000" w:sz="4" w:space="0"/>
              <w:left w:val="nil"/>
              <w:bottom w:val="single" w:color="000000" w:sz="4" w:space="0"/>
              <w:right w:val="single" w:color="000000" w:sz="4" w:space="0"/>
            </w:tcBorders>
            <w:vAlign w:val="center"/>
          </w:tcPr>
          <w:p w14:paraId="63B6B654">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供货周期</w:t>
            </w:r>
          </w:p>
        </w:tc>
        <w:tc>
          <w:tcPr>
            <w:tcW w:w="2858" w:type="dxa"/>
            <w:tcBorders>
              <w:top w:val="single" w:color="000000" w:sz="4" w:space="0"/>
              <w:left w:val="nil"/>
              <w:bottom w:val="single" w:color="000000" w:sz="4" w:space="0"/>
              <w:right w:val="single" w:color="000000" w:sz="4" w:space="0"/>
            </w:tcBorders>
            <w:vAlign w:val="center"/>
          </w:tcPr>
          <w:p w14:paraId="737D9EC3">
            <w:pPr>
              <w:widowControl/>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kern w:val="1"/>
                <w:sz w:val="24"/>
                <w:szCs w:val="24"/>
                <w:highlight w:val="none"/>
              </w:rPr>
              <w:t>预估总数量</w:t>
            </w:r>
          </w:p>
        </w:tc>
        <w:tc>
          <w:tcPr>
            <w:tcW w:w="2007" w:type="dxa"/>
            <w:tcBorders>
              <w:top w:val="single" w:color="000000" w:sz="4" w:space="0"/>
              <w:left w:val="nil"/>
              <w:bottom w:val="single" w:color="000000" w:sz="4" w:space="0"/>
              <w:right w:val="single" w:color="000000" w:sz="4" w:space="0"/>
            </w:tcBorders>
            <w:vAlign w:val="center"/>
          </w:tcPr>
          <w:p w14:paraId="35408E69">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投标报价（折扣系数）（小写）</w:t>
            </w:r>
          </w:p>
          <w:p w14:paraId="08A41775">
            <w:pPr>
              <w:spacing w:line="480" w:lineRule="exact"/>
              <w:jc w:val="center"/>
              <w:rPr>
                <w:rFonts w:ascii="方正仿宋_GBK" w:hAnsi="方正仿宋_GBK" w:eastAsia="方正仿宋_GBK" w:cs="方正仿宋_GBK"/>
                <w:color w:val="auto"/>
                <w:sz w:val="24"/>
                <w:szCs w:val="24"/>
                <w:highlight w:val="none"/>
              </w:rPr>
            </w:pPr>
          </w:p>
        </w:tc>
      </w:tr>
      <w:tr w14:paraId="554E6988">
        <w:tblPrEx>
          <w:tblCellMar>
            <w:top w:w="0" w:type="dxa"/>
            <w:left w:w="108" w:type="dxa"/>
            <w:bottom w:w="0" w:type="dxa"/>
            <w:right w:w="108" w:type="dxa"/>
          </w:tblCellMar>
        </w:tblPrEx>
        <w:trPr>
          <w:trHeight w:val="1488" w:hRule="atLeast"/>
          <w:jc w:val="center"/>
        </w:trPr>
        <w:tc>
          <w:tcPr>
            <w:tcW w:w="2337" w:type="dxa"/>
            <w:tcBorders>
              <w:top w:val="single" w:color="000000" w:sz="4" w:space="0"/>
              <w:left w:val="single" w:color="000000" w:sz="4" w:space="0"/>
              <w:bottom w:val="single" w:color="000000" w:sz="4" w:space="0"/>
              <w:right w:val="single" w:color="000000" w:sz="4" w:space="0"/>
            </w:tcBorders>
            <w:vAlign w:val="center"/>
          </w:tcPr>
          <w:p w14:paraId="08DACBB2">
            <w:pPr>
              <w:widowControl/>
              <w:jc w:val="center"/>
              <w:textAlignment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kern w:val="0"/>
                <w:sz w:val="24"/>
                <w:szCs w:val="24"/>
                <w:highlight w:val="none"/>
                <w:lang w:bidi="ar"/>
              </w:rPr>
              <w:t>包2：食用油</w:t>
            </w:r>
          </w:p>
        </w:tc>
        <w:tc>
          <w:tcPr>
            <w:tcW w:w="2600" w:type="dxa"/>
            <w:tcBorders>
              <w:top w:val="single" w:color="000000" w:sz="4" w:space="0"/>
              <w:left w:val="nil"/>
              <w:right w:val="single" w:color="000000" w:sz="4" w:space="0"/>
            </w:tcBorders>
            <w:vAlign w:val="center"/>
          </w:tcPr>
          <w:p w14:paraId="4CC51FF7">
            <w:pPr>
              <w:widowControl/>
              <w:jc w:val="center"/>
              <w:textAlignment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2年</w:t>
            </w:r>
          </w:p>
        </w:tc>
        <w:tc>
          <w:tcPr>
            <w:tcW w:w="2858" w:type="dxa"/>
            <w:tcBorders>
              <w:top w:val="single" w:color="000000" w:sz="4" w:space="0"/>
              <w:left w:val="nil"/>
              <w:right w:val="single" w:color="000000" w:sz="4" w:space="0"/>
            </w:tcBorders>
            <w:vAlign w:val="center"/>
          </w:tcPr>
          <w:p w14:paraId="41681854">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详见招标文件第二篇招标项目一览表</w:t>
            </w:r>
          </w:p>
        </w:tc>
        <w:tc>
          <w:tcPr>
            <w:tcW w:w="2007" w:type="dxa"/>
            <w:tcBorders>
              <w:top w:val="single" w:color="000000" w:sz="4" w:space="0"/>
              <w:left w:val="nil"/>
              <w:right w:val="single" w:color="000000" w:sz="4" w:space="0"/>
            </w:tcBorders>
            <w:vAlign w:val="center"/>
          </w:tcPr>
          <w:p w14:paraId="517A20F0">
            <w:pPr>
              <w:spacing w:line="480" w:lineRule="exact"/>
              <w:ind w:right="14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u w:val="single"/>
              </w:rPr>
              <w:t xml:space="preserve">    </w:t>
            </w:r>
          </w:p>
        </w:tc>
      </w:tr>
      <w:tr w14:paraId="1D95194E">
        <w:tblPrEx>
          <w:tblCellMar>
            <w:top w:w="0" w:type="dxa"/>
            <w:left w:w="108" w:type="dxa"/>
            <w:bottom w:w="0" w:type="dxa"/>
            <w:right w:w="108" w:type="dxa"/>
          </w:tblCellMar>
        </w:tblPrEx>
        <w:trPr>
          <w:trHeight w:val="848" w:hRule="atLeast"/>
          <w:jc w:val="center"/>
        </w:trPr>
        <w:tc>
          <w:tcPr>
            <w:tcW w:w="9802" w:type="dxa"/>
            <w:gridSpan w:val="4"/>
            <w:tcBorders>
              <w:top w:val="single" w:color="000000" w:sz="4" w:space="0"/>
              <w:left w:val="single" w:color="000000" w:sz="4" w:space="0"/>
              <w:bottom w:val="single" w:color="000000" w:sz="4" w:space="0"/>
              <w:right w:val="single" w:color="000000" w:sz="4" w:space="0"/>
            </w:tcBorders>
            <w:vAlign w:val="center"/>
          </w:tcPr>
          <w:p w14:paraId="3C337826">
            <w:pPr>
              <w:spacing w:line="480" w:lineRule="exact"/>
              <w:ind w:right="56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投标报价（折扣系数）（大写）：                       </w:t>
            </w:r>
          </w:p>
        </w:tc>
      </w:tr>
      <w:tr w14:paraId="672F4E52">
        <w:tblPrEx>
          <w:tblCellMar>
            <w:top w:w="0" w:type="dxa"/>
            <w:left w:w="108" w:type="dxa"/>
            <w:bottom w:w="0" w:type="dxa"/>
            <w:right w:w="108" w:type="dxa"/>
          </w:tblCellMar>
        </w:tblPrEx>
        <w:trPr>
          <w:trHeight w:val="23" w:hRule="atLeast"/>
          <w:jc w:val="center"/>
        </w:trPr>
        <w:tc>
          <w:tcPr>
            <w:tcW w:w="9802" w:type="dxa"/>
            <w:gridSpan w:val="4"/>
            <w:tcBorders>
              <w:top w:val="single" w:color="000000" w:sz="4" w:space="0"/>
              <w:left w:val="single" w:color="000000" w:sz="4" w:space="0"/>
              <w:bottom w:val="single" w:color="000000" w:sz="4" w:space="0"/>
              <w:right w:val="single" w:color="000000" w:sz="4" w:space="0"/>
            </w:tcBorders>
            <w:vAlign w:val="center"/>
          </w:tcPr>
          <w:p w14:paraId="7BF89475">
            <w:pPr>
              <w:spacing w:line="480" w:lineRule="exact"/>
              <w:ind w:right="56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备注：</w:t>
            </w:r>
          </w:p>
          <w:p w14:paraId="0A644584">
            <w:pPr>
              <w:spacing w:line="480" w:lineRule="exact"/>
              <w:ind w:right="56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rPr>
              <w:t>1.本次投标报价报折扣系数。</w:t>
            </w:r>
            <w:r>
              <w:rPr>
                <w:rFonts w:hint="eastAsia" w:ascii="方正仿宋_GBK" w:hAnsi="方正仿宋_GBK" w:eastAsia="方正仿宋_GBK" w:cs="方正仿宋_GBK"/>
                <w:color w:val="auto"/>
                <w:sz w:val="24"/>
                <w:szCs w:val="24"/>
                <w:highlight w:val="none"/>
              </w:rPr>
              <w:t>供应商自行填报折扣系数，折扣系数必须小于0.</w:t>
            </w:r>
            <w:r>
              <w:rPr>
                <w:rFonts w:ascii="方正仿宋_GBK" w:hAnsi="方正仿宋_GBK" w:eastAsia="方正仿宋_GBK" w:cs="方正仿宋_GBK"/>
                <w:color w:val="auto"/>
                <w:sz w:val="24"/>
                <w:szCs w:val="24"/>
                <w:highlight w:val="none"/>
              </w:rPr>
              <w:t>9</w:t>
            </w:r>
            <w:r>
              <w:rPr>
                <w:rFonts w:hint="eastAsia" w:ascii="方正仿宋_GBK" w:hAnsi="方正仿宋_GBK" w:eastAsia="方正仿宋_GBK" w:cs="方正仿宋_GBK"/>
                <w:color w:val="auto"/>
                <w:sz w:val="24"/>
                <w:szCs w:val="24"/>
                <w:highlight w:val="none"/>
              </w:rPr>
              <w:t>0，折扣系数最多保留小数点后2位，否则按无效投标处理。</w:t>
            </w:r>
          </w:p>
          <w:p w14:paraId="43CB99EB">
            <w:pPr>
              <w:spacing w:line="480" w:lineRule="exact"/>
              <w:ind w:right="560"/>
              <w:jc w:val="lef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b/>
                <w:bCs/>
                <w:color w:val="auto"/>
                <w:sz w:val="24"/>
                <w:szCs w:val="24"/>
                <w:highlight w:val="none"/>
              </w:rPr>
              <w:t>2</w:t>
            </w: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结算单价＝按照第三篇 六结算方式确定的各品类的单价×折扣系数</w:t>
            </w:r>
          </w:p>
          <w:p w14:paraId="74DC925A">
            <w:pPr>
              <w:spacing w:line="480" w:lineRule="exact"/>
              <w:ind w:right="560"/>
              <w:jc w:val="lef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3</w:t>
            </w:r>
            <w:r>
              <w:rPr>
                <w:rFonts w:hint="eastAsia" w:ascii="方正仿宋_GBK" w:hAnsi="方正仿宋_GBK" w:eastAsia="方正仿宋_GBK" w:cs="方正仿宋_GBK"/>
                <w:color w:val="auto"/>
                <w:sz w:val="24"/>
                <w:szCs w:val="24"/>
                <w:highlight w:val="none"/>
              </w:rPr>
              <w:t>.具体报价方式和结算方式详见招标文件第三篇。</w:t>
            </w:r>
          </w:p>
          <w:p w14:paraId="4CE7798F">
            <w:pPr>
              <w:spacing w:line="480" w:lineRule="exact"/>
              <w:ind w:right="560"/>
              <w:jc w:val="lef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4</w:t>
            </w:r>
            <w:r>
              <w:rPr>
                <w:rFonts w:hint="eastAsia" w:ascii="方正仿宋_GBK" w:hAnsi="方正仿宋_GBK" w:eastAsia="方正仿宋_GBK" w:cs="方正仿宋_GBK"/>
                <w:color w:val="auto"/>
                <w:sz w:val="24"/>
                <w:szCs w:val="24"/>
                <w:highlight w:val="none"/>
              </w:rPr>
              <w:t>.在合同期内，所有品目执行同一折扣系数且不调整。</w:t>
            </w:r>
          </w:p>
        </w:tc>
      </w:tr>
    </w:tbl>
    <w:p w14:paraId="1CDC84CB">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                       法定代表人（或法定代表人授权代表）：</w:t>
      </w:r>
    </w:p>
    <w:p w14:paraId="52DF33E4">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                                 （签字或盖章）</w:t>
      </w:r>
    </w:p>
    <w:p w14:paraId="57D68AFE">
      <w:pPr>
        <w:spacing w:line="276" w:lineRule="auto"/>
        <w:rPr>
          <w:rFonts w:ascii="方正仿宋_GBK" w:hAnsi="宋体" w:eastAsia="方正仿宋_GBK"/>
          <w:color w:val="auto"/>
          <w:sz w:val="24"/>
          <w:szCs w:val="24"/>
          <w:highlight w:val="none"/>
        </w:rPr>
      </w:pPr>
    </w:p>
    <w:p w14:paraId="5C9F11F5">
      <w:pPr>
        <w:spacing w:line="276" w:lineRule="auto"/>
        <w:rPr>
          <w:rFonts w:ascii="方正仿宋_GBK" w:hAnsi="宋体" w:eastAsia="方正仿宋_GBK"/>
          <w:color w:val="auto"/>
          <w:sz w:val="24"/>
          <w:szCs w:val="24"/>
          <w:highlight w:val="none"/>
        </w:rPr>
      </w:pPr>
    </w:p>
    <w:p w14:paraId="5D80BC1E">
      <w:pPr>
        <w:spacing w:line="276" w:lineRule="auto"/>
        <w:ind w:firstLine="5964" w:firstLineChars="2485"/>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年      月     日</w:t>
      </w:r>
    </w:p>
    <w:p w14:paraId="2EBDBC1E">
      <w:pPr>
        <w:snapToGrid w:val="0"/>
        <w:spacing w:line="276" w:lineRule="auto"/>
        <w:ind w:firstLine="480" w:firstLineChars="200"/>
        <w:rPr>
          <w:rFonts w:ascii="方正仿宋_GBK" w:hAnsi="宋体" w:eastAsia="方正仿宋_GBK"/>
          <w:color w:val="auto"/>
          <w:sz w:val="24"/>
          <w:szCs w:val="24"/>
          <w:highlight w:val="none"/>
        </w:rPr>
      </w:pPr>
    </w:p>
    <w:p w14:paraId="3FE68FFC">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说明：</w:t>
      </w:r>
    </w:p>
    <w:p w14:paraId="0B2E7C29">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1.开标一览表按格式填列；</w:t>
      </w:r>
    </w:p>
    <w:p w14:paraId="115DDA8F">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2.开标一览表在开标大会上当众宣读，务必填写清楚，准确无误。</w:t>
      </w:r>
      <w:r>
        <w:rPr>
          <w:rFonts w:hint="eastAsia" w:ascii="方正仿宋_GBK" w:eastAsia="方正仿宋_GBK"/>
          <w:color w:val="auto"/>
          <w:sz w:val="24"/>
          <w:szCs w:val="24"/>
          <w:highlight w:val="none"/>
        </w:rPr>
        <w:br w:type="page"/>
      </w:r>
      <w:r>
        <w:rPr>
          <w:rFonts w:hint="eastAsia" w:ascii="方正仿宋_GBK" w:hAnsi="宋体" w:eastAsia="方正仿宋_GBK"/>
          <w:color w:val="auto"/>
          <w:sz w:val="24"/>
          <w:szCs w:val="24"/>
          <w:highlight w:val="none"/>
        </w:rPr>
        <w:t>（一）开标一览表（包3）</w:t>
      </w:r>
    </w:p>
    <w:p w14:paraId="58965320">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项目编号：</w:t>
      </w:r>
    </w:p>
    <w:p w14:paraId="19FFCECA">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w:t>
      </w:r>
    </w:p>
    <w:tbl>
      <w:tblPr>
        <w:tblStyle w:val="20"/>
        <w:tblW w:w="5090" w:type="pct"/>
        <w:jc w:val="center"/>
        <w:tblLayout w:type="fixed"/>
        <w:tblCellMar>
          <w:top w:w="0" w:type="dxa"/>
          <w:left w:w="108" w:type="dxa"/>
          <w:bottom w:w="0" w:type="dxa"/>
          <w:right w:w="108" w:type="dxa"/>
        </w:tblCellMar>
      </w:tblPr>
      <w:tblGrid>
        <w:gridCol w:w="2336"/>
        <w:gridCol w:w="2600"/>
        <w:gridCol w:w="2858"/>
        <w:gridCol w:w="2007"/>
      </w:tblGrid>
      <w:tr w14:paraId="303BE836">
        <w:tblPrEx>
          <w:tblCellMar>
            <w:top w:w="0" w:type="dxa"/>
            <w:left w:w="108" w:type="dxa"/>
            <w:bottom w:w="0" w:type="dxa"/>
            <w:right w:w="108" w:type="dxa"/>
          </w:tblCellMar>
        </w:tblPrEx>
        <w:trPr>
          <w:trHeight w:val="23" w:hRule="atLeast"/>
          <w:jc w:val="center"/>
        </w:trPr>
        <w:tc>
          <w:tcPr>
            <w:tcW w:w="2337" w:type="dxa"/>
            <w:tcBorders>
              <w:top w:val="single" w:color="000000" w:sz="4" w:space="0"/>
              <w:left w:val="single" w:color="000000" w:sz="4" w:space="0"/>
              <w:bottom w:val="single" w:color="000000" w:sz="4" w:space="0"/>
              <w:right w:val="single" w:color="000000" w:sz="4" w:space="0"/>
            </w:tcBorders>
            <w:vAlign w:val="center"/>
          </w:tcPr>
          <w:p w14:paraId="05ACDEE6">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供应商全称</w:t>
            </w:r>
          </w:p>
        </w:tc>
        <w:tc>
          <w:tcPr>
            <w:tcW w:w="7465" w:type="dxa"/>
            <w:gridSpan w:val="3"/>
            <w:tcBorders>
              <w:top w:val="single" w:color="000000" w:sz="4" w:space="0"/>
              <w:left w:val="nil"/>
              <w:bottom w:val="single" w:color="000000" w:sz="4" w:space="0"/>
              <w:right w:val="single" w:color="000000" w:sz="4" w:space="0"/>
            </w:tcBorders>
            <w:vAlign w:val="center"/>
          </w:tcPr>
          <w:p w14:paraId="53EFC3EB">
            <w:pPr>
              <w:spacing w:line="480" w:lineRule="exact"/>
              <w:jc w:val="center"/>
              <w:rPr>
                <w:rFonts w:ascii="方正仿宋_GBK" w:hAnsi="方正仿宋_GBK" w:eastAsia="方正仿宋_GBK" w:cs="方正仿宋_GBK"/>
                <w:color w:val="auto"/>
                <w:sz w:val="24"/>
                <w:szCs w:val="24"/>
                <w:highlight w:val="none"/>
              </w:rPr>
            </w:pPr>
          </w:p>
        </w:tc>
      </w:tr>
      <w:tr w14:paraId="0E0D9700">
        <w:tblPrEx>
          <w:tblCellMar>
            <w:top w:w="0" w:type="dxa"/>
            <w:left w:w="108" w:type="dxa"/>
            <w:bottom w:w="0" w:type="dxa"/>
            <w:right w:w="108" w:type="dxa"/>
          </w:tblCellMar>
        </w:tblPrEx>
        <w:trPr>
          <w:trHeight w:val="23" w:hRule="atLeast"/>
          <w:jc w:val="center"/>
        </w:trPr>
        <w:tc>
          <w:tcPr>
            <w:tcW w:w="2337" w:type="dxa"/>
            <w:tcBorders>
              <w:top w:val="single" w:color="000000" w:sz="4" w:space="0"/>
              <w:left w:val="single" w:color="000000" w:sz="4" w:space="0"/>
              <w:bottom w:val="single" w:color="000000" w:sz="4" w:space="0"/>
              <w:right w:val="single" w:color="000000" w:sz="4" w:space="0"/>
            </w:tcBorders>
            <w:vAlign w:val="center"/>
          </w:tcPr>
          <w:p w14:paraId="0548314B">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包号及名称</w:t>
            </w:r>
          </w:p>
        </w:tc>
        <w:tc>
          <w:tcPr>
            <w:tcW w:w="2600" w:type="dxa"/>
            <w:tcBorders>
              <w:top w:val="single" w:color="000000" w:sz="4" w:space="0"/>
              <w:left w:val="nil"/>
              <w:bottom w:val="single" w:color="000000" w:sz="4" w:space="0"/>
              <w:right w:val="single" w:color="000000" w:sz="4" w:space="0"/>
            </w:tcBorders>
            <w:vAlign w:val="center"/>
          </w:tcPr>
          <w:p w14:paraId="3D97BD46">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供货周期</w:t>
            </w:r>
          </w:p>
        </w:tc>
        <w:tc>
          <w:tcPr>
            <w:tcW w:w="2858" w:type="dxa"/>
            <w:tcBorders>
              <w:top w:val="single" w:color="000000" w:sz="4" w:space="0"/>
              <w:left w:val="nil"/>
              <w:bottom w:val="single" w:color="000000" w:sz="4" w:space="0"/>
              <w:right w:val="single" w:color="000000" w:sz="4" w:space="0"/>
            </w:tcBorders>
            <w:vAlign w:val="center"/>
          </w:tcPr>
          <w:p w14:paraId="0144F4A9">
            <w:pPr>
              <w:widowControl/>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kern w:val="1"/>
                <w:sz w:val="24"/>
                <w:szCs w:val="24"/>
                <w:highlight w:val="none"/>
              </w:rPr>
              <w:t>预估数量</w:t>
            </w:r>
          </w:p>
        </w:tc>
        <w:tc>
          <w:tcPr>
            <w:tcW w:w="2007" w:type="dxa"/>
            <w:tcBorders>
              <w:top w:val="single" w:color="000000" w:sz="4" w:space="0"/>
              <w:left w:val="nil"/>
              <w:bottom w:val="single" w:color="000000" w:sz="4" w:space="0"/>
              <w:right w:val="single" w:color="000000" w:sz="4" w:space="0"/>
            </w:tcBorders>
            <w:vAlign w:val="center"/>
          </w:tcPr>
          <w:p w14:paraId="4D6A9CC9">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投标报价（折扣系数）（小写）</w:t>
            </w:r>
          </w:p>
        </w:tc>
      </w:tr>
      <w:tr w14:paraId="72D18283">
        <w:tblPrEx>
          <w:tblCellMar>
            <w:top w:w="0" w:type="dxa"/>
            <w:left w:w="108" w:type="dxa"/>
            <w:bottom w:w="0" w:type="dxa"/>
            <w:right w:w="108" w:type="dxa"/>
          </w:tblCellMar>
        </w:tblPrEx>
        <w:trPr>
          <w:trHeight w:val="1488" w:hRule="atLeast"/>
          <w:jc w:val="center"/>
        </w:trPr>
        <w:tc>
          <w:tcPr>
            <w:tcW w:w="2337" w:type="dxa"/>
            <w:tcBorders>
              <w:top w:val="single" w:color="000000" w:sz="4" w:space="0"/>
              <w:left w:val="single" w:color="000000" w:sz="4" w:space="0"/>
              <w:bottom w:val="single" w:color="000000" w:sz="4" w:space="0"/>
              <w:right w:val="single" w:color="000000" w:sz="4" w:space="0"/>
            </w:tcBorders>
            <w:vAlign w:val="center"/>
          </w:tcPr>
          <w:p w14:paraId="3A66A0FC">
            <w:pPr>
              <w:widowControl/>
              <w:jc w:val="center"/>
              <w:textAlignment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kern w:val="0"/>
                <w:sz w:val="24"/>
                <w:szCs w:val="24"/>
                <w:highlight w:val="none"/>
                <w:lang w:bidi="ar"/>
              </w:rPr>
              <w:t>包3：鲜猪肉类</w:t>
            </w:r>
          </w:p>
        </w:tc>
        <w:tc>
          <w:tcPr>
            <w:tcW w:w="2600" w:type="dxa"/>
            <w:tcBorders>
              <w:top w:val="single" w:color="000000" w:sz="4" w:space="0"/>
              <w:left w:val="nil"/>
              <w:right w:val="single" w:color="000000" w:sz="4" w:space="0"/>
            </w:tcBorders>
            <w:vAlign w:val="center"/>
          </w:tcPr>
          <w:p w14:paraId="0E3AB00D">
            <w:pPr>
              <w:widowControl/>
              <w:jc w:val="center"/>
              <w:textAlignment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2年</w:t>
            </w:r>
          </w:p>
        </w:tc>
        <w:tc>
          <w:tcPr>
            <w:tcW w:w="2858" w:type="dxa"/>
            <w:tcBorders>
              <w:top w:val="single" w:color="000000" w:sz="4" w:space="0"/>
              <w:left w:val="nil"/>
              <w:right w:val="single" w:color="000000" w:sz="4" w:space="0"/>
            </w:tcBorders>
            <w:vAlign w:val="center"/>
          </w:tcPr>
          <w:p w14:paraId="7C80A7A7">
            <w:pPr>
              <w:spacing w:line="480" w:lineRule="exact"/>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详见招标文件第二篇招标项目一览表</w:t>
            </w:r>
          </w:p>
        </w:tc>
        <w:tc>
          <w:tcPr>
            <w:tcW w:w="2007" w:type="dxa"/>
            <w:tcBorders>
              <w:top w:val="single" w:color="000000" w:sz="4" w:space="0"/>
              <w:left w:val="nil"/>
              <w:right w:val="single" w:color="000000" w:sz="4" w:space="0"/>
            </w:tcBorders>
            <w:vAlign w:val="center"/>
          </w:tcPr>
          <w:p w14:paraId="6EACB610">
            <w:pPr>
              <w:spacing w:line="480" w:lineRule="exact"/>
              <w:ind w:right="14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u w:val="single"/>
              </w:rPr>
              <w:t xml:space="preserve">    </w:t>
            </w:r>
          </w:p>
        </w:tc>
      </w:tr>
      <w:tr w14:paraId="204AC226">
        <w:tblPrEx>
          <w:tblCellMar>
            <w:top w:w="0" w:type="dxa"/>
            <w:left w:w="108" w:type="dxa"/>
            <w:bottom w:w="0" w:type="dxa"/>
            <w:right w:w="108" w:type="dxa"/>
          </w:tblCellMar>
        </w:tblPrEx>
        <w:trPr>
          <w:trHeight w:val="848" w:hRule="atLeast"/>
          <w:jc w:val="center"/>
        </w:trPr>
        <w:tc>
          <w:tcPr>
            <w:tcW w:w="9802" w:type="dxa"/>
            <w:gridSpan w:val="4"/>
            <w:tcBorders>
              <w:top w:val="single" w:color="000000" w:sz="4" w:space="0"/>
              <w:left w:val="single" w:color="000000" w:sz="4" w:space="0"/>
              <w:bottom w:val="single" w:color="000000" w:sz="4" w:space="0"/>
              <w:right w:val="single" w:color="000000" w:sz="4" w:space="0"/>
            </w:tcBorders>
            <w:vAlign w:val="center"/>
          </w:tcPr>
          <w:p w14:paraId="6A88E1C9">
            <w:pPr>
              <w:spacing w:line="480" w:lineRule="exact"/>
              <w:ind w:right="56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投标报价（折扣系数）（大写）：                     </w:t>
            </w:r>
          </w:p>
        </w:tc>
      </w:tr>
      <w:tr w14:paraId="1D0B5E28">
        <w:tblPrEx>
          <w:tblCellMar>
            <w:top w:w="0" w:type="dxa"/>
            <w:left w:w="108" w:type="dxa"/>
            <w:bottom w:w="0" w:type="dxa"/>
            <w:right w:w="108" w:type="dxa"/>
          </w:tblCellMar>
        </w:tblPrEx>
        <w:trPr>
          <w:trHeight w:val="23" w:hRule="atLeast"/>
          <w:jc w:val="center"/>
        </w:trPr>
        <w:tc>
          <w:tcPr>
            <w:tcW w:w="9802" w:type="dxa"/>
            <w:gridSpan w:val="4"/>
            <w:tcBorders>
              <w:top w:val="single" w:color="000000" w:sz="4" w:space="0"/>
              <w:left w:val="single" w:color="000000" w:sz="4" w:space="0"/>
              <w:bottom w:val="single" w:color="000000" w:sz="4" w:space="0"/>
              <w:right w:val="single" w:color="000000" w:sz="4" w:space="0"/>
            </w:tcBorders>
            <w:vAlign w:val="center"/>
          </w:tcPr>
          <w:p w14:paraId="6F06F562">
            <w:pPr>
              <w:spacing w:line="480" w:lineRule="exact"/>
              <w:ind w:right="56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备注：</w:t>
            </w:r>
          </w:p>
          <w:p w14:paraId="790098AC">
            <w:pPr>
              <w:spacing w:line="480" w:lineRule="exact"/>
              <w:ind w:right="56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rPr>
              <w:t>1.本次投标报价报折扣系数。</w:t>
            </w:r>
            <w:r>
              <w:rPr>
                <w:rFonts w:hint="eastAsia" w:ascii="方正仿宋_GBK" w:hAnsi="方正仿宋_GBK" w:eastAsia="方正仿宋_GBK" w:cs="方正仿宋_GBK"/>
                <w:color w:val="auto"/>
                <w:sz w:val="24"/>
                <w:szCs w:val="24"/>
                <w:highlight w:val="none"/>
              </w:rPr>
              <w:t>供应商自行填报折扣系数，折扣系数必须小于0.</w:t>
            </w:r>
            <w:r>
              <w:rPr>
                <w:rFonts w:ascii="方正仿宋_GBK" w:hAnsi="方正仿宋_GBK" w:eastAsia="方正仿宋_GBK" w:cs="方正仿宋_GBK"/>
                <w:color w:val="auto"/>
                <w:sz w:val="24"/>
                <w:szCs w:val="24"/>
                <w:highlight w:val="none"/>
              </w:rPr>
              <w:t>9</w:t>
            </w:r>
            <w:r>
              <w:rPr>
                <w:rFonts w:hint="eastAsia" w:ascii="方正仿宋_GBK" w:hAnsi="方正仿宋_GBK" w:eastAsia="方正仿宋_GBK" w:cs="方正仿宋_GBK"/>
                <w:color w:val="auto"/>
                <w:sz w:val="24"/>
                <w:szCs w:val="24"/>
                <w:highlight w:val="none"/>
              </w:rPr>
              <w:t>0，折扣系数最多保留小数点后2位，否则按无效投标处理。</w:t>
            </w:r>
          </w:p>
          <w:p w14:paraId="26EE0A3A">
            <w:pPr>
              <w:spacing w:line="480" w:lineRule="exact"/>
              <w:ind w:right="560"/>
              <w:jc w:val="lef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b/>
                <w:bCs/>
                <w:color w:val="auto"/>
                <w:sz w:val="24"/>
                <w:szCs w:val="24"/>
                <w:highlight w:val="none"/>
              </w:rPr>
              <w:t>2</w:t>
            </w: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结算单价＝按照第三篇 六结算方式确定的各品类的单价×折扣系数</w:t>
            </w:r>
          </w:p>
          <w:p w14:paraId="150B23C5">
            <w:pPr>
              <w:spacing w:line="480" w:lineRule="exact"/>
              <w:ind w:right="560"/>
              <w:jc w:val="lef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3</w:t>
            </w:r>
            <w:r>
              <w:rPr>
                <w:rFonts w:hint="eastAsia" w:ascii="方正仿宋_GBK" w:hAnsi="方正仿宋_GBK" w:eastAsia="方正仿宋_GBK" w:cs="方正仿宋_GBK"/>
                <w:color w:val="auto"/>
                <w:sz w:val="24"/>
                <w:szCs w:val="24"/>
                <w:highlight w:val="none"/>
              </w:rPr>
              <w:t>.具体报价方式和结算方式详见招标文件第三篇。</w:t>
            </w:r>
          </w:p>
          <w:p w14:paraId="67680818">
            <w:pPr>
              <w:spacing w:line="480" w:lineRule="exact"/>
              <w:ind w:right="560"/>
              <w:jc w:val="lef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4</w:t>
            </w:r>
            <w:r>
              <w:rPr>
                <w:rFonts w:hint="eastAsia" w:ascii="方正仿宋_GBK" w:hAnsi="方正仿宋_GBK" w:eastAsia="方正仿宋_GBK" w:cs="方正仿宋_GBK"/>
                <w:color w:val="auto"/>
                <w:sz w:val="24"/>
                <w:szCs w:val="24"/>
                <w:highlight w:val="none"/>
              </w:rPr>
              <w:t>.在合同期内，所有品目执行同一折扣系数且不调整。</w:t>
            </w:r>
          </w:p>
        </w:tc>
      </w:tr>
    </w:tbl>
    <w:p w14:paraId="5827EB6A">
      <w:pPr>
        <w:spacing w:line="276" w:lineRule="auto"/>
        <w:rPr>
          <w:rFonts w:ascii="方正仿宋_GBK" w:hAnsi="宋体" w:eastAsia="方正仿宋_GBK"/>
          <w:color w:val="auto"/>
          <w:sz w:val="24"/>
          <w:szCs w:val="24"/>
          <w:highlight w:val="none"/>
        </w:rPr>
      </w:pPr>
    </w:p>
    <w:p w14:paraId="0E7F14E8">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                       法定代表人（或法定代表人授权代表）：</w:t>
      </w:r>
    </w:p>
    <w:p w14:paraId="3C51C220">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                                 （签字或盖章）</w:t>
      </w:r>
    </w:p>
    <w:p w14:paraId="27912828">
      <w:pPr>
        <w:spacing w:line="276" w:lineRule="auto"/>
        <w:rPr>
          <w:rFonts w:ascii="方正仿宋_GBK" w:hAnsi="宋体" w:eastAsia="方正仿宋_GBK"/>
          <w:color w:val="auto"/>
          <w:sz w:val="24"/>
          <w:szCs w:val="24"/>
          <w:highlight w:val="none"/>
        </w:rPr>
      </w:pPr>
    </w:p>
    <w:p w14:paraId="06BE5AE8">
      <w:pPr>
        <w:spacing w:line="276" w:lineRule="auto"/>
        <w:rPr>
          <w:rFonts w:ascii="方正仿宋_GBK" w:hAnsi="宋体" w:eastAsia="方正仿宋_GBK"/>
          <w:color w:val="auto"/>
          <w:sz w:val="24"/>
          <w:szCs w:val="24"/>
          <w:highlight w:val="none"/>
        </w:rPr>
      </w:pPr>
    </w:p>
    <w:p w14:paraId="4FB217A0">
      <w:pPr>
        <w:spacing w:line="276" w:lineRule="auto"/>
        <w:ind w:firstLine="5964" w:firstLineChars="2485"/>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年      月     日</w:t>
      </w:r>
    </w:p>
    <w:p w14:paraId="7E412871">
      <w:pPr>
        <w:snapToGrid w:val="0"/>
        <w:spacing w:line="276" w:lineRule="auto"/>
        <w:ind w:firstLine="480" w:firstLineChars="200"/>
        <w:rPr>
          <w:rFonts w:ascii="方正仿宋_GBK" w:hAnsi="宋体" w:eastAsia="方正仿宋_GBK"/>
          <w:color w:val="auto"/>
          <w:sz w:val="24"/>
          <w:szCs w:val="24"/>
          <w:highlight w:val="none"/>
        </w:rPr>
      </w:pPr>
    </w:p>
    <w:p w14:paraId="24B976A8">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说明：</w:t>
      </w:r>
    </w:p>
    <w:p w14:paraId="7A09CB64">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1.开标一览表按格式填列；</w:t>
      </w:r>
    </w:p>
    <w:p w14:paraId="64CCBCA7">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2.开标一览表在开标大会上当众宣读，务必填写清楚，准确无误。</w:t>
      </w:r>
      <w:r>
        <w:rPr>
          <w:rFonts w:hint="eastAsia" w:ascii="方正仿宋_GBK" w:eastAsia="方正仿宋_GBK"/>
          <w:color w:val="auto"/>
          <w:sz w:val="24"/>
          <w:szCs w:val="24"/>
          <w:highlight w:val="none"/>
        </w:rPr>
        <w:br w:type="page"/>
      </w:r>
      <w:r>
        <w:rPr>
          <w:rFonts w:hint="eastAsia" w:ascii="方正仿宋_GBK" w:hAnsi="宋体" w:eastAsia="方正仿宋_GBK"/>
          <w:color w:val="auto"/>
          <w:sz w:val="24"/>
          <w:szCs w:val="24"/>
          <w:highlight w:val="none"/>
        </w:rPr>
        <w:t>（二）分项报价明细表（包1）</w:t>
      </w:r>
    </w:p>
    <w:p w14:paraId="1D6E404A">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项目编号：</w:t>
      </w:r>
    </w:p>
    <w:p w14:paraId="29A526C2">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招标项目名称：大米面粉</w:t>
      </w:r>
    </w:p>
    <w:tbl>
      <w:tblPr>
        <w:tblStyle w:val="20"/>
        <w:tblW w:w="5000" w:type="pct"/>
        <w:jc w:val="center"/>
        <w:tblLayout w:type="fixed"/>
        <w:tblCellMar>
          <w:top w:w="0" w:type="dxa"/>
          <w:left w:w="108" w:type="dxa"/>
          <w:bottom w:w="0" w:type="dxa"/>
          <w:right w:w="108" w:type="dxa"/>
        </w:tblCellMar>
      </w:tblPr>
      <w:tblGrid>
        <w:gridCol w:w="912"/>
        <w:gridCol w:w="1826"/>
        <w:gridCol w:w="2467"/>
        <w:gridCol w:w="1849"/>
        <w:gridCol w:w="1083"/>
        <w:gridCol w:w="1491"/>
      </w:tblGrid>
      <w:tr w14:paraId="3CE44CAE">
        <w:tblPrEx>
          <w:tblCellMar>
            <w:top w:w="0" w:type="dxa"/>
            <w:left w:w="108" w:type="dxa"/>
            <w:bottom w:w="0" w:type="dxa"/>
            <w:right w:w="108" w:type="dxa"/>
          </w:tblCellMar>
        </w:tblPrEx>
        <w:trPr>
          <w:trHeight w:val="54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CAC14">
            <w:pPr>
              <w:widowControl/>
              <w:adjustRightInd w:val="0"/>
              <w:snapToGrid w:val="0"/>
              <w:spacing w:line="240" w:lineRule="atLeast"/>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序号</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5FAC">
            <w:pPr>
              <w:widowControl/>
              <w:adjustRightInd w:val="0"/>
              <w:snapToGrid w:val="0"/>
              <w:spacing w:line="240" w:lineRule="atLeast"/>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名称</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D0C3F">
            <w:pPr>
              <w:widowControl/>
              <w:adjustRightInd w:val="0"/>
              <w:snapToGrid w:val="0"/>
              <w:spacing w:line="240" w:lineRule="atLeast"/>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规格、标准</w:t>
            </w:r>
          </w:p>
        </w:tc>
        <w:tc>
          <w:tcPr>
            <w:tcW w:w="1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A0A7">
            <w:pPr>
              <w:widowControl/>
              <w:adjustRightInd w:val="0"/>
              <w:snapToGrid w:val="0"/>
              <w:spacing w:line="240" w:lineRule="atLeast"/>
              <w:jc w:val="center"/>
              <w:textAlignment w:val="center"/>
              <w:rPr>
                <w:rFonts w:ascii="方正仿宋_GBK" w:hAnsi="宋体" w:eastAsia="方正仿宋_GBK" w:cs="宋体"/>
                <w:b/>
                <w:bCs/>
                <w:color w:val="auto"/>
                <w:sz w:val="22"/>
                <w:szCs w:val="22"/>
                <w:highlight w:val="none"/>
              </w:rPr>
            </w:pPr>
            <w:bookmarkStart w:id="227" w:name="OLE_LINK15"/>
            <w:bookmarkStart w:id="228" w:name="OLE_LINK14"/>
            <w:r>
              <w:rPr>
                <w:rFonts w:hint="eastAsia" w:ascii="方正仿宋_GBK" w:hAnsi="方正仿宋_GBK" w:eastAsia="方正仿宋_GBK" w:cs="方正仿宋_GBK"/>
                <w:b/>
                <w:bCs/>
                <w:color w:val="auto"/>
                <w:kern w:val="0"/>
                <w:sz w:val="24"/>
                <w:szCs w:val="24"/>
                <w:highlight w:val="none"/>
                <w:lang w:bidi="ar"/>
              </w:rPr>
              <w:t>所投产品生产厂家名称</w:t>
            </w:r>
            <w:bookmarkEnd w:id="227"/>
            <w:bookmarkEnd w:id="228"/>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F29B8">
            <w:pPr>
              <w:widowControl/>
              <w:adjustRightInd w:val="0"/>
              <w:snapToGrid w:val="0"/>
              <w:spacing w:line="240" w:lineRule="atLeast"/>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数量</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045D8">
            <w:pPr>
              <w:widowControl/>
              <w:adjustRightInd w:val="0"/>
              <w:snapToGrid w:val="0"/>
              <w:spacing w:line="240" w:lineRule="atLeast"/>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计量单位</w:t>
            </w:r>
          </w:p>
        </w:tc>
      </w:tr>
      <w:tr w14:paraId="4B8AF793">
        <w:tblPrEx>
          <w:tblCellMar>
            <w:top w:w="0" w:type="dxa"/>
            <w:left w:w="108" w:type="dxa"/>
            <w:bottom w:w="0" w:type="dxa"/>
            <w:right w:w="108" w:type="dxa"/>
          </w:tblCellMar>
        </w:tblPrEx>
        <w:trPr>
          <w:trHeight w:val="72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E878E">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30BFB">
            <w:pPr>
              <w:widowControl/>
              <w:adjustRightInd w:val="0"/>
              <w:snapToGrid w:val="0"/>
              <w:spacing w:line="240" w:lineRule="atLeast"/>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普通大米</w:t>
            </w: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F7B45">
            <w:pPr>
              <w:widowControl/>
              <w:adjustRightInd w:val="0"/>
              <w:snapToGrid w:val="0"/>
              <w:spacing w:line="240" w:lineRule="atLeast"/>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1*25kg，国标二级</w:t>
            </w:r>
          </w:p>
        </w:tc>
        <w:tc>
          <w:tcPr>
            <w:tcW w:w="1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8CCCD">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599ED">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186000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F27E9">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1F20742A">
        <w:tblPrEx>
          <w:tblCellMar>
            <w:top w:w="0" w:type="dxa"/>
            <w:left w:w="108" w:type="dxa"/>
            <w:bottom w:w="0" w:type="dxa"/>
            <w:right w:w="108" w:type="dxa"/>
          </w:tblCellMar>
        </w:tblPrEx>
        <w:trPr>
          <w:trHeight w:val="52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8ABC1">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CD6C">
            <w:pPr>
              <w:widowControl/>
              <w:adjustRightInd w:val="0"/>
              <w:snapToGrid w:val="0"/>
              <w:spacing w:line="240" w:lineRule="atLeast"/>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东北珍珠米</w:t>
            </w: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9EEB">
            <w:pPr>
              <w:widowControl/>
              <w:adjustRightInd w:val="0"/>
              <w:snapToGrid w:val="0"/>
              <w:spacing w:line="240" w:lineRule="atLeast"/>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1*25kg，国标一级</w:t>
            </w:r>
          </w:p>
        </w:tc>
        <w:tc>
          <w:tcPr>
            <w:tcW w:w="1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792C9">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6F4C6">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189360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1BE9">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F8730B8">
        <w:tblPrEx>
          <w:tblCellMar>
            <w:top w:w="0" w:type="dxa"/>
            <w:left w:w="108" w:type="dxa"/>
            <w:bottom w:w="0" w:type="dxa"/>
            <w:right w:w="108" w:type="dxa"/>
          </w:tblCellMar>
        </w:tblPrEx>
        <w:trPr>
          <w:trHeight w:val="54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43C7">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5FEF0">
            <w:pPr>
              <w:widowControl/>
              <w:adjustRightInd w:val="0"/>
              <w:snapToGrid w:val="0"/>
              <w:spacing w:line="240" w:lineRule="atLeast"/>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面粉</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20844">
            <w:pPr>
              <w:widowControl/>
              <w:adjustRightInd w:val="0"/>
              <w:snapToGrid w:val="0"/>
              <w:spacing w:line="240" w:lineRule="atLeast"/>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1*25kg，高筋粉</w:t>
            </w:r>
          </w:p>
        </w:tc>
        <w:tc>
          <w:tcPr>
            <w:tcW w:w="1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F2B2">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24FE9">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128700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06ECB">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bl>
    <w:p w14:paraId="0064EDEC">
      <w:pPr>
        <w:snapToGrid w:val="0"/>
        <w:spacing w:line="276" w:lineRule="auto"/>
        <w:ind w:firstLine="480" w:firstLineChars="200"/>
        <w:rPr>
          <w:rFonts w:ascii="方正仿宋_GBK" w:hAnsi="宋体" w:eastAsia="方正仿宋_GBK"/>
          <w:color w:val="auto"/>
          <w:sz w:val="24"/>
          <w:szCs w:val="24"/>
          <w:highlight w:val="none"/>
        </w:rPr>
      </w:pPr>
    </w:p>
    <w:p w14:paraId="3B081994">
      <w:pPr>
        <w:spacing w:line="276" w:lineRule="auto"/>
        <w:rPr>
          <w:rFonts w:ascii="方正仿宋_GBK" w:hAnsi="宋体" w:eastAsia="方正仿宋_GBK"/>
          <w:color w:val="auto"/>
          <w:sz w:val="24"/>
          <w:szCs w:val="24"/>
          <w:highlight w:val="none"/>
        </w:rPr>
      </w:pPr>
    </w:p>
    <w:p w14:paraId="40CA0800">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                  法定代表人（或法定代表人授权代表）：</w:t>
      </w:r>
    </w:p>
    <w:p w14:paraId="21A1C9EF">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                        （签字或盖章）</w:t>
      </w:r>
    </w:p>
    <w:p w14:paraId="56CC98CF">
      <w:pPr>
        <w:spacing w:line="276" w:lineRule="auto"/>
        <w:rPr>
          <w:rFonts w:ascii="方正仿宋_GBK" w:hAnsi="宋体" w:eastAsia="方正仿宋_GBK"/>
          <w:color w:val="auto"/>
          <w:sz w:val="24"/>
          <w:szCs w:val="24"/>
          <w:highlight w:val="none"/>
        </w:rPr>
      </w:pPr>
    </w:p>
    <w:p w14:paraId="020F25E1">
      <w:pPr>
        <w:snapToGrid w:val="0"/>
        <w:spacing w:line="276" w:lineRule="auto"/>
        <w:ind w:firstLine="4800" w:firstLineChars="20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年      月     日</w:t>
      </w:r>
    </w:p>
    <w:p w14:paraId="1A2CD2B3">
      <w:pPr>
        <w:spacing w:line="276" w:lineRule="auto"/>
        <w:ind w:firstLine="480" w:firstLineChars="200"/>
        <w:rPr>
          <w:rFonts w:ascii="方正仿宋_GBK" w:hAnsi="宋体" w:eastAsia="方正仿宋_GBK"/>
          <w:color w:val="auto"/>
          <w:sz w:val="24"/>
          <w:szCs w:val="24"/>
          <w:highlight w:val="none"/>
        </w:rPr>
      </w:pPr>
    </w:p>
    <w:p w14:paraId="449BEC14">
      <w:pPr>
        <w:spacing w:line="276" w:lineRule="auto"/>
        <w:ind w:firstLine="480" w:firstLineChars="200"/>
        <w:rPr>
          <w:rFonts w:ascii="方正仿宋_GBK" w:hAnsi="宋体" w:eastAsia="方正仿宋_GBK"/>
          <w:color w:val="auto"/>
          <w:sz w:val="24"/>
          <w:szCs w:val="24"/>
          <w:highlight w:val="none"/>
        </w:rPr>
      </w:pPr>
    </w:p>
    <w:p w14:paraId="2CBC9DF3">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w:t>
      </w:r>
    </w:p>
    <w:p w14:paraId="5B042F38">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w:t>
      </w:r>
      <w:r>
        <w:rPr>
          <w:rFonts w:hint="eastAsia" w:ascii="方正仿宋_GBK" w:hAnsi="方正仿宋_GBK" w:eastAsia="方正仿宋_GBK" w:cs="方正仿宋_GBK"/>
          <w:color w:val="auto"/>
          <w:sz w:val="24"/>
          <w:szCs w:val="24"/>
          <w:highlight w:val="none"/>
        </w:rPr>
        <w:t>采购人食堂2年物资数量仅供供应商计算报价所用，不作为中标后采购依据；</w:t>
      </w:r>
    </w:p>
    <w:p w14:paraId="4A945D2C">
      <w:pPr>
        <w:spacing w:line="276" w:lineRule="auto"/>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2</w:t>
      </w:r>
      <w:r>
        <w:rPr>
          <w:rFonts w:hint="eastAsia" w:ascii="方正仿宋_GBK" w:hAnsi="宋体" w:eastAsia="方正仿宋_GBK"/>
          <w:color w:val="auto"/>
          <w:sz w:val="24"/>
          <w:szCs w:val="24"/>
          <w:highlight w:val="none"/>
        </w:rPr>
        <w:t>.请供应商完整填写本表；</w:t>
      </w:r>
    </w:p>
    <w:p w14:paraId="38C7350E">
      <w:pPr>
        <w:spacing w:line="276" w:lineRule="auto"/>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3</w:t>
      </w:r>
      <w:r>
        <w:rPr>
          <w:rFonts w:hint="eastAsia" w:ascii="方正仿宋_GBK" w:hAnsi="宋体" w:eastAsia="方正仿宋_GBK"/>
          <w:color w:val="auto"/>
          <w:sz w:val="24"/>
          <w:szCs w:val="24"/>
          <w:highlight w:val="none"/>
        </w:rPr>
        <w:t>.该表可扩展，并逐页签字或盖章。</w:t>
      </w:r>
    </w:p>
    <w:p w14:paraId="4D4B2C48">
      <w:pP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br w:type="page"/>
      </w:r>
    </w:p>
    <w:p w14:paraId="57EEA9F6">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（二）分项报价明细表（包2）</w:t>
      </w:r>
    </w:p>
    <w:p w14:paraId="79FB1A1B">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项目编号：</w:t>
      </w:r>
    </w:p>
    <w:p w14:paraId="3125728C">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招标项目名称：食用油</w:t>
      </w:r>
    </w:p>
    <w:tbl>
      <w:tblPr>
        <w:tblStyle w:val="20"/>
        <w:tblW w:w="5000" w:type="pct"/>
        <w:jc w:val="center"/>
        <w:tblLayout w:type="fixed"/>
        <w:tblCellMar>
          <w:top w:w="0" w:type="dxa"/>
          <w:left w:w="108" w:type="dxa"/>
          <w:bottom w:w="0" w:type="dxa"/>
          <w:right w:w="108" w:type="dxa"/>
        </w:tblCellMar>
      </w:tblPr>
      <w:tblGrid>
        <w:gridCol w:w="912"/>
        <w:gridCol w:w="1826"/>
        <w:gridCol w:w="2467"/>
        <w:gridCol w:w="1511"/>
        <w:gridCol w:w="1421"/>
        <w:gridCol w:w="1491"/>
      </w:tblGrid>
      <w:tr w14:paraId="0A34779A">
        <w:tblPrEx>
          <w:tblCellMar>
            <w:top w:w="0" w:type="dxa"/>
            <w:left w:w="108" w:type="dxa"/>
            <w:bottom w:w="0" w:type="dxa"/>
            <w:right w:w="108" w:type="dxa"/>
          </w:tblCellMar>
        </w:tblPrEx>
        <w:trPr>
          <w:trHeight w:val="54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83EB4">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序号</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A2AB3">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名称</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4EE6A">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规格、标准</w:t>
            </w:r>
          </w:p>
        </w:tc>
        <w:tc>
          <w:tcPr>
            <w:tcW w:w="15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B4D18">
            <w:pPr>
              <w:widowControl/>
              <w:adjustRightInd w:val="0"/>
              <w:snapToGrid w:val="0"/>
              <w:spacing w:line="240" w:lineRule="atLeast"/>
              <w:jc w:val="center"/>
              <w:textAlignment w:val="center"/>
              <w:rPr>
                <w:rFonts w:ascii="方正仿宋_GBK" w:hAnsi="宋体" w:eastAsia="方正仿宋_GBK" w:cs="宋体"/>
                <w:b/>
                <w:bCs/>
                <w:color w:val="auto"/>
                <w:sz w:val="22"/>
                <w:szCs w:val="22"/>
                <w:highlight w:val="none"/>
              </w:rPr>
            </w:pPr>
            <w:r>
              <w:rPr>
                <w:rFonts w:hint="eastAsia" w:ascii="方正仿宋_GBK" w:hAnsi="方正仿宋_GBK" w:eastAsia="方正仿宋_GBK" w:cs="方正仿宋_GBK"/>
                <w:b/>
                <w:bCs/>
                <w:color w:val="auto"/>
                <w:kern w:val="0"/>
                <w:sz w:val="24"/>
                <w:szCs w:val="24"/>
                <w:highlight w:val="none"/>
                <w:lang w:bidi="ar"/>
              </w:rPr>
              <w:t>所投产品生产厂家名称</w:t>
            </w: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983D6">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数量</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374CB">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计量单位</w:t>
            </w:r>
          </w:p>
        </w:tc>
      </w:tr>
      <w:tr w14:paraId="5ED524FB">
        <w:tblPrEx>
          <w:tblCellMar>
            <w:top w:w="0" w:type="dxa"/>
            <w:left w:w="108" w:type="dxa"/>
            <w:bottom w:w="0" w:type="dxa"/>
            <w:right w:w="108" w:type="dxa"/>
          </w:tblCellMar>
        </w:tblPrEx>
        <w:trPr>
          <w:trHeight w:val="72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CF8F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88B33">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色拉油(大豆油)</w:t>
            </w: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11172">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1*10升，非转基因</w:t>
            </w:r>
          </w:p>
        </w:tc>
        <w:tc>
          <w:tcPr>
            <w:tcW w:w="15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72E29">
            <w:pPr>
              <w:widowControl/>
              <w:adjustRightInd w:val="0"/>
              <w:snapToGrid w:val="0"/>
              <w:spacing w:line="240" w:lineRule="atLeast"/>
              <w:jc w:val="center"/>
              <w:textAlignment w:val="center"/>
              <w:rPr>
                <w:rFonts w:ascii="方正仿宋_GBK" w:hAnsi="宋体" w:eastAsia="方正仿宋_GBK" w:cs="宋体"/>
                <w:color w:val="auto"/>
                <w:sz w:val="22"/>
                <w:szCs w:val="22"/>
                <w:highlight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2BC8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92250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7549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升</w:t>
            </w:r>
          </w:p>
        </w:tc>
      </w:tr>
      <w:tr w14:paraId="67D8FF7E">
        <w:tblPrEx>
          <w:tblCellMar>
            <w:top w:w="0" w:type="dxa"/>
            <w:left w:w="108" w:type="dxa"/>
            <w:bottom w:w="0" w:type="dxa"/>
            <w:right w:w="108" w:type="dxa"/>
          </w:tblCellMar>
        </w:tblPrEx>
        <w:trPr>
          <w:trHeight w:val="52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8A24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w:t>
            </w:r>
          </w:p>
        </w:tc>
        <w:tc>
          <w:tcPr>
            <w:tcW w:w="1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54EC3">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菜籽油</w:t>
            </w: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B5CB0">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1*10升，非转基因</w:t>
            </w:r>
          </w:p>
        </w:tc>
        <w:tc>
          <w:tcPr>
            <w:tcW w:w="15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FC193">
            <w:pPr>
              <w:widowControl/>
              <w:jc w:val="center"/>
              <w:textAlignment w:val="center"/>
              <w:rPr>
                <w:rFonts w:ascii="方正仿宋_GBK" w:hAnsi="宋体" w:eastAsia="方正仿宋_GBK" w:cs="宋体"/>
                <w:color w:val="auto"/>
                <w:sz w:val="22"/>
                <w:szCs w:val="22"/>
                <w:highlight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2052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1000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BD64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升</w:t>
            </w:r>
          </w:p>
        </w:tc>
      </w:tr>
    </w:tbl>
    <w:p w14:paraId="0ACE7578">
      <w:pPr>
        <w:snapToGrid w:val="0"/>
        <w:spacing w:line="276" w:lineRule="auto"/>
        <w:ind w:firstLine="480" w:firstLineChars="200"/>
        <w:rPr>
          <w:rFonts w:ascii="方正仿宋_GBK" w:hAnsi="宋体" w:eastAsia="方正仿宋_GBK"/>
          <w:color w:val="auto"/>
          <w:sz w:val="24"/>
          <w:szCs w:val="24"/>
          <w:highlight w:val="none"/>
        </w:rPr>
      </w:pPr>
    </w:p>
    <w:p w14:paraId="2D7D3744">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                  法定代表人（或法定代表人授权代表）：</w:t>
      </w:r>
    </w:p>
    <w:p w14:paraId="37BDE7CC">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                        （签字或盖章）</w:t>
      </w:r>
    </w:p>
    <w:p w14:paraId="0B724A84">
      <w:pPr>
        <w:spacing w:line="276" w:lineRule="auto"/>
        <w:rPr>
          <w:rFonts w:ascii="方正仿宋_GBK" w:hAnsi="宋体" w:eastAsia="方正仿宋_GBK"/>
          <w:color w:val="auto"/>
          <w:sz w:val="24"/>
          <w:szCs w:val="24"/>
          <w:highlight w:val="none"/>
        </w:rPr>
      </w:pPr>
    </w:p>
    <w:p w14:paraId="3AA14F6B">
      <w:pPr>
        <w:snapToGrid w:val="0"/>
        <w:spacing w:line="276" w:lineRule="auto"/>
        <w:ind w:firstLine="4800" w:firstLineChars="20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年      月     日</w:t>
      </w:r>
    </w:p>
    <w:p w14:paraId="59708ED1">
      <w:pPr>
        <w:spacing w:line="276" w:lineRule="auto"/>
        <w:ind w:firstLine="480" w:firstLineChars="200"/>
        <w:rPr>
          <w:rFonts w:ascii="方正仿宋_GBK" w:hAnsi="宋体" w:eastAsia="方正仿宋_GBK"/>
          <w:color w:val="auto"/>
          <w:sz w:val="24"/>
          <w:szCs w:val="24"/>
          <w:highlight w:val="none"/>
        </w:rPr>
      </w:pPr>
    </w:p>
    <w:p w14:paraId="4E23C4B0">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w:t>
      </w:r>
    </w:p>
    <w:p w14:paraId="4D3D68D5">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w:t>
      </w:r>
      <w:r>
        <w:rPr>
          <w:rFonts w:hint="eastAsia" w:ascii="方正仿宋_GBK" w:hAnsi="方正仿宋_GBK" w:eastAsia="方正仿宋_GBK" w:cs="方正仿宋_GBK"/>
          <w:color w:val="auto"/>
          <w:sz w:val="24"/>
          <w:szCs w:val="24"/>
          <w:highlight w:val="none"/>
        </w:rPr>
        <w:t>采购人食堂2年物资数量仅供供应商计算报价所用，不作为中标后采购依据；</w:t>
      </w:r>
    </w:p>
    <w:p w14:paraId="47EB8580">
      <w:pPr>
        <w:spacing w:line="276" w:lineRule="auto"/>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2</w:t>
      </w:r>
      <w:r>
        <w:rPr>
          <w:rFonts w:hint="eastAsia" w:ascii="方正仿宋_GBK" w:hAnsi="宋体" w:eastAsia="方正仿宋_GBK"/>
          <w:color w:val="auto"/>
          <w:sz w:val="24"/>
          <w:szCs w:val="24"/>
          <w:highlight w:val="none"/>
        </w:rPr>
        <w:t>.请供应商完整填写本表；</w:t>
      </w:r>
    </w:p>
    <w:p w14:paraId="316D5C56">
      <w:pPr>
        <w:spacing w:line="276" w:lineRule="auto"/>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3</w:t>
      </w:r>
      <w:r>
        <w:rPr>
          <w:rFonts w:hint="eastAsia" w:ascii="方正仿宋_GBK" w:hAnsi="宋体" w:eastAsia="方正仿宋_GBK"/>
          <w:color w:val="auto"/>
          <w:sz w:val="24"/>
          <w:szCs w:val="24"/>
          <w:highlight w:val="none"/>
        </w:rPr>
        <w:t>.该表可扩展，并逐页签字或盖章。</w:t>
      </w:r>
    </w:p>
    <w:p w14:paraId="4B7C2B1B">
      <w:pPr>
        <w:snapToGrid w:val="0"/>
        <w:spacing w:line="276" w:lineRule="auto"/>
        <w:jc w:val="left"/>
        <w:rPr>
          <w:rFonts w:ascii="方正仿宋_GBK" w:hAnsi="宋体" w:eastAsia="方正仿宋_GBK"/>
          <w:color w:val="auto"/>
          <w:sz w:val="24"/>
          <w:szCs w:val="24"/>
          <w:highlight w:val="none"/>
        </w:rPr>
      </w:pPr>
      <w:r>
        <w:rPr>
          <w:rFonts w:hint="eastAsia" w:ascii="方正仿宋_GBK" w:eastAsia="方正仿宋_GBK"/>
          <w:color w:val="auto"/>
          <w:sz w:val="24"/>
          <w:szCs w:val="24"/>
          <w:highlight w:val="none"/>
        </w:rPr>
        <w:br w:type="page"/>
      </w:r>
      <w:bookmarkStart w:id="229" w:name="_Toc7171253"/>
      <w:bookmarkStart w:id="230" w:name="_Toc59621319"/>
      <w:bookmarkStart w:id="231" w:name="_Toc493178790"/>
      <w:r>
        <w:rPr>
          <w:rFonts w:hint="eastAsia" w:ascii="方正仿宋_GBK" w:hAnsi="宋体" w:eastAsia="方正仿宋_GBK"/>
          <w:color w:val="auto"/>
          <w:sz w:val="24"/>
          <w:szCs w:val="24"/>
          <w:highlight w:val="none"/>
        </w:rPr>
        <w:t>（二）分项报价明细表（包3）</w:t>
      </w:r>
    </w:p>
    <w:p w14:paraId="758E78CE">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项目编号：</w:t>
      </w:r>
    </w:p>
    <w:p w14:paraId="75BD7A68">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招标项目名称：鲜猪肉类</w:t>
      </w:r>
    </w:p>
    <w:tbl>
      <w:tblPr>
        <w:tblStyle w:val="20"/>
        <w:tblW w:w="5000" w:type="pct"/>
        <w:tblInd w:w="93" w:type="dxa"/>
        <w:tblLayout w:type="fixed"/>
        <w:tblCellMar>
          <w:top w:w="0" w:type="dxa"/>
          <w:left w:w="108" w:type="dxa"/>
          <w:bottom w:w="0" w:type="dxa"/>
          <w:right w:w="108" w:type="dxa"/>
        </w:tblCellMar>
      </w:tblPr>
      <w:tblGrid>
        <w:gridCol w:w="948"/>
        <w:gridCol w:w="2903"/>
        <w:gridCol w:w="1976"/>
        <w:gridCol w:w="1767"/>
        <w:gridCol w:w="1017"/>
        <w:gridCol w:w="1017"/>
      </w:tblGrid>
      <w:tr w14:paraId="04C3FBBF">
        <w:tblPrEx>
          <w:tblCellMar>
            <w:top w:w="0" w:type="dxa"/>
            <w:left w:w="108" w:type="dxa"/>
            <w:bottom w:w="0" w:type="dxa"/>
            <w:right w:w="108" w:type="dxa"/>
          </w:tblCellMar>
        </w:tblPrEx>
        <w:trPr>
          <w:trHeight w:val="66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DE67D">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序号</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02E2">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名称</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B57CB">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规格、品质要求</w:t>
            </w:r>
          </w:p>
        </w:tc>
        <w:tc>
          <w:tcPr>
            <w:tcW w:w="1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D4DB">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方正仿宋_GBK" w:eastAsia="方正仿宋_GBK" w:cs="方正仿宋_GBK"/>
                <w:b/>
                <w:bCs/>
                <w:color w:val="auto"/>
                <w:kern w:val="0"/>
                <w:sz w:val="24"/>
                <w:szCs w:val="24"/>
                <w:highlight w:val="none"/>
                <w:lang w:bidi="ar"/>
              </w:rPr>
              <w:t>所投产品生产厂家名称</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9D071">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数量</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E54B2">
            <w:pPr>
              <w:widowControl/>
              <w:jc w:val="center"/>
              <w:textAlignment w:val="center"/>
              <w:rPr>
                <w:rFonts w:ascii="方正仿宋_GBK" w:hAnsi="宋体" w:eastAsia="方正仿宋_GBK" w:cs="宋体"/>
                <w:b/>
                <w:bCs/>
                <w:color w:val="auto"/>
                <w:sz w:val="22"/>
                <w:szCs w:val="22"/>
                <w:highlight w:val="none"/>
              </w:rPr>
            </w:pPr>
            <w:r>
              <w:rPr>
                <w:rFonts w:hint="eastAsia" w:ascii="方正仿宋_GBK" w:hAnsi="宋体" w:eastAsia="方正仿宋_GBK" w:cs="宋体"/>
                <w:b/>
                <w:bCs/>
                <w:color w:val="auto"/>
                <w:kern w:val="0"/>
                <w:sz w:val="22"/>
                <w:szCs w:val="22"/>
                <w:highlight w:val="none"/>
                <w:lang w:bidi="ar"/>
              </w:rPr>
              <w:t>计量单位</w:t>
            </w:r>
          </w:p>
        </w:tc>
      </w:tr>
      <w:tr w14:paraId="63B5A715">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D820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18CB3">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宝肋肉</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F802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50D52">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CEDD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E007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348BAF83">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7AB3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04DF9">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精三线肉</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C200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471FA">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52C5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3832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1A49AEBF">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8F27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B33DF">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纤排</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1CE1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C77FD">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3F5C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7ECF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4F247FC8">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19D0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1952A">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前排</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46FF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8D69D">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E042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173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5BF44254">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6FD9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B4CD8">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香拐</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FBCC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A14FA">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3B03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CB97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0D93B07B">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1758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6</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64377">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尾骨</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6DF0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71598">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4257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E6C7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38CF8A2C">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6086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7</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D162">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肋排</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64E4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5E40B">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A433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5000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0E71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34FBC2C8">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481D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8</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5F65D">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脊骨</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91EC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EC60F">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0FA6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309C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0B43720B">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C4D2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9</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954A6">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扇子骨</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1189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9C3E8">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D6DB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664B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444FD9BF">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AB92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10</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D1C7A">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猪通排</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A46F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158FB">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F7A9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DB6F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C5E1BD1">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155F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11</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AEB6D">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猪肝</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652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3579E">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5290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4E41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3CF7638">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E113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12</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867B1">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里脊猪瘦肉</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EC7E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85B51">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3D6D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5DA9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0CA2D0E">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385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13</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9D832">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前猪蹄（猪手）</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7C79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19684">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846E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FCF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7321063">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F71C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14</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C3377">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后猪蹄（猪爪）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F05B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C15A0">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7F8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7472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3F6AFB39">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BA90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15</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FCC75">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猪肚子</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5B5A">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4640A">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E8D0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524A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08706E7">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47F2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16</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F56B6">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筒子骨</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E3F8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8462F">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943A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4471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190439D8">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0C0C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17</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8677">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带皮后腿肉</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03EB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32196">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C645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31AB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247FDE2F">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BCDD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18</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477AF">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猪腰子</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078D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8010F">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D5E2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2303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3AC3D5BA">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B79C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19</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C24C">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肥肠</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CA7A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803BD">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4363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18E1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787EEA2D">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B193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20</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01E3">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猪精瘦肉</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C301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CC469">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7A78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255B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135609B2">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AAFF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21</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E6FA0">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五花猪肉（三线）</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D2A7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3BD53">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2F0A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3950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7AFF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34B207F6">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EB44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22</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6CDA0">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猪心</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B580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DDE43">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48DA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A127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419C090B">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847D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23</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8619C">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猪舌</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5967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9D8D9">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EE9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D4CE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48628235">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3CB4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24</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A4C4C">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二刀肉</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DA97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3538">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754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4000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A90D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031B7BF6">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A14D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25</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E03C">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板油</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021C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BDFA6">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FCAE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3000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8EE51">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0FBF3F59">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F3A5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26</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F3C95">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猪蹄膀</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40A75">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1D451">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AE88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7CA0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29B4BDFF">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DFF0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27</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D1371">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整猪脚</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D1D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1B4EA">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65B5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BB6E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66D91007">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99FB4">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28</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07B7B">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夹子肉（猪后）</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DF54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7653C">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36A5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5B2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1360F2B7">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8C3DC">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29</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EABFB">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肥肉</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8ACF3">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FCE5A">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C37FF">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D21A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6291A04E">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C114E">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30</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08100">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猪眉毛肉</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C88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68941">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C74E2">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CB5A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07DCB8FD">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FCBF9">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31</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0C328">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前腿精瘦肉</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BBC1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C4B33">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DB2E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422E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0CF032E9">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1820D">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32</w:t>
            </w:r>
          </w:p>
        </w:tc>
        <w:tc>
          <w:tcPr>
            <w:tcW w:w="2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F2C7">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带皮前夹肉（带眉毛）</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B620">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3D0CE">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26F6">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960B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r w14:paraId="1960F296">
        <w:tblPrEx>
          <w:tblCellMar>
            <w:top w:w="0" w:type="dxa"/>
            <w:left w:w="108" w:type="dxa"/>
            <w:bottom w:w="0" w:type="dxa"/>
            <w:right w:w="108" w:type="dxa"/>
          </w:tblCellMar>
        </w:tblPrEx>
        <w:trPr>
          <w:trHeight w:val="440"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DD3BB">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33</w:t>
            </w:r>
          </w:p>
        </w:tc>
        <w:tc>
          <w:tcPr>
            <w:tcW w:w="2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0AAE3">
            <w:pPr>
              <w:widowControl/>
              <w:jc w:val="left"/>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带皮前夹肉</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8AD57">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散装、分割热鲜肉</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ECB81">
            <w:pPr>
              <w:widowControl/>
              <w:jc w:val="center"/>
              <w:textAlignment w:val="center"/>
              <w:rPr>
                <w:rFonts w:ascii="方正仿宋_GBK" w:hAnsi="宋体" w:eastAsia="方正仿宋_GBK" w:cs="宋体"/>
                <w:color w:val="auto"/>
                <w:sz w:val="22"/>
                <w:szCs w:val="22"/>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1F91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3500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DD068">
            <w:pPr>
              <w:widowControl/>
              <w:jc w:val="center"/>
              <w:textAlignment w:val="center"/>
              <w:rPr>
                <w:rFonts w:ascii="方正仿宋_GBK" w:hAnsi="宋体" w:eastAsia="方正仿宋_GBK" w:cs="宋体"/>
                <w:color w:val="auto"/>
                <w:sz w:val="22"/>
                <w:szCs w:val="22"/>
                <w:highlight w:val="none"/>
              </w:rPr>
            </w:pPr>
            <w:r>
              <w:rPr>
                <w:rFonts w:hint="eastAsia" w:ascii="方正仿宋_GBK" w:hAnsi="宋体" w:eastAsia="方正仿宋_GBK" w:cs="宋体"/>
                <w:color w:val="auto"/>
                <w:kern w:val="0"/>
                <w:sz w:val="22"/>
                <w:szCs w:val="22"/>
                <w:highlight w:val="none"/>
                <w:lang w:bidi="ar"/>
              </w:rPr>
              <w:t>斤</w:t>
            </w:r>
          </w:p>
        </w:tc>
      </w:tr>
    </w:tbl>
    <w:p w14:paraId="374735F1">
      <w:pPr>
        <w:spacing w:line="276" w:lineRule="auto"/>
        <w:rPr>
          <w:rFonts w:ascii="方正仿宋_GBK" w:hAnsi="宋体" w:eastAsia="方正仿宋_GBK"/>
          <w:color w:val="auto"/>
          <w:sz w:val="24"/>
          <w:szCs w:val="24"/>
          <w:highlight w:val="none"/>
        </w:rPr>
      </w:pPr>
    </w:p>
    <w:p w14:paraId="41ED2309">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                  法定代表人（或法定代表人授权代表）：</w:t>
      </w:r>
    </w:p>
    <w:p w14:paraId="4165EADC">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                        （签字或盖章）</w:t>
      </w:r>
    </w:p>
    <w:p w14:paraId="7DEFC48C">
      <w:pPr>
        <w:spacing w:line="276" w:lineRule="auto"/>
        <w:rPr>
          <w:rFonts w:ascii="方正仿宋_GBK" w:hAnsi="宋体" w:eastAsia="方正仿宋_GBK"/>
          <w:color w:val="auto"/>
          <w:sz w:val="24"/>
          <w:szCs w:val="24"/>
          <w:highlight w:val="none"/>
        </w:rPr>
      </w:pPr>
    </w:p>
    <w:p w14:paraId="72542BC3">
      <w:pPr>
        <w:snapToGrid w:val="0"/>
        <w:spacing w:line="276" w:lineRule="auto"/>
        <w:ind w:firstLine="4800" w:firstLineChars="20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年      月     日</w:t>
      </w:r>
    </w:p>
    <w:p w14:paraId="221FD040">
      <w:pPr>
        <w:spacing w:line="276" w:lineRule="auto"/>
        <w:ind w:firstLine="480" w:firstLineChars="200"/>
        <w:rPr>
          <w:rFonts w:ascii="方正仿宋_GBK" w:hAnsi="宋体" w:eastAsia="方正仿宋_GBK"/>
          <w:color w:val="auto"/>
          <w:sz w:val="24"/>
          <w:szCs w:val="24"/>
          <w:highlight w:val="none"/>
        </w:rPr>
      </w:pPr>
    </w:p>
    <w:p w14:paraId="3984FD32">
      <w:pPr>
        <w:spacing w:line="276" w:lineRule="auto"/>
        <w:ind w:firstLine="480" w:firstLineChars="200"/>
        <w:rPr>
          <w:rFonts w:ascii="方正仿宋_GBK" w:hAnsi="宋体" w:eastAsia="方正仿宋_GBK"/>
          <w:color w:val="auto"/>
          <w:sz w:val="24"/>
          <w:szCs w:val="24"/>
          <w:highlight w:val="none"/>
        </w:rPr>
      </w:pPr>
    </w:p>
    <w:p w14:paraId="3DF227C1">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w:t>
      </w:r>
    </w:p>
    <w:p w14:paraId="0DEBE09F">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w:t>
      </w:r>
      <w:r>
        <w:rPr>
          <w:rFonts w:hint="eastAsia" w:ascii="方正仿宋_GBK" w:hAnsi="方正仿宋_GBK" w:eastAsia="方正仿宋_GBK" w:cs="方正仿宋_GBK"/>
          <w:color w:val="auto"/>
          <w:sz w:val="24"/>
          <w:szCs w:val="24"/>
          <w:highlight w:val="none"/>
        </w:rPr>
        <w:t>采购人食堂2年物资数量仅供供应商计算报价所用，不作为中标后采购依据；</w:t>
      </w:r>
    </w:p>
    <w:p w14:paraId="2D14EE82">
      <w:pPr>
        <w:spacing w:line="276" w:lineRule="auto"/>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2</w:t>
      </w:r>
      <w:r>
        <w:rPr>
          <w:rFonts w:hint="eastAsia" w:ascii="方正仿宋_GBK" w:hAnsi="宋体" w:eastAsia="方正仿宋_GBK"/>
          <w:color w:val="auto"/>
          <w:sz w:val="24"/>
          <w:szCs w:val="24"/>
          <w:highlight w:val="none"/>
        </w:rPr>
        <w:t>.请供应商完整填写本表；</w:t>
      </w:r>
    </w:p>
    <w:p w14:paraId="170EB44A">
      <w:pPr>
        <w:spacing w:line="276" w:lineRule="auto"/>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3</w:t>
      </w:r>
      <w:r>
        <w:rPr>
          <w:rFonts w:hint="eastAsia" w:ascii="方正仿宋_GBK" w:hAnsi="宋体" w:eastAsia="方正仿宋_GBK"/>
          <w:color w:val="auto"/>
          <w:sz w:val="24"/>
          <w:szCs w:val="24"/>
          <w:highlight w:val="none"/>
        </w:rPr>
        <w:t>.该表可扩展，并逐页签字或盖章。</w:t>
      </w:r>
    </w:p>
    <w:p w14:paraId="2A27442A">
      <w:pPr>
        <w:spacing w:line="276" w:lineRule="auto"/>
        <w:rPr>
          <w:rFonts w:ascii="方正仿宋_GBK" w:eastAsia="方正仿宋_GBK"/>
          <w:b/>
          <w:color w:val="auto"/>
          <w:sz w:val="24"/>
          <w:szCs w:val="24"/>
          <w:highlight w:val="none"/>
        </w:rPr>
      </w:pPr>
      <w:r>
        <w:rPr>
          <w:rFonts w:hint="eastAsia" w:ascii="方正仿宋_GBK" w:eastAsia="方正仿宋_GBK"/>
          <w:color w:val="auto"/>
          <w:sz w:val="24"/>
          <w:szCs w:val="24"/>
          <w:highlight w:val="none"/>
        </w:rPr>
        <w:br w:type="page"/>
      </w:r>
      <w:r>
        <w:rPr>
          <w:rFonts w:hint="eastAsia" w:ascii="方正仿宋_GBK" w:eastAsia="方正仿宋_GBK"/>
          <w:b/>
          <w:color w:val="auto"/>
          <w:sz w:val="24"/>
          <w:szCs w:val="24"/>
          <w:highlight w:val="none"/>
        </w:rPr>
        <w:t>二、服务文件</w:t>
      </w:r>
      <w:bookmarkEnd w:id="229"/>
    </w:p>
    <w:p w14:paraId="3F6ECB76">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（一）服务（质量）条款差异表</w:t>
      </w:r>
    </w:p>
    <w:p w14:paraId="18803D4B">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项目号：</w:t>
      </w:r>
    </w:p>
    <w:p w14:paraId="0ABC2E68">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w:t>
      </w:r>
    </w:p>
    <w:p w14:paraId="704CFC2F">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包号：</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0BE05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54737DF3">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序号</w:t>
            </w:r>
          </w:p>
        </w:tc>
        <w:tc>
          <w:tcPr>
            <w:tcW w:w="1542" w:type="pct"/>
            <w:vAlign w:val="center"/>
          </w:tcPr>
          <w:p w14:paraId="6DB3BC40">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招标要求</w:t>
            </w:r>
          </w:p>
        </w:tc>
        <w:tc>
          <w:tcPr>
            <w:tcW w:w="1600" w:type="pct"/>
            <w:vAlign w:val="center"/>
          </w:tcPr>
          <w:p w14:paraId="2349CF73">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投标应答</w:t>
            </w:r>
          </w:p>
        </w:tc>
        <w:tc>
          <w:tcPr>
            <w:tcW w:w="1198" w:type="pct"/>
            <w:vAlign w:val="center"/>
          </w:tcPr>
          <w:p w14:paraId="61A82D57">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差异说明</w:t>
            </w:r>
          </w:p>
        </w:tc>
      </w:tr>
      <w:tr w14:paraId="10D74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855A6BA">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542" w:type="pct"/>
            <w:vAlign w:val="center"/>
          </w:tcPr>
          <w:p w14:paraId="48EA0CE1">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600" w:type="pct"/>
            <w:vAlign w:val="center"/>
          </w:tcPr>
          <w:p w14:paraId="55FCEF60">
            <w:pPr>
              <w:tabs>
                <w:tab w:val="left" w:pos="6300"/>
              </w:tabs>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提醒：请注明技术参数或具体内容以及投标文件中技术参数或具体内容的位置（页码）</w:t>
            </w:r>
          </w:p>
        </w:tc>
        <w:tc>
          <w:tcPr>
            <w:tcW w:w="1198" w:type="pct"/>
            <w:vAlign w:val="center"/>
          </w:tcPr>
          <w:p w14:paraId="63781555">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r>
      <w:tr w14:paraId="7C788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DDD045C">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542" w:type="pct"/>
            <w:vAlign w:val="center"/>
          </w:tcPr>
          <w:p w14:paraId="12FD0163">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600" w:type="pct"/>
            <w:vAlign w:val="center"/>
          </w:tcPr>
          <w:p w14:paraId="0F2ADCC7">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198" w:type="pct"/>
            <w:vAlign w:val="center"/>
          </w:tcPr>
          <w:p w14:paraId="7A647F67">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r>
      <w:tr w14:paraId="5778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7BA99A7">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542" w:type="pct"/>
            <w:vAlign w:val="center"/>
          </w:tcPr>
          <w:p w14:paraId="0CA5616E">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600" w:type="pct"/>
            <w:vAlign w:val="center"/>
          </w:tcPr>
          <w:p w14:paraId="3F97708F">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198" w:type="pct"/>
            <w:vAlign w:val="center"/>
          </w:tcPr>
          <w:p w14:paraId="2FC5EF3F">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r>
      <w:tr w14:paraId="1430C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68F14F1">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542" w:type="pct"/>
            <w:vAlign w:val="center"/>
          </w:tcPr>
          <w:p w14:paraId="2A232B6F">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600" w:type="pct"/>
            <w:vAlign w:val="center"/>
          </w:tcPr>
          <w:p w14:paraId="2245F88C">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198" w:type="pct"/>
            <w:vAlign w:val="center"/>
          </w:tcPr>
          <w:p w14:paraId="715CE7AD">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r>
      <w:tr w14:paraId="2B69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EA9D5D2">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542" w:type="pct"/>
            <w:vAlign w:val="center"/>
          </w:tcPr>
          <w:p w14:paraId="447C9562">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600" w:type="pct"/>
            <w:vAlign w:val="center"/>
          </w:tcPr>
          <w:p w14:paraId="7A7B9E00">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198" w:type="pct"/>
            <w:vAlign w:val="center"/>
          </w:tcPr>
          <w:p w14:paraId="73695830">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r>
      <w:tr w14:paraId="18319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B66D638">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542" w:type="pct"/>
            <w:vAlign w:val="center"/>
          </w:tcPr>
          <w:p w14:paraId="33352492">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600" w:type="pct"/>
            <w:vAlign w:val="center"/>
          </w:tcPr>
          <w:p w14:paraId="18C8C331">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198" w:type="pct"/>
            <w:vAlign w:val="center"/>
          </w:tcPr>
          <w:p w14:paraId="68F4F395">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r>
      <w:tr w14:paraId="16334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0AB2E5D">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542" w:type="pct"/>
            <w:vAlign w:val="center"/>
          </w:tcPr>
          <w:p w14:paraId="021E7DD4">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600" w:type="pct"/>
            <w:vAlign w:val="center"/>
          </w:tcPr>
          <w:p w14:paraId="66CDF1E6">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198" w:type="pct"/>
            <w:vAlign w:val="center"/>
          </w:tcPr>
          <w:p w14:paraId="05C5F421">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r>
      <w:tr w14:paraId="4774B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8F227C3">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542" w:type="pct"/>
            <w:vAlign w:val="center"/>
          </w:tcPr>
          <w:p w14:paraId="0CEC52D0">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600" w:type="pct"/>
            <w:vAlign w:val="center"/>
          </w:tcPr>
          <w:p w14:paraId="6131A969">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198" w:type="pct"/>
            <w:vAlign w:val="center"/>
          </w:tcPr>
          <w:p w14:paraId="493D15A8">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r>
      <w:tr w14:paraId="3C7B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3F0E9CF">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542" w:type="pct"/>
            <w:vAlign w:val="center"/>
          </w:tcPr>
          <w:p w14:paraId="2C468AB5">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600" w:type="pct"/>
            <w:vAlign w:val="center"/>
          </w:tcPr>
          <w:p w14:paraId="294419CC">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c>
          <w:tcPr>
            <w:tcW w:w="1198" w:type="pct"/>
            <w:vAlign w:val="center"/>
          </w:tcPr>
          <w:p w14:paraId="349E6AFF">
            <w:pPr>
              <w:tabs>
                <w:tab w:val="left" w:pos="6300"/>
              </w:tabs>
              <w:snapToGrid w:val="0"/>
              <w:spacing w:line="276" w:lineRule="auto"/>
              <w:ind w:firstLine="480" w:firstLineChars="200"/>
              <w:rPr>
                <w:rFonts w:ascii="方正仿宋_GBK" w:hAnsi="宋体" w:eastAsia="方正仿宋_GBK"/>
                <w:color w:val="auto"/>
                <w:sz w:val="24"/>
                <w:szCs w:val="24"/>
                <w:highlight w:val="none"/>
              </w:rPr>
            </w:pPr>
          </w:p>
        </w:tc>
      </w:tr>
    </w:tbl>
    <w:p w14:paraId="693100B3">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                      法定代表人（或法定代表人授权代表）：</w:t>
      </w:r>
    </w:p>
    <w:p w14:paraId="17F4CCF0">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    </w:t>
      </w:r>
    </w:p>
    <w:p w14:paraId="2566DAF9">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                               （签署或盖章）</w:t>
      </w:r>
    </w:p>
    <w:p w14:paraId="75EB3661">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                                            年     月     日</w:t>
      </w:r>
    </w:p>
    <w:p w14:paraId="5B9222B8">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w:t>
      </w:r>
    </w:p>
    <w:p w14:paraId="104AD3E0">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1.本表即为对本项目“第二篇  项目服务需求”中所列条款进行比较和响应；</w:t>
      </w:r>
    </w:p>
    <w:p w14:paraId="21AEE27D">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2.本表可扩展；</w:t>
      </w:r>
    </w:p>
    <w:p w14:paraId="4D338C08">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3.可附相关支撑材料。（格式自定）</w:t>
      </w:r>
    </w:p>
    <w:p w14:paraId="4D8FF8B4">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4.投标应答栏中应当注明技术参数或具体内容，且必须标注技术参数或具体内容在投标文件中的位置（页码）。</w:t>
      </w:r>
    </w:p>
    <w:p w14:paraId="2744FD84">
      <w:pPr>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br w:type="page"/>
      </w:r>
      <w:bookmarkEnd w:id="230"/>
      <w:bookmarkEnd w:id="231"/>
      <w:r>
        <w:rPr>
          <w:rFonts w:hint="eastAsia" w:ascii="方正仿宋_GBK" w:hAnsi="宋体" w:eastAsia="方正仿宋_GBK"/>
          <w:color w:val="auto"/>
          <w:sz w:val="24"/>
          <w:szCs w:val="24"/>
          <w:highlight w:val="none"/>
        </w:rPr>
        <w:t>（二）其他服务资料（如有）</w:t>
      </w:r>
    </w:p>
    <w:p w14:paraId="1CBE688D">
      <w:pPr>
        <w:snapToGrid w:val="0"/>
        <w:spacing w:line="276" w:lineRule="auto"/>
        <w:ind w:firstLine="480" w:firstLineChars="200"/>
        <w:rPr>
          <w:rFonts w:ascii="方正仿宋_GBK" w:hAnsi="宋体" w:eastAsia="方正仿宋_GBK"/>
          <w:color w:val="auto"/>
          <w:sz w:val="24"/>
          <w:szCs w:val="24"/>
          <w:highlight w:val="none"/>
        </w:rPr>
      </w:pPr>
    </w:p>
    <w:p w14:paraId="4FBDBA85">
      <w:pPr>
        <w:snapToGrid w:val="0"/>
        <w:spacing w:line="276" w:lineRule="auto"/>
        <w:ind w:firstLine="480" w:firstLineChars="200"/>
        <w:rPr>
          <w:rFonts w:ascii="方正仿宋_GBK" w:eastAsia="方正仿宋_GBK"/>
          <w:color w:val="auto"/>
          <w:sz w:val="24"/>
          <w:szCs w:val="24"/>
          <w:highlight w:val="none"/>
        </w:rPr>
      </w:pPr>
    </w:p>
    <w:p w14:paraId="3CA95D3A">
      <w:pPr>
        <w:spacing w:line="276" w:lineRule="auto"/>
        <w:rPr>
          <w:rFonts w:ascii="方正仿宋_GBK" w:eastAsia="方正仿宋_GBK"/>
          <w:b/>
          <w:color w:val="auto"/>
          <w:sz w:val="24"/>
          <w:szCs w:val="24"/>
          <w:highlight w:val="none"/>
        </w:rPr>
      </w:pPr>
      <w:r>
        <w:rPr>
          <w:rFonts w:hint="eastAsia" w:ascii="方正仿宋_GBK" w:hAnsi="仿宋" w:eastAsia="方正仿宋_GBK"/>
          <w:color w:val="auto"/>
          <w:sz w:val="24"/>
          <w:szCs w:val="24"/>
          <w:highlight w:val="none"/>
        </w:rPr>
        <w:br w:type="page"/>
      </w:r>
      <w:bookmarkStart w:id="232" w:name="_Toc493178791"/>
      <w:bookmarkStart w:id="233" w:name="_Toc59621320"/>
      <w:bookmarkStart w:id="234" w:name="_Toc492721039"/>
      <w:r>
        <w:rPr>
          <w:rFonts w:hint="eastAsia" w:ascii="方正仿宋_GBK" w:eastAsia="方正仿宋_GBK"/>
          <w:b/>
          <w:color w:val="auto"/>
          <w:sz w:val="24"/>
          <w:szCs w:val="24"/>
          <w:highlight w:val="none"/>
        </w:rPr>
        <w:t>三、商务文件</w:t>
      </w:r>
      <w:bookmarkEnd w:id="232"/>
      <w:bookmarkEnd w:id="233"/>
      <w:bookmarkEnd w:id="234"/>
    </w:p>
    <w:p w14:paraId="486A5CE7">
      <w:pPr>
        <w:snapToGrid w:val="0"/>
        <w:spacing w:before="120" w:beforeLines="50"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（一）投标函（格式）</w:t>
      </w:r>
    </w:p>
    <w:p w14:paraId="337AD3CC">
      <w:pPr>
        <w:spacing w:line="276" w:lineRule="auto"/>
        <w:ind w:firstLine="480" w:firstLineChars="200"/>
        <w:rPr>
          <w:rFonts w:ascii="方正仿宋_GBK" w:hAnsi="宋体" w:eastAsia="方正仿宋_GBK"/>
          <w:color w:val="auto"/>
          <w:sz w:val="24"/>
          <w:szCs w:val="24"/>
          <w:highlight w:val="none"/>
          <w:u w:val="single"/>
        </w:rPr>
      </w:pPr>
      <w:r>
        <w:rPr>
          <w:rFonts w:hint="eastAsia" w:ascii="方正仿宋_GBK" w:hAnsi="宋体" w:eastAsia="方正仿宋_GBK"/>
          <w:color w:val="auto"/>
          <w:sz w:val="24"/>
          <w:szCs w:val="24"/>
          <w:highlight w:val="none"/>
        </w:rPr>
        <w:t>招标项目名称：</w:t>
      </w:r>
      <w:r>
        <w:rPr>
          <w:rFonts w:hint="eastAsia" w:ascii="方正仿宋_GBK" w:hAnsi="宋体" w:eastAsia="方正仿宋_GBK"/>
          <w:color w:val="auto"/>
          <w:sz w:val="24"/>
          <w:szCs w:val="24"/>
          <w:highlight w:val="none"/>
          <w:u w:val="single"/>
        </w:rPr>
        <w:t xml:space="preserve">                                             </w:t>
      </w:r>
    </w:p>
    <w:p w14:paraId="0A1C16B3">
      <w:pPr>
        <w:tabs>
          <w:tab w:val="left" w:pos="6300"/>
        </w:tabs>
        <w:snapToGrid w:val="0"/>
        <w:spacing w:line="276" w:lineRule="auto"/>
        <w:ind w:firstLine="480" w:firstLineChars="200"/>
        <w:rPr>
          <w:rFonts w:ascii="方正仿宋_GBK" w:hAnsi="宋体" w:eastAsia="方正仿宋_GBK"/>
          <w:color w:val="auto"/>
          <w:sz w:val="24"/>
          <w:szCs w:val="24"/>
          <w:highlight w:val="none"/>
          <w:u w:val="single"/>
        </w:rPr>
      </w:pPr>
      <w:r>
        <w:rPr>
          <w:rFonts w:hint="eastAsia" w:ascii="方正仿宋_GBK" w:hAnsi="宋体" w:eastAsia="方正仿宋_GBK"/>
          <w:color w:val="auto"/>
          <w:sz w:val="24"/>
          <w:szCs w:val="24"/>
          <w:highlight w:val="none"/>
        </w:rPr>
        <w:t>包号：</w:t>
      </w:r>
      <w:r>
        <w:rPr>
          <w:rFonts w:hint="eastAsia" w:ascii="方正仿宋_GBK" w:hAnsi="宋体" w:eastAsia="方正仿宋_GBK"/>
          <w:color w:val="auto"/>
          <w:sz w:val="24"/>
          <w:szCs w:val="24"/>
          <w:highlight w:val="none"/>
          <w:u w:val="single"/>
        </w:rPr>
        <w:t xml:space="preserve">      </w:t>
      </w:r>
    </w:p>
    <w:p w14:paraId="729F7F7B">
      <w:pPr>
        <w:tabs>
          <w:tab w:val="left" w:pos="6300"/>
        </w:tabs>
        <w:snapToGrid w:val="0"/>
        <w:spacing w:line="276" w:lineRule="auto"/>
        <w:rPr>
          <w:rFonts w:ascii="方正仿宋_GBK" w:hAnsi="宋体" w:eastAsia="方正仿宋_GBK"/>
          <w:color w:val="auto"/>
          <w:sz w:val="24"/>
          <w:szCs w:val="24"/>
          <w:highlight w:val="none"/>
        </w:rPr>
      </w:pPr>
    </w:p>
    <w:p w14:paraId="6BEA8333">
      <w:pPr>
        <w:tabs>
          <w:tab w:val="left" w:pos="6300"/>
        </w:tabs>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致：</w:t>
      </w:r>
      <w:r>
        <w:rPr>
          <w:rFonts w:hint="eastAsia" w:ascii="方正仿宋_GBK" w:hAnsi="宋体" w:eastAsia="方正仿宋_GBK"/>
          <w:color w:val="auto"/>
          <w:sz w:val="24"/>
          <w:szCs w:val="24"/>
          <w:highlight w:val="none"/>
          <w:u w:val="single"/>
        </w:rPr>
        <w:t>重庆工商大学</w:t>
      </w:r>
      <w:r>
        <w:rPr>
          <w:rFonts w:hint="eastAsia" w:ascii="方正仿宋_GBK" w:hAnsi="宋体" w:eastAsia="方正仿宋_GBK"/>
          <w:color w:val="auto"/>
          <w:sz w:val="24"/>
          <w:szCs w:val="24"/>
          <w:highlight w:val="none"/>
        </w:rPr>
        <w:t>：</w:t>
      </w:r>
    </w:p>
    <w:p w14:paraId="1EB81C90">
      <w:pPr>
        <w:snapToGrid w:val="0"/>
        <w:spacing w:before="120" w:beforeLines="50"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（供应商名称）系中华人民共和国合法企业，注册地址：</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。我方就参加本次投标有关事项郑重声明如下：</w:t>
      </w:r>
    </w:p>
    <w:p w14:paraId="182C7C7C">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一、我方完全理解并接受该项目招标文件所有要求。</w:t>
      </w:r>
    </w:p>
    <w:p w14:paraId="7DB04F0D">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二、我方提交的所有投标文件、资料都是准确和真实的，如有虚假或隐瞒，我方愿意承担一切法律责任。</w:t>
      </w:r>
    </w:p>
    <w:p w14:paraId="6FD593CA">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三、我方承诺按照招标文件要求，提供招标项目的服务。</w:t>
      </w:r>
    </w:p>
    <w:p w14:paraId="6F93A624">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四、我方按招标文件要求提交的投标文件为：投标文件正本1份，副本 2 份，电子文档 1 份。</w:t>
      </w:r>
    </w:p>
    <w:p w14:paraId="0E59935D">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五、我方承诺：本次投标的投标有效期为投标截止日期起90天。</w:t>
      </w:r>
    </w:p>
    <w:p w14:paraId="1D771A00">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六、我方投标报价为闭口价。即在投标有效期和合同有效期内，该报价固定不变。</w:t>
      </w:r>
    </w:p>
    <w:p w14:paraId="7D2D22DA">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七、如果我方中标，我方将履行招标文件中规定的各项要求以及我方投标文件的各项承诺，按《政府采购法》、《民法典》及合同约定条款承担我方责任。</w:t>
      </w:r>
    </w:p>
    <w:p w14:paraId="479EEF85">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八、我方未为采购项目提供整体设计、规范编制或者项目管理、监理、检测等服务。</w:t>
      </w:r>
    </w:p>
    <w:p w14:paraId="37579191">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九、我方理解，最低报价不是中标的唯一条件。</w:t>
      </w:r>
    </w:p>
    <w:p w14:paraId="35782FC2">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十、我方同意按有关规定及招标文件要求，交纳足额投标保证金。</w:t>
      </w:r>
    </w:p>
    <w:p w14:paraId="5ECCF546">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十一、若我方中标，愿意按有关规定及招标文件要求缴纳招标代理服务费和交易服务费。</w:t>
      </w:r>
    </w:p>
    <w:p w14:paraId="77EA696D">
      <w:pPr>
        <w:tabs>
          <w:tab w:val="left" w:pos="6300"/>
        </w:tabs>
        <w:snapToGrid w:val="0"/>
        <w:spacing w:line="276" w:lineRule="auto"/>
        <w:ind w:firstLine="5700" w:firstLineChars="2375"/>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w:t>
      </w:r>
    </w:p>
    <w:p w14:paraId="76DB631F">
      <w:pPr>
        <w:tabs>
          <w:tab w:val="left" w:pos="6300"/>
        </w:tabs>
        <w:snapToGrid w:val="0"/>
        <w:spacing w:line="276" w:lineRule="auto"/>
        <w:ind w:firstLine="5760" w:firstLineChars="24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年    月   日</w:t>
      </w:r>
    </w:p>
    <w:p w14:paraId="59768516">
      <w:pPr>
        <w:tabs>
          <w:tab w:val="left" w:pos="6300"/>
        </w:tabs>
        <w:snapToGrid w:val="0"/>
        <w:spacing w:line="276" w:lineRule="auto"/>
        <w:ind w:firstLine="57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br w:type="page"/>
      </w:r>
      <w:r>
        <w:rPr>
          <w:rFonts w:hint="eastAsia" w:ascii="方正仿宋_GBK" w:hAnsi="仿宋" w:eastAsia="方正仿宋_GBK"/>
          <w:color w:val="auto"/>
          <w:sz w:val="24"/>
          <w:szCs w:val="24"/>
          <w:highlight w:val="none"/>
        </w:rPr>
        <w:t>（二）商务条款差异表</w:t>
      </w:r>
    </w:p>
    <w:p w14:paraId="32DC7B54">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项目号：</w:t>
      </w:r>
    </w:p>
    <w:p w14:paraId="4F74134A">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w:t>
      </w:r>
    </w:p>
    <w:p w14:paraId="3314EC8E">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包号：</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8"/>
        <w:gridCol w:w="3082"/>
        <w:gridCol w:w="2307"/>
      </w:tblGrid>
      <w:tr w14:paraId="2DDE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44C3C1ED">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序号</w:t>
            </w:r>
          </w:p>
        </w:tc>
        <w:tc>
          <w:tcPr>
            <w:tcW w:w="1541" w:type="pct"/>
            <w:vAlign w:val="center"/>
          </w:tcPr>
          <w:p w14:paraId="24F37FBC">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招标商务要求</w:t>
            </w:r>
          </w:p>
        </w:tc>
        <w:tc>
          <w:tcPr>
            <w:tcW w:w="1600" w:type="pct"/>
            <w:vAlign w:val="center"/>
          </w:tcPr>
          <w:p w14:paraId="2C781296">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投标商务应答</w:t>
            </w:r>
          </w:p>
        </w:tc>
        <w:tc>
          <w:tcPr>
            <w:tcW w:w="1198" w:type="pct"/>
            <w:vAlign w:val="center"/>
          </w:tcPr>
          <w:p w14:paraId="156DBC51">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差异说明</w:t>
            </w:r>
          </w:p>
        </w:tc>
      </w:tr>
      <w:tr w14:paraId="7F91E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FC81440">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541" w:type="pct"/>
            <w:vAlign w:val="center"/>
          </w:tcPr>
          <w:p w14:paraId="79BDBF33">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600" w:type="pct"/>
            <w:vAlign w:val="center"/>
          </w:tcPr>
          <w:p w14:paraId="7F5D1391">
            <w:pPr>
              <w:tabs>
                <w:tab w:val="left" w:pos="6300"/>
              </w:tabs>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提醒：请注明具体内容以及投标文件中具体内容的位置（页码）</w:t>
            </w:r>
          </w:p>
        </w:tc>
        <w:tc>
          <w:tcPr>
            <w:tcW w:w="1198" w:type="pct"/>
            <w:vAlign w:val="center"/>
          </w:tcPr>
          <w:p w14:paraId="30C48E40">
            <w:pPr>
              <w:tabs>
                <w:tab w:val="left" w:pos="6300"/>
              </w:tabs>
              <w:snapToGrid w:val="0"/>
              <w:spacing w:line="276" w:lineRule="auto"/>
              <w:ind w:firstLine="570"/>
              <w:rPr>
                <w:rFonts w:ascii="方正仿宋_GBK" w:hAnsi="宋体" w:eastAsia="方正仿宋_GBK"/>
                <w:color w:val="auto"/>
                <w:sz w:val="24"/>
                <w:szCs w:val="24"/>
                <w:highlight w:val="none"/>
              </w:rPr>
            </w:pPr>
          </w:p>
        </w:tc>
      </w:tr>
      <w:tr w14:paraId="69A2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B8C440E">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541" w:type="pct"/>
            <w:vAlign w:val="center"/>
          </w:tcPr>
          <w:p w14:paraId="6F1B81C2">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600" w:type="pct"/>
            <w:vAlign w:val="center"/>
          </w:tcPr>
          <w:p w14:paraId="0D4DE3EB">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198" w:type="pct"/>
            <w:vAlign w:val="center"/>
          </w:tcPr>
          <w:p w14:paraId="002D6C57">
            <w:pPr>
              <w:tabs>
                <w:tab w:val="left" w:pos="6300"/>
              </w:tabs>
              <w:snapToGrid w:val="0"/>
              <w:spacing w:line="276" w:lineRule="auto"/>
              <w:ind w:firstLine="570"/>
              <w:rPr>
                <w:rFonts w:ascii="方正仿宋_GBK" w:hAnsi="宋体" w:eastAsia="方正仿宋_GBK"/>
                <w:color w:val="auto"/>
                <w:sz w:val="24"/>
                <w:szCs w:val="24"/>
                <w:highlight w:val="none"/>
              </w:rPr>
            </w:pPr>
          </w:p>
        </w:tc>
      </w:tr>
      <w:tr w14:paraId="1A170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71C7DF3">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541" w:type="pct"/>
            <w:vAlign w:val="center"/>
          </w:tcPr>
          <w:p w14:paraId="6B18979C">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600" w:type="pct"/>
            <w:vAlign w:val="center"/>
          </w:tcPr>
          <w:p w14:paraId="297D2EB0">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198" w:type="pct"/>
            <w:vAlign w:val="center"/>
          </w:tcPr>
          <w:p w14:paraId="4274E8E2">
            <w:pPr>
              <w:tabs>
                <w:tab w:val="left" w:pos="6300"/>
              </w:tabs>
              <w:snapToGrid w:val="0"/>
              <w:spacing w:line="276" w:lineRule="auto"/>
              <w:ind w:firstLine="570"/>
              <w:rPr>
                <w:rFonts w:ascii="方正仿宋_GBK" w:hAnsi="宋体" w:eastAsia="方正仿宋_GBK"/>
                <w:color w:val="auto"/>
                <w:sz w:val="24"/>
                <w:szCs w:val="24"/>
                <w:highlight w:val="none"/>
              </w:rPr>
            </w:pPr>
          </w:p>
        </w:tc>
      </w:tr>
      <w:tr w14:paraId="16FE1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FD5AD2D">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541" w:type="pct"/>
            <w:vAlign w:val="center"/>
          </w:tcPr>
          <w:p w14:paraId="43618FD5">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600" w:type="pct"/>
            <w:vAlign w:val="center"/>
          </w:tcPr>
          <w:p w14:paraId="10D7BB38">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198" w:type="pct"/>
            <w:vAlign w:val="center"/>
          </w:tcPr>
          <w:p w14:paraId="3F3608D8">
            <w:pPr>
              <w:tabs>
                <w:tab w:val="left" w:pos="6300"/>
              </w:tabs>
              <w:snapToGrid w:val="0"/>
              <w:spacing w:line="276" w:lineRule="auto"/>
              <w:ind w:firstLine="570"/>
              <w:rPr>
                <w:rFonts w:ascii="方正仿宋_GBK" w:hAnsi="宋体" w:eastAsia="方正仿宋_GBK"/>
                <w:color w:val="auto"/>
                <w:sz w:val="24"/>
                <w:szCs w:val="24"/>
                <w:highlight w:val="none"/>
              </w:rPr>
            </w:pPr>
          </w:p>
        </w:tc>
      </w:tr>
      <w:tr w14:paraId="1BEE9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C641CCE">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541" w:type="pct"/>
            <w:vAlign w:val="center"/>
          </w:tcPr>
          <w:p w14:paraId="17B1E32E">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600" w:type="pct"/>
            <w:vAlign w:val="center"/>
          </w:tcPr>
          <w:p w14:paraId="1E65151C">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198" w:type="pct"/>
            <w:vAlign w:val="center"/>
          </w:tcPr>
          <w:p w14:paraId="26E78BE5">
            <w:pPr>
              <w:tabs>
                <w:tab w:val="left" w:pos="6300"/>
              </w:tabs>
              <w:snapToGrid w:val="0"/>
              <w:spacing w:line="276" w:lineRule="auto"/>
              <w:ind w:firstLine="570"/>
              <w:rPr>
                <w:rFonts w:ascii="方正仿宋_GBK" w:hAnsi="宋体" w:eastAsia="方正仿宋_GBK"/>
                <w:color w:val="auto"/>
                <w:sz w:val="24"/>
                <w:szCs w:val="24"/>
                <w:highlight w:val="none"/>
              </w:rPr>
            </w:pPr>
          </w:p>
        </w:tc>
      </w:tr>
      <w:tr w14:paraId="79C0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B20C78F">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541" w:type="pct"/>
            <w:vAlign w:val="center"/>
          </w:tcPr>
          <w:p w14:paraId="23947B0A">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600" w:type="pct"/>
            <w:vAlign w:val="center"/>
          </w:tcPr>
          <w:p w14:paraId="1240EA0E">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198" w:type="pct"/>
            <w:vAlign w:val="center"/>
          </w:tcPr>
          <w:p w14:paraId="5F5FD022">
            <w:pPr>
              <w:tabs>
                <w:tab w:val="left" w:pos="6300"/>
              </w:tabs>
              <w:snapToGrid w:val="0"/>
              <w:spacing w:line="276" w:lineRule="auto"/>
              <w:ind w:firstLine="570"/>
              <w:rPr>
                <w:rFonts w:ascii="方正仿宋_GBK" w:hAnsi="宋体" w:eastAsia="方正仿宋_GBK"/>
                <w:color w:val="auto"/>
                <w:sz w:val="24"/>
                <w:szCs w:val="24"/>
                <w:highlight w:val="none"/>
              </w:rPr>
            </w:pPr>
          </w:p>
        </w:tc>
      </w:tr>
      <w:tr w14:paraId="7266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CC4BBA3">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541" w:type="pct"/>
            <w:vAlign w:val="center"/>
          </w:tcPr>
          <w:p w14:paraId="525F58D2">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600" w:type="pct"/>
            <w:vAlign w:val="center"/>
          </w:tcPr>
          <w:p w14:paraId="2EDF4CD4">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198" w:type="pct"/>
            <w:vAlign w:val="center"/>
          </w:tcPr>
          <w:p w14:paraId="47932101">
            <w:pPr>
              <w:tabs>
                <w:tab w:val="left" w:pos="6300"/>
              </w:tabs>
              <w:snapToGrid w:val="0"/>
              <w:spacing w:line="276" w:lineRule="auto"/>
              <w:ind w:firstLine="570"/>
              <w:rPr>
                <w:rFonts w:ascii="方正仿宋_GBK" w:hAnsi="宋体" w:eastAsia="方正仿宋_GBK"/>
                <w:color w:val="auto"/>
                <w:sz w:val="24"/>
                <w:szCs w:val="24"/>
                <w:highlight w:val="none"/>
              </w:rPr>
            </w:pPr>
          </w:p>
        </w:tc>
      </w:tr>
      <w:tr w14:paraId="01D5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E61BD8B">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541" w:type="pct"/>
            <w:vAlign w:val="center"/>
          </w:tcPr>
          <w:p w14:paraId="16B163ED">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600" w:type="pct"/>
            <w:vAlign w:val="center"/>
          </w:tcPr>
          <w:p w14:paraId="2E533A30">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198" w:type="pct"/>
            <w:vAlign w:val="center"/>
          </w:tcPr>
          <w:p w14:paraId="49EC1B07">
            <w:pPr>
              <w:tabs>
                <w:tab w:val="left" w:pos="6300"/>
              </w:tabs>
              <w:snapToGrid w:val="0"/>
              <w:spacing w:line="276" w:lineRule="auto"/>
              <w:ind w:firstLine="570"/>
              <w:rPr>
                <w:rFonts w:ascii="方正仿宋_GBK" w:hAnsi="宋体" w:eastAsia="方正仿宋_GBK"/>
                <w:color w:val="auto"/>
                <w:sz w:val="24"/>
                <w:szCs w:val="24"/>
                <w:highlight w:val="none"/>
              </w:rPr>
            </w:pPr>
          </w:p>
        </w:tc>
      </w:tr>
      <w:tr w14:paraId="4EF44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08D8BE7">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541" w:type="pct"/>
            <w:vAlign w:val="center"/>
          </w:tcPr>
          <w:p w14:paraId="513CDFE8">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600" w:type="pct"/>
            <w:vAlign w:val="center"/>
          </w:tcPr>
          <w:p w14:paraId="2766A097">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198" w:type="pct"/>
            <w:vAlign w:val="center"/>
          </w:tcPr>
          <w:p w14:paraId="272B9B5F">
            <w:pPr>
              <w:tabs>
                <w:tab w:val="left" w:pos="6300"/>
              </w:tabs>
              <w:snapToGrid w:val="0"/>
              <w:spacing w:line="276" w:lineRule="auto"/>
              <w:ind w:firstLine="570"/>
              <w:rPr>
                <w:rFonts w:ascii="方正仿宋_GBK" w:hAnsi="宋体" w:eastAsia="方正仿宋_GBK"/>
                <w:color w:val="auto"/>
                <w:sz w:val="24"/>
                <w:szCs w:val="24"/>
                <w:highlight w:val="none"/>
              </w:rPr>
            </w:pPr>
          </w:p>
        </w:tc>
      </w:tr>
      <w:tr w14:paraId="76FA8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D8E25A7">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541" w:type="pct"/>
            <w:vAlign w:val="center"/>
          </w:tcPr>
          <w:p w14:paraId="214722E7">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600" w:type="pct"/>
            <w:vAlign w:val="center"/>
          </w:tcPr>
          <w:p w14:paraId="4112CA57">
            <w:pPr>
              <w:tabs>
                <w:tab w:val="left" w:pos="6300"/>
              </w:tabs>
              <w:snapToGrid w:val="0"/>
              <w:spacing w:line="276" w:lineRule="auto"/>
              <w:ind w:firstLine="570"/>
              <w:rPr>
                <w:rFonts w:ascii="方正仿宋_GBK" w:hAnsi="宋体" w:eastAsia="方正仿宋_GBK"/>
                <w:color w:val="auto"/>
                <w:sz w:val="24"/>
                <w:szCs w:val="24"/>
                <w:highlight w:val="none"/>
              </w:rPr>
            </w:pPr>
          </w:p>
        </w:tc>
        <w:tc>
          <w:tcPr>
            <w:tcW w:w="1198" w:type="pct"/>
            <w:vAlign w:val="center"/>
          </w:tcPr>
          <w:p w14:paraId="08E93DF5">
            <w:pPr>
              <w:tabs>
                <w:tab w:val="left" w:pos="6300"/>
              </w:tabs>
              <w:snapToGrid w:val="0"/>
              <w:spacing w:line="276" w:lineRule="auto"/>
              <w:ind w:firstLine="570"/>
              <w:rPr>
                <w:rFonts w:ascii="方正仿宋_GBK" w:hAnsi="宋体" w:eastAsia="方正仿宋_GBK"/>
                <w:color w:val="auto"/>
                <w:sz w:val="24"/>
                <w:szCs w:val="24"/>
                <w:highlight w:val="none"/>
              </w:rPr>
            </w:pPr>
          </w:p>
        </w:tc>
      </w:tr>
    </w:tbl>
    <w:p w14:paraId="03CDE052">
      <w:pPr>
        <w:tabs>
          <w:tab w:val="left" w:pos="6300"/>
        </w:tabs>
        <w:snapToGrid w:val="0"/>
        <w:spacing w:line="276" w:lineRule="auto"/>
        <w:ind w:firstLine="570"/>
        <w:rPr>
          <w:rFonts w:ascii="方正仿宋_GBK" w:hAnsi="宋体" w:eastAsia="方正仿宋_GBK"/>
          <w:color w:val="auto"/>
          <w:sz w:val="24"/>
          <w:szCs w:val="24"/>
          <w:highlight w:val="none"/>
        </w:rPr>
      </w:pPr>
    </w:p>
    <w:p w14:paraId="0C2352A1">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                     法定代表人（或法定代表人授权代表）：</w:t>
      </w:r>
    </w:p>
    <w:p w14:paraId="42259DBD">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    （供应商公章）                               （签署或盖章）</w:t>
      </w:r>
    </w:p>
    <w:p w14:paraId="38213ECB">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                                            年     月     日</w:t>
      </w:r>
    </w:p>
    <w:p w14:paraId="6E72B122">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w:t>
      </w:r>
    </w:p>
    <w:p w14:paraId="410258D1">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1.本表即为对本项目“第三篇 项目商务需求”中所列条款进行比较和响应；</w:t>
      </w:r>
    </w:p>
    <w:p w14:paraId="12162052">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2.本表可扩展。</w:t>
      </w:r>
    </w:p>
    <w:p w14:paraId="75E2ADD2">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3.可附相关支撑材料。（格式自定）</w:t>
      </w:r>
    </w:p>
    <w:p w14:paraId="14334ECC">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3.投标应答栏中应当注明具体内容，且必须标注具体内容在投标文件中的位置（页码）。</w:t>
      </w:r>
    </w:p>
    <w:p w14:paraId="0F62A52E">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br w:type="page"/>
      </w:r>
      <w:r>
        <w:rPr>
          <w:rFonts w:hint="eastAsia" w:ascii="方正仿宋_GBK" w:hAnsi="宋体" w:eastAsia="方正仿宋_GBK"/>
          <w:color w:val="auto"/>
          <w:sz w:val="24"/>
          <w:szCs w:val="24"/>
          <w:highlight w:val="none"/>
        </w:rPr>
        <w:t>（三）其他商务承诺（自拟）</w:t>
      </w:r>
    </w:p>
    <w:p w14:paraId="56678A9C">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方正仿宋_GBK" w:hAnsi="宋体" w:eastAsia="方正仿宋_GBK"/>
          <w:color w:val="auto"/>
          <w:sz w:val="24"/>
          <w:szCs w:val="24"/>
          <w:highlight w:val="none"/>
        </w:rPr>
        <w:t>重庆工商大学自营食堂大米面粉、食用油、鲜猪肉供应商采购项目项目</w:t>
      </w:r>
      <w:r>
        <w:rPr>
          <w:rFonts w:hint="eastAsia" w:ascii="仿宋" w:hAnsi="仿宋" w:eastAsia="仿宋" w:cs="仿宋"/>
          <w:color w:val="auto"/>
          <w:sz w:val="24"/>
          <w:szCs w:val="24"/>
          <w:highlight w:val="none"/>
        </w:rPr>
        <w:t>中标人安全服务承诺书</w:t>
      </w:r>
    </w:p>
    <w:p w14:paraId="5D3D65A7">
      <w:pPr>
        <w:spacing w:line="360" w:lineRule="auto"/>
        <w:jc w:val="center"/>
        <w:rPr>
          <w:rFonts w:ascii="仿宋" w:hAnsi="仿宋" w:eastAsia="仿宋" w:cs="仿宋"/>
          <w:b/>
          <w:color w:val="auto"/>
          <w:sz w:val="24"/>
          <w:szCs w:val="24"/>
          <w:highlight w:val="none"/>
        </w:rPr>
      </w:pPr>
    </w:p>
    <w:p w14:paraId="17718F7D">
      <w:pPr>
        <w:spacing w:line="360" w:lineRule="auto"/>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重庆工商大学自营食堂大米面粉、食用油、鲜猪肉等</w:t>
      </w:r>
    </w:p>
    <w:p w14:paraId="7A9A5D63">
      <w:pPr>
        <w:spacing w:line="360" w:lineRule="auto"/>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食堂大宗物资采购项目中标人安全服务承诺书</w:t>
      </w:r>
    </w:p>
    <w:p w14:paraId="0EFD9AE6">
      <w:pPr>
        <w:spacing w:line="360" w:lineRule="auto"/>
        <w:rPr>
          <w:rFonts w:ascii="仿宋" w:hAnsi="仿宋" w:eastAsia="仿宋" w:cs="仿宋"/>
          <w:color w:val="auto"/>
          <w:sz w:val="24"/>
          <w:szCs w:val="24"/>
          <w:highlight w:val="none"/>
        </w:rPr>
      </w:pPr>
    </w:p>
    <w:p w14:paraId="322C2DD1">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重庆工商大学</w:t>
      </w:r>
      <w:r>
        <w:rPr>
          <w:rFonts w:hint="eastAsia" w:ascii="仿宋" w:hAnsi="仿宋" w:eastAsia="仿宋" w:cs="仿宋"/>
          <w:color w:val="auto"/>
          <w:sz w:val="24"/>
          <w:szCs w:val="24"/>
          <w:highlight w:val="none"/>
        </w:rPr>
        <w:t>：</w:t>
      </w:r>
    </w:p>
    <w:p w14:paraId="63E6709B">
      <w:pPr>
        <w:spacing w:line="360"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为全校师生提供安全的食品是每一个食品生产供应经营者的法律责任，作为食品配送服务企业，我司将通过行之有效的管理措施，确保食品安全。为此我司郑重承诺如下：</w:t>
      </w:r>
    </w:p>
    <w:p w14:paraId="1A7AE7A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一、严格遵守《中华人民共和国食品安全法》，严格依照法律法规规定的标准要求从事生产经营活动，做到诚信守法经营。</w:t>
      </w:r>
    </w:p>
    <w:p w14:paraId="78163A2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二、积极配合贵校及时提供合法有效的营业执照、税务登记证及经营生产许可证、产品第三方质量检验报告等必要证件资料，并保证资料的真实性。</w:t>
      </w:r>
    </w:p>
    <w:p w14:paraId="07C2ACE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三、保证产品的包装、运输，符合有关的卫生要求，不对产品造成污染。</w:t>
      </w:r>
    </w:p>
    <w:p w14:paraId="526F408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四、应对验收不合格产品及时回收并进行补货，自愿承担给食堂生产经营造成的经济损失。</w:t>
      </w:r>
    </w:p>
    <w:p w14:paraId="110B608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五、保证周到服务，严格按照贵校后勤处的叫货量及送达时间、地点进行供货，不得随意更改，由此造成的经济损失自愿承担。</w:t>
      </w:r>
    </w:p>
    <w:p w14:paraId="7C81BFB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如违反上述承诺，我司愿意承担相应的法律责任，并同意贵校取消与我司的合作。</w:t>
      </w:r>
    </w:p>
    <w:p w14:paraId="18A5296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本承诺在双方合作期间有效。</w:t>
      </w:r>
    </w:p>
    <w:p w14:paraId="1331037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承诺人：</w:t>
      </w:r>
      <w:r>
        <w:rPr>
          <w:rFonts w:hint="eastAsia" w:ascii="仿宋" w:hAnsi="仿宋" w:eastAsia="仿宋" w:cs="仿宋"/>
          <w:color w:val="auto"/>
          <w:sz w:val="24"/>
          <w:szCs w:val="24"/>
          <w:highlight w:val="none"/>
          <w:u w:val="single"/>
        </w:rPr>
        <w:t xml:space="preserve">         （供应商公章）</w:t>
      </w:r>
      <w:r>
        <w:rPr>
          <w:rFonts w:hint="eastAsia" w:ascii="仿宋" w:hAnsi="仿宋" w:eastAsia="仿宋" w:cs="仿宋"/>
          <w:color w:val="auto"/>
          <w:sz w:val="24"/>
          <w:szCs w:val="24"/>
          <w:highlight w:val="none"/>
        </w:rPr>
        <w:t xml:space="preserve">   </w:t>
      </w:r>
    </w:p>
    <w:p w14:paraId="5A5DEF6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法定代表人（或法定代表人授权代表）（签字或盖章）：</w:t>
      </w:r>
    </w:p>
    <w:p w14:paraId="60B604B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法定代表人（或法定代表人授权代表）身份证号码：</w:t>
      </w:r>
    </w:p>
    <w:p w14:paraId="41E04A4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  年   月   日</w:t>
      </w:r>
    </w:p>
    <w:p w14:paraId="548D9506">
      <w:pPr>
        <w:pStyle w:val="25"/>
        <w:rPr>
          <w:color w:val="auto"/>
          <w:highlight w:val="none"/>
        </w:rPr>
      </w:pPr>
    </w:p>
    <w:p w14:paraId="3C189D3B">
      <w:pPr>
        <w:pStyle w:val="14"/>
        <w:spacing w:line="276" w:lineRule="auto"/>
        <w:rPr>
          <w:rFonts w:ascii="方正仿宋_GBK" w:eastAsia="方正仿宋_GBK"/>
          <w:color w:val="auto"/>
          <w:sz w:val="24"/>
          <w:szCs w:val="24"/>
          <w:highlight w:val="none"/>
        </w:rPr>
        <w:sectPr>
          <w:pgSz w:w="11907" w:h="16840"/>
          <w:pgMar w:top="1134" w:right="1191" w:bottom="1134" w:left="1304" w:header="964" w:footer="992" w:gutter="0"/>
          <w:pgNumType w:fmt="numberInDash"/>
          <w:cols w:space="720" w:num="1"/>
          <w:docGrid w:linePitch="312" w:charSpace="0"/>
        </w:sectPr>
      </w:pPr>
    </w:p>
    <w:p w14:paraId="1257C4B8">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2.供应商根据招标文件要求添加其他资料。</w:t>
      </w:r>
    </w:p>
    <w:p w14:paraId="4C22857C">
      <w:pPr>
        <w:tabs>
          <w:tab w:val="left" w:pos="6300"/>
        </w:tabs>
        <w:snapToGrid w:val="0"/>
        <w:spacing w:line="276" w:lineRule="auto"/>
        <w:ind w:firstLine="570"/>
        <w:rPr>
          <w:rFonts w:ascii="方正仿宋_GBK" w:hAnsi="宋体" w:eastAsia="方正仿宋_GBK"/>
          <w:color w:val="auto"/>
          <w:sz w:val="24"/>
          <w:szCs w:val="24"/>
          <w:highlight w:val="none"/>
        </w:rPr>
      </w:pPr>
    </w:p>
    <w:p w14:paraId="6367BA31">
      <w:pPr>
        <w:tabs>
          <w:tab w:val="left" w:pos="6300"/>
        </w:tabs>
        <w:snapToGrid w:val="0"/>
        <w:spacing w:line="276" w:lineRule="auto"/>
        <w:ind w:firstLine="570"/>
        <w:rPr>
          <w:rFonts w:ascii="方正仿宋_GBK" w:hAnsi="宋体" w:eastAsia="方正仿宋_GBK"/>
          <w:color w:val="auto"/>
          <w:sz w:val="24"/>
          <w:szCs w:val="24"/>
          <w:highlight w:val="none"/>
        </w:rPr>
      </w:pPr>
    </w:p>
    <w:p w14:paraId="1D5EC2F8">
      <w:pPr>
        <w:spacing w:line="276" w:lineRule="auto"/>
        <w:rPr>
          <w:rFonts w:ascii="方正仿宋_GBK" w:eastAsia="方正仿宋_GBK"/>
          <w:b/>
          <w:color w:val="auto"/>
          <w:sz w:val="24"/>
          <w:szCs w:val="24"/>
          <w:highlight w:val="none"/>
        </w:rPr>
      </w:pPr>
      <w:r>
        <w:rPr>
          <w:rFonts w:hint="eastAsia" w:ascii="方正仿宋_GBK" w:hAnsi="仿宋" w:eastAsia="方正仿宋_GBK"/>
          <w:color w:val="auto"/>
          <w:sz w:val="24"/>
          <w:szCs w:val="24"/>
          <w:highlight w:val="none"/>
        </w:rPr>
        <w:br w:type="page"/>
      </w:r>
      <w:bookmarkStart w:id="235" w:name="_Toc492721041"/>
      <w:bookmarkStart w:id="236" w:name="_Toc493178792"/>
      <w:r>
        <w:rPr>
          <w:rFonts w:hint="eastAsia" w:ascii="方正仿宋_GBK" w:eastAsia="方正仿宋_GBK"/>
          <w:b/>
          <w:color w:val="auto"/>
          <w:sz w:val="24"/>
          <w:szCs w:val="24"/>
          <w:highlight w:val="none"/>
        </w:rPr>
        <w:t>四、其他</w:t>
      </w:r>
      <w:bookmarkEnd w:id="235"/>
      <w:bookmarkEnd w:id="236"/>
    </w:p>
    <w:p w14:paraId="576A5D6A">
      <w:pPr>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其他与项目有关的资料（如有自附）</w:t>
      </w:r>
    </w:p>
    <w:p w14:paraId="268E83A0">
      <w:pPr>
        <w:spacing w:line="276" w:lineRule="auto"/>
        <w:rPr>
          <w:rFonts w:ascii="方正仿宋_GBK" w:eastAsia="方正仿宋_GBK"/>
          <w:b/>
          <w:color w:val="auto"/>
          <w:sz w:val="24"/>
          <w:szCs w:val="24"/>
          <w:highlight w:val="none"/>
        </w:rPr>
      </w:pPr>
      <w:r>
        <w:rPr>
          <w:rFonts w:hint="eastAsia" w:ascii="方正仿宋_GBK" w:hAnsi="仿宋" w:eastAsia="方正仿宋_GBK"/>
          <w:color w:val="auto"/>
          <w:sz w:val="24"/>
          <w:szCs w:val="24"/>
          <w:highlight w:val="none"/>
        </w:rPr>
        <w:br w:type="page"/>
      </w:r>
      <w:bookmarkStart w:id="237" w:name="_Toc492721038"/>
      <w:bookmarkStart w:id="238" w:name="_Toc59621321"/>
      <w:bookmarkStart w:id="239" w:name="_Toc493178793"/>
      <w:r>
        <w:rPr>
          <w:rFonts w:hint="eastAsia" w:ascii="方正仿宋_GBK" w:eastAsia="方正仿宋_GBK"/>
          <w:b/>
          <w:color w:val="auto"/>
          <w:sz w:val="24"/>
          <w:szCs w:val="24"/>
          <w:highlight w:val="none"/>
        </w:rPr>
        <w:t>五、资格文件</w:t>
      </w:r>
      <w:bookmarkEnd w:id="237"/>
      <w:bookmarkEnd w:id="238"/>
      <w:bookmarkEnd w:id="239"/>
    </w:p>
    <w:p w14:paraId="445C5BFA">
      <w:pPr>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（一）企业法人营业执照（副本）复印件</w:t>
      </w:r>
    </w:p>
    <w:p w14:paraId="26417145">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仿宋" w:eastAsia="方正仿宋_GBK"/>
          <w:color w:val="auto"/>
          <w:sz w:val="24"/>
          <w:szCs w:val="24"/>
          <w:highlight w:val="none"/>
        </w:rPr>
        <w:br w:type="page"/>
      </w:r>
      <w:r>
        <w:rPr>
          <w:rFonts w:hint="eastAsia" w:ascii="方正仿宋_GBK" w:hAnsi="宋体" w:eastAsia="方正仿宋_GBK"/>
          <w:color w:val="auto"/>
          <w:sz w:val="24"/>
          <w:szCs w:val="24"/>
          <w:highlight w:val="none"/>
        </w:rPr>
        <w:t>（二）法定代表人身份证明书（格式）</w:t>
      </w:r>
    </w:p>
    <w:p w14:paraId="37A329AD">
      <w:pPr>
        <w:tabs>
          <w:tab w:val="left" w:pos="6300"/>
        </w:tabs>
        <w:snapToGrid w:val="0"/>
        <w:spacing w:line="276" w:lineRule="auto"/>
        <w:ind w:firstLine="570"/>
        <w:rPr>
          <w:rFonts w:ascii="方正仿宋_GBK" w:hAnsi="宋体" w:eastAsia="方正仿宋_GBK"/>
          <w:color w:val="auto"/>
          <w:sz w:val="24"/>
          <w:szCs w:val="24"/>
          <w:highlight w:val="none"/>
        </w:rPr>
      </w:pPr>
    </w:p>
    <w:p w14:paraId="0982A1E0">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w:t>
      </w:r>
      <w:r>
        <w:rPr>
          <w:rFonts w:hint="eastAsia" w:ascii="方正仿宋_GBK" w:hAnsi="宋体" w:eastAsia="方正仿宋_GBK"/>
          <w:color w:val="auto"/>
          <w:sz w:val="24"/>
          <w:szCs w:val="24"/>
          <w:highlight w:val="none"/>
          <w:u w:val="single"/>
        </w:rPr>
        <w:t xml:space="preserve">                                                </w:t>
      </w:r>
    </w:p>
    <w:p w14:paraId="7388C18C">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包号：</w:t>
      </w:r>
    </w:p>
    <w:p w14:paraId="60761A62">
      <w:pPr>
        <w:tabs>
          <w:tab w:val="left" w:pos="6300"/>
        </w:tabs>
        <w:snapToGrid w:val="0"/>
        <w:spacing w:line="276" w:lineRule="auto"/>
        <w:rPr>
          <w:rFonts w:ascii="方正仿宋_GBK" w:hAnsi="宋体" w:eastAsia="方正仿宋_GBK"/>
          <w:color w:val="auto"/>
          <w:sz w:val="24"/>
          <w:szCs w:val="24"/>
          <w:highlight w:val="none"/>
        </w:rPr>
      </w:pPr>
    </w:p>
    <w:p w14:paraId="2DDF0BA0">
      <w:pPr>
        <w:tabs>
          <w:tab w:val="left" w:pos="6300"/>
        </w:tabs>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致：重庆工商大学：</w:t>
      </w:r>
    </w:p>
    <w:p w14:paraId="60CDD3C9">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（法定代表人姓名）在</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（供应商名称）任</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（职务名称）职务，是（供应商名称）</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的法定代表人。</w:t>
      </w:r>
    </w:p>
    <w:p w14:paraId="5342BDFB">
      <w:pPr>
        <w:tabs>
          <w:tab w:val="left" w:pos="6300"/>
        </w:tabs>
        <w:snapToGrid w:val="0"/>
        <w:spacing w:line="276" w:lineRule="auto"/>
        <w:ind w:firstLine="570"/>
        <w:rPr>
          <w:rFonts w:ascii="方正仿宋_GBK" w:hAnsi="宋体" w:eastAsia="方正仿宋_GBK"/>
          <w:color w:val="auto"/>
          <w:sz w:val="24"/>
          <w:szCs w:val="24"/>
          <w:highlight w:val="none"/>
        </w:rPr>
      </w:pPr>
    </w:p>
    <w:p w14:paraId="427F189B">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特此证明。</w:t>
      </w:r>
    </w:p>
    <w:p w14:paraId="20DFC4A8">
      <w:pPr>
        <w:tabs>
          <w:tab w:val="left" w:pos="6300"/>
        </w:tabs>
        <w:snapToGrid w:val="0"/>
        <w:spacing w:line="276" w:lineRule="auto"/>
        <w:ind w:firstLine="570"/>
        <w:rPr>
          <w:rFonts w:ascii="方正仿宋_GBK" w:hAnsi="宋体" w:eastAsia="方正仿宋_GBK"/>
          <w:color w:val="auto"/>
          <w:sz w:val="24"/>
          <w:szCs w:val="24"/>
          <w:highlight w:val="none"/>
        </w:rPr>
      </w:pPr>
    </w:p>
    <w:p w14:paraId="43882C69">
      <w:pPr>
        <w:tabs>
          <w:tab w:val="left" w:pos="6300"/>
        </w:tabs>
        <w:snapToGrid w:val="0"/>
        <w:spacing w:line="276" w:lineRule="auto"/>
        <w:ind w:firstLine="570"/>
        <w:rPr>
          <w:rFonts w:ascii="方正仿宋_GBK" w:hAnsi="宋体" w:eastAsia="方正仿宋_GBK"/>
          <w:color w:val="auto"/>
          <w:sz w:val="24"/>
          <w:szCs w:val="24"/>
          <w:highlight w:val="none"/>
        </w:rPr>
      </w:pPr>
    </w:p>
    <w:p w14:paraId="5A1C87A4">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                                             供应商：</w:t>
      </w:r>
    </w:p>
    <w:p w14:paraId="138C9412">
      <w:pPr>
        <w:tabs>
          <w:tab w:val="left" w:pos="6300"/>
        </w:tabs>
        <w:snapToGrid w:val="0"/>
        <w:spacing w:line="276" w:lineRule="auto"/>
        <w:ind w:firstLine="5848" w:firstLineChars="2437"/>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w:t>
      </w:r>
    </w:p>
    <w:p w14:paraId="131922D3">
      <w:pPr>
        <w:tabs>
          <w:tab w:val="left" w:pos="6300"/>
        </w:tabs>
        <w:snapToGrid w:val="0"/>
        <w:spacing w:line="276" w:lineRule="auto"/>
        <w:ind w:firstLine="570"/>
        <w:rPr>
          <w:rFonts w:ascii="方正仿宋_GBK" w:hAnsi="宋体" w:eastAsia="方正仿宋_GBK"/>
          <w:color w:val="auto"/>
          <w:sz w:val="24"/>
          <w:szCs w:val="24"/>
          <w:highlight w:val="none"/>
        </w:rPr>
      </w:pPr>
    </w:p>
    <w:p w14:paraId="4659B98A">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                                             年   月   日</w:t>
      </w:r>
    </w:p>
    <w:p w14:paraId="7B2FC882">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法定代表人电话：XXXXXXX      电子邮箱：XXXXXX@XXXXX（若授权他人办理并签署投标文件的可不填写）</w:t>
      </w:r>
    </w:p>
    <w:p w14:paraId="732C1A36">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（附：法定代表人身份证正反面复印件）</w:t>
      </w:r>
    </w:p>
    <w:p w14:paraId="7DF67489">
      <w:pPr>
        <w:tabs>
          <w:tab w:val="left" w:pos="6300"/>
        </w:tabs>
        <w:snapToGrid w:val="0"/>
        <w:spacing w:line="276" w:lineRule="auto"/>
        <w:ind w:firstLine="570"/>
        <w:rPr>
          <w:rFonts w:ascii="方正仿宋_GBK" w:hAnsi="宋体" w:eastAsia="方正仿宋_GBK"/>
          <w:color w:val="auto"/>
          <w:sz w:val="24"/>
          <w:szCs w:val="24"/>
          <w:highlight w:val="none"/>
        </w:rPr>
      </w:pPr>
    </w:p>
    <w:p w14:paraId="72E1B3C3">
      <w:pPr>
        <w:tabs>
          <w:tab w:val="left" w:pos="6300"/>
        </w:tabs>
        <w:snapToGrid w:val="0"/>
        <w:spacing w:line="276" w:lineRule="auto"/>
        <w:ind w:firstLine="570"/>
        <w:rPr>
          <w:rFonts w:ascii="方正仿宋_GBK" w:hAnsi="宋体" w:eastAsia="方正仿宋_GBK"/>
          <w:color w:val="auto"/>
          <w:sz w:val="24"/>
          <w:szCs w:val="24"/>
          <w:highlight w:val="none"/>
        </w:rPr>
      </w:pPr>
    </w:p>
    <w:p w14:paraId="57BA33C1">
      <w:pPr>
        <w:tabs>
          <w:tab w:val="left" w:pos="6300"/>
        </w:tabs>
        <w:snapToGrid w:val="0"/>
        <w:spacing w:line="276" w:lineRule="auto"/>
        <w:ind w:firstLine="570"/>
        <w:rPr>
          <w:rFonts w:ascii="方正仿宋_GBK" w:hAnsi="宋体" w:eastAsia="方正仿宋_GBK"/>
          <w:color w:val="auto"/>
          <w:sz w:val="24"/>
          <w:szCs w:val="24"/>
          <w:highlight w:val="none"/>
        </w:rPr>
      </w:pPr>
    </w:p>
    <w:p w14:paraId="1D604CF4">
      <w:pPr>
        <w:tabs>
          <w:tab w:val="left" w:pos="6300"/>
        </w:tabs>
        <w:snapToGrid w:val="0"/>
        <w:spacing w:line="276" w:lineRule="auto"/>
        <w:ind w:firstLine="570"/>
        <w:rPr>
          <w:rFonts w:ascii="方正仿宋_GBK" w:hAnsi="宋体" w:eastAsia="方正仿宋_GBK"/>
          <w:color w:val="auto"/>
          <w:sz w:val="24"/>
          <w:szCs w:val="24"/>
          <w:highlight w:val="none"/>
        </w:rPr>
      </w:pPr>
    </w:p>
    <w:p w14:paraId="1274FE51">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br w:type="column"/>
      </w:r>
      <w:r>
        <w:rPr>
          <w:rFonts w:hint="eastAsia" w:ascii="方正仿宋_GBK" w:hAnsi="宋体" w:eastAsia="方正仿宋_GBK"/>
          <w:color w:val="auto"/>
          <w:sz w:val="24"/>
          <w:szCs w:val="24"/>
          <w:highlight w:val="none"/>
        </w:rPr>
        <w:t>（三）法定代表人授权委托书（格式）</w:t>
      </w:r>
    </w:p>
    <w:p w14:paraId="2D4D1C74">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    </w:t>
      </w:r>
    </w:p>
    <w:p w14:paraId="02495C5F">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w:t>
      </w:r>
      <w:r>
        <w:rPr>
          <w:rFonts w:hint="eastAsia" w:ascii="方正仿宋_GBK" w:hAnsi="宋体" w:eastAsia="方正仿宋_GBK"/>
          <w:color w:val="auto"/>
          <w:sz w:val="24"/>
          <w:szCs w:val="24"/>
          <w:highlight w:val="none"/>
          <w:u w:val="single"/>
        </w:rPr>
        <w:t xml:space="preserve">                                                </w:t>
      </w:r>
    </w:p>
    <w:p w14:paraId="53694DE6">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包号：</w:t>
      </w:r>
    </w:p>
    <w:p w14:paraId="09DE62E7">
      <w:pPr>
        <w:tabs>
          <w:tab w:val="left" w:pos="6300"/>
        </w:tabs>
        <w:snapToGrid w:val="0"/>
        <w:spacing w:line="276" w:lineRule="auto"/>
        <w:rPr>
          <w:rFonts w:ascii="方正仿宋_GBK" w:hAnsi="宋体" w:eastAsia="方正仿宋_GBK"/>
          <w:color w:val="auto"/>
          <w:sz w:val="24"/>
          <w:szCs w:val="24"/>
          <w:highlight w:val="none"/>
        </w:rPr>
      </w:pPr>
    </w:p>
    <w:p w14:paraId="3384E314">
      <w:pPr>
        <w:tabs>
          <w:tab w:val="left" w:pos="6300"/>
        </w:tabs>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致：重庆工商大学：</w:t>
      </w:r>
    </w:p>
    <w:p w14:paraId="0C0841B9">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（供应商法定代表人名称）是</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（供应商名称）的法定代表人，特授权</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（被授权人姓名及身份证代码）代表我单位全权办理上述项目的投标、谈判、签约等具体工作，并签署全部有关文件、协议及合同。</w:t>
      </w:r>
    </w:p>
    <w:p w14:paraId="33CE0650">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我单位对被授权人的签字负全部责任。</w:t>
      </w:r>
    </w:p>
    <w:p w14:paraId="01D4F612">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在撤消授权的书面通知以前，本授权书一直有效。被授权人在授权书有效期内签署的所有文件不因授权的撤消而失效。</w:t>
      </w:r>
    </w:p>
    <w:p w14:paraId="61F0BD32">
      <w:pPr>
        <w:tabs>
          <w:tab w:val="left" w:pos="6300"/>
        </w:tabs>
        <w:snapToGrid w:val="0"/>
        <w:spacing w:line="276" w:lineRule="auto"/>
        <w:ind w:firstLine="570"/>
        <w:rPr>
          <w:rFonts w:ascii="方正仿宋_GBK" w:hAnsi="宋体" w:eastAsia="方正仿宋_GBK"/>
          <w:color w:val="auto"/>
          <w:sz w:val="24"/>
          <w:szCs w:val="24"/>
          <w:highlight w:val="none"/>
        </w:rPr>
      </w:pPr>
    </w:p>
    <w:p w14:paraId="6B970AE5">
      <w:pPr>
        <w:tabs>
          <w:tab w:val="left" w:pos="6300"/>
        </w:tabs>
        <w:snapToGrid w:val="0"/>
        <w:spacing w:line="276" w:lineRule="auto"/>
        <w:ind w:firstLine="570"/>
        <w:rPr>
          <w:rFonts w:ascii="方正仿宋_GBK" w:hAnsi="宋体" w:eastAsia="方正仿宋_GBK"/>
          <w:color w:val="auto"/>
          <w:sz w:val="24"/>
          <w:szCs w:val="24"/>
          <w:highlight w:val="none"/>
        </w:rPr>
      </w:pPr>
    </w:p>
    <w:p w14:paraId="1C89DAF8">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被授权人：                                 供应商法定代表人：</w:t>
      </w:r>
    </w:p>
    <w:p w14:paraId="6FA22599">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（签字或盖章）                                （签字或盖章）</w:t>
      </w:r>
    </w:p>
    <w:p w14:paraId="3A893FB1">
      <w:pPr>
        <w:tabs>
          <w:tab w:val="left" w:pos="6300"/>
        </w:tabs>
        <w:snapToGrid w:val="0"/>
        <w:spacing w:line="276" w:lineRule="auto"/>
        <w:ind w:firstLine="570"/>
        <w:rPr>
          <w:rFonts w:ascii="方正仿宋_GBK" w:hAnsi="宋体" w:eastAsia="方正仿宋_GBK"/>
          <w:color w:val="auto"/>
          <w:sz w:val="24"/>
          <w:szCs w:val="24"/>
          <w:highlight w:val="none"/>
        </w:rPr>
      </w:pPr>
    </w:p>
    <w:p w14:paraId="3E5D2C5D">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（附：被授权人身份证正反面复印件）</w:t>
      </w:r>
    </w:p>
    <w:p w14:paraId="177BB511">
      <w:pPr>
        <w:tabs>
          <w:tab w:val="left" w:pos="6300"/>
        </w:tabs>
        <w:snapToGrid w:val="0"/>
        <w:spacing w:line="276" w:lineRule="auto"/>
        <w:ind w:firstLine="57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                                          </w:t>
      </w:r>
    </w:p>
    <w:p w14:paraId="7FDE1960">
      <w:pPr>
        <w:tabs>
          <w:tab w:val="left" w:pos="6300"/>
        </w:tabs>
        <w:snapToGrid w:val="0"/>
        <w:spacing w:line="276" w:lineRule="auto"/>
        <w:ind w:firstLine="570"/>
        <w:rPr>
          <w:rFonts w:ascii="方正仿宋_GBK" w:hAnsi="宋体" w:eastAsia="方正仿宋_GBK"/>
          <w:color w:val="auto"/>
          <w:sz w:val="24"/>
          <w:szCs w:val="24"/>
          <w:highlight w:val="none"/>
        </w:rPr>
      </w:pPr>
    </w:p>
    <w:p w14:paraId="06806DAB">
      <w:pPr>
        <w:tabs>
          <w:tab w:val="left" w:pos="6300"/>
        </w:tabs>
        <w:snapToGrid w:val="0"/>
        <w:spacing w:line="276" w:lineRule="auto"/>
        <w:ind w:right="480" w:firstLine="570"/>
        <w:jc w:val="righ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w:t>
      </w:r>
    </w:p>
    <w:p w14:paraId="07FBDAEB">
      <w:pPr>
        <w:tabs>
          <w:tab w:val="left" w:pos="6300"/>
        </w:tabs>
        <w:snapToGrid w:val="0"/>
        <w:spacing w:line="276" w:lineRule="auto"/>
        <w:ind w:right="480" w:firstLine="570"/>
        <w:jc w:val="righ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年   月   日</w:t>
      </w:r>
    </w:p>
    <w:p w14:paraId="640A19C6">
      <w:pPr>
        <w:tabs>
          <w:tab w:val="left" w:pos="6300"/>
        </w:tabs>
        <w:snapToGrid w:val="0"/>
        <w:spacing w:line="276" w:lineRule="auto"/>
        <w:ind w:right="720" w:firstLine="570"/>
        <w:jc w:val="right"/>
        <w:rPr>
          <w:rFonts w:ascii="方正仿宋_GBK" w:hAnsi="宋体" w:eastAsia="方正仿宋_GBK"/>
          <w:color w:val="auto"/>
          <w:sz w:val="24"/>
          <w:szCs w:val="24"/>
          <w:highlight w:val="none"/>
        </w:rPr>
      </w:pPr>
    </w:p>
    <w:p w14:paraId="728BA7CE">
      <w:pPr>
        <w:tabs>
          <w:tab w:val="left" w:pos="6300"/>
        </w:tabs>
        <w:snapToGrid w:val="0"/>
        <w:spacing w:line="276" w:lineRule="auto"/>
        <w:ind w:right="480" w:firstLine="570"/>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被授权人电话：XXXXXXX     电子邮箱：XXXXXX@XXXXX（若法定代表人办理并签署投标文件的可不填写）</w:t>
      </w:r>
    </w:p>
    <w:p w14:paraId="72B172BC">
      <w:pPr>
        <w:tabs>
          <w:tab w:val="left" w:pos="6300"/>
        </w:tabs>
        <w:snapToGrid w:val="0"/>
        <w:spacing w:line="276" w:lineRule="auto"/>
        <w:ind w:right="480" w:firstLine="570"/>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注：若为法定代表人办理并签署投标文件的，不提供此文件。</w:t>
      </w:r>
    </w:p>
    <w:p w14:paraId="1C8B7B87">
      <w:pPr>
        <w:spacing w:line="276" w:lineRule="auto"/>
        <w:ind w:firstLine="480" w:firstLineChars="200"/>
        <w:rPr>
          <w:rFonts w:ascii="方正仿宋_GBK" w:hAnsi="宋体" w:eastAsia="方正仿宋_GBK"/>
          <w:color w:val="auto"/>
          <w:sz w:val="24"/>
          <w:szCs w:val="24"/>
          <w:highlight w:val="none"/>
        </w:rPr>
      </w:pPr>
      <w:r>
        <w:rPr>
          <w:rFonts w:hint="eastAsia" w:ascii="方正仿宋_GBK" w:eastAsia="方正仿宋_GBK"/>
          <w:color w:val="auto"/>
          <w:sz w:val="24"/>
          <w:szCs w:val="24"/>
          <w:highlight w:val="none"/>
        </w:rPr>
        <w:br w:type="page"/>
      </w:r>
    </w:p>
    <w:p w14:paraId="2E0EACCE">
      <w:pPr>
        <w:widowControl/>
        <w:spacing w:line="276" w:lineRule="auto"/>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w:t>
      </w:r>
    </w:p>
    <w:p w14:paraId="04082E9C">
      <w:pPr>
        <w:tabs>
          <w:tab w:val="left" w:pos="6300"/>
        </w:tabs>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基本资格条件承诺函</w:t>
      </w:r>
    </w:p>
    <w:p w14:paraId="48F0CCFF">
      <w:pPr>
        <w:tabs>
          <w:tab w:val="left" w:pos="6300"/>
        </w:tabs>
        <w:snapToGrid w:val="0"/>
        <w:spacing w:line="276" w:lineRule="auto"/>
        <w:rPr>
          <w:rFonts w:ascii="方正仿宋_GBK" w:hAnsi="宋体" w:eastAsia="方正仿宋_GBK"/>
          <w:color w:val="auto"/>
          <w:sz w:val="24"/>
          <w:szCs w:val="24"/>
          <w:highlight w:val="none"/>
        </w:rPr>
      </w:pPr>
    </w:p>
    <w:p w14:paraId="58F52090">
      <w:pPr>
        <w:tabs>
          <w:tab w:val="left" w:pos="6300"/>
        </w:tabs>
        <w:snapToGrid w:val="0"/>
        <w:spacing w:line="276" w:lineRule="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致重庆工商大学：</w:t>
      </w:r>
    </w:p>
    <w:p w14:paraId="4EEF0A8E">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（供应商名称）郑重承诺：</w:t>
      </w:r>
    </w:p>
    <w:p w14:paraId="4374C60C">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1.我方具有良好的商业信誉和健全的财务会计制度，具有履行合同所必需的设备和专业技术能力，具</w:t>
      </w:r>
      <w:r>
        <w:rPr>
          <w:rFonts w:hint="eastAsia" w:ascii="方正仿宋_GBK" w:hAnsi="宋体" w:eastAsia="方正仿宋_GBK" w:cs="仿宋_GB2312"/>
          <w:color w:val="auto"/>
          <w:sz w:val="24"/>
          <w:szCs w:val="24"/>
          <w:highlight w:val="none"/>
          <w:lang w:val="zh-CN"/>
        </w:rPr>
        <w:t>有依法缴纳税收和社会保障金的良好记录</w:t>
      </w:r>
      <w:r>
        <w:rPr>
          <w:rFonts w:hint="eastAsia" w:ascii="方正仿宋_GBK" w:hAnsi="宋体" w:eastAsia="方正仿宋_GBK" w:cs="仿宋_GB2312"/>
          <w:color w:val="auto"/>
          <w:sz w:val="24"/>
          <w:szCs w:val="24"/>
          <w:highlight w:val="none"/>
        </w:rPr>
        <w:t>，</w:t>
      </w:r>
      <w:r>
        <w:rPr>
          <w:rFonts w:hint="eastAsia" w:ascii="方正仿宋_GBK" w:hAnsi="宋体" w:eastAsia="方正仿宋_GBK"/>
          <w:color w:val="auto"/>
          <w:sz w:val="24"/>
          <w:szCs w:val="24"/>
          <w:highlight w:val="none"/>
        </w:rPr>
        <w:t>参加本项目采购活动前三年内无重大违法活动记录。</w:t>
      </w:r>
    </w:p>
    <w:p w14:paraId="71DE99BE">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2.我方未列入在信用中国网站（www.creditchina.gov.cn）“失信被执行人”、“重大税收违法案件当事人名单”中，也未列入中国政府采购网（www.ccgp.gov.cn）“政府采购严重违法失信行为记录名单”中。</w:t>
      </w:r>
    </w:p>
    <w:p w14:paraId="03BCF0A2">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3.我方在采购项目评审（评标）环节结束后，随时接受采购人、采购代理机构的检查验证，配合提供相关证明材料，证明符合《中华人民共和国政府采购法》规定的供应商基本资格条件。</w:t>
      </w:r>
    </w:p>
    <w:p w14:paraId="02682BD4">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我方对以上承诺负全部法律责任。</w:t>
      </w:r>
    </w:p>
    <w:p w14:paraId="71662799">
      <w:pPr>
        <w:tabs>
          <w:tab w:val="left" w:pos="6300"/>
        </w:tabs>
        <w:snapToGrid w:val="0"/>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特此承诺。</w:t>
      </w:r>
    </w:p>
    <w:p w14:paraId="770A12A4">
      <w:pPr>
        <w:tabs>
          <w:tab w:val="left" w:pos="6300"/>
        </w:tabs>
        <w:snapToGrid w:val="0"/>
        <w:spacing w:line="276" w:lineRule="auto"/>
        <w:rPr>
          <w:rFonts w:ascii="方正仿宋_GBK" w:hAnsi="宋体" w:eastAsia="方正仿宋_GBK"/>
          <w:color w:val="auto"/>
          <w:sz w:val="24"/>
          <w:szCs w:val="24"/>
          <w:highlight w:val="none"/>
        </w:rPr>
      </w:pPr>
    </w:p>
    <w:p w14:paraId="587A0A4C">
      <w:pPr>
        <w:tabs>
          <w:tab w:val="left" w:pos="6300"/>
        </w:tabs>
        <w:snapToGrid w:val="0"/>
        <w:spacing w:line="276" w:lineRule="auto"/>
        <w:ind w:right="424" w:firstLine="570"/>
        <w:jc w:val="righ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w:t>
      </w:r>
    </w:p>
    <w:p w14:paraId="5CE9F507">
      <w:pPr>
        <w:tabs>
          <w:tab w:val="left" w:pos="6300"/>
        </w:tabs>
        <w:snapToGrid w:val="0"/>
        <w:spacing w:line="276" w:lineRule="auto"/>
        <w:ind w:right="480" w:firstLine="570"/>
        <w:jc w:val="righ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年   月   日</w:t>
      </w:r>
    </w:p>
    <w:p w14:paraId="1669EB35">
      <w:pPr>
        <w:spacing w:line="276" w:lineRule="auto"/>
        <w:rPr>
          <w:rFonts w:ascii="方正仿宋_GBK" w:hAnsi="宋体" w:eastAsia="方正仿宋_GBK"/>
          <w:color w:val="auto"/>
          <w:sz w:val="24"/>
          <w:szCs w:val="24"/>
          <w:highlight w:val="none"/>
        </w:rPr>
      </w:pPr>
    </w:p>
    <w:p w14:paraId="787105AD">
      <w:pPr>
        <w:adjustRightInd w:val="0"/>
        <w:snapToGrid w:val="0"/>
        <w:spacing w:line="276" w:lineRule="auto"/>
        <w:ind w:firstLine="420"/>
        <w:rPr>
          <w:rFonts w:ascii="方正仿宋_GBK" w:hAnsi="宋体" w:eastAsia="方正仿宋_GBK"/>
          <w:color w:val="auto"/>
          <w:sz w:val="24"/>
          <w:szCs w:val="24"/>
          <w:highlight w:val="none"/>
        </w:rPr>
      </w:pPr>
    </w:p>
    <w:p w14:paraId="22F3AB3F">
      <w:pPr>
        <w:adjustRightInd w:val="0"/>
        <w:snapToGrid w:val="0"/>
        <w:spacing w:line="276" w:lineRule="auto"/>
        <w:ind w:firstLine="420"/>
        <w:rPr>
          <w:rFonts w:ascii="方正仿宋_GBK" w:hAnsi="宋体" w:eastAsia="方正仿宋_GBK"/>
          <w:color w:val="auto"/>
          <w:sz w:val="24"/>
          <w:szCs w:val="24"/>
          <w:highlight w:val="none"/>
        </w:rPr>
      </w:pPr>
    </w:p>
    <w:p w14:paraId="78FD4ADA">
      <w:pPr>
        <w:spacing w:line="276" w:lineRule="auto"/>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br w:type="page"/>
      </w:r>
      <w:r>
        <w:rPr>
          <w:rFonts w:hint="eastAsia" w:ascii="方正仿宋_GBK" w:hAnsi="宋体" w:eastAsia="方正仿宋_GBK"/>
          <w:color w:val="auto"/>
          <w:sz w:val="24"/>
          <w:szCs w:val="24"/>
          <w:highlight w:val="none"/>
        </w:rPr>
        <w:t>（五）特定资格条件证书或证明文件</w:t>
      </w:r>
    </w:p>
    <w:p w14:paraId="282D8B87">
      <w:pPr>
        <w:snapToGrid w:val="0"/>
        <w:spacing w:line="276" w:lineRule="auto"/>
        <w:ind w:firstLine="480" w:firstLineChars="200"/>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br w:type="page"/>
      </w:r>
      <w:r>
        <w:rPr>
          <w:rFonts w:hint="eastAsia" w:ascii="方正仿宋_GBK" w:hAnsi="宋体" w:eastAsia="方正仿宋_GBK"/>
          <w:color w:val="auto"/>
          <w:sz w:val="24"/>
          <w:szCs w:val="24"/>
          <w:highlight w:val="none"/>
        </w:rPr>
        <w:t>（六）投标保证金和招标文件购买费</w:t>
      </w:r>
    </w:p>
    <w:p w14:paraId="764E771B">
      <w:pPr>
        <w:snapToGrid w:val="0"/>
        <w:spacing w:line="276" w:lineRule="auto"/>
        <w:ind w:firstLine="480" w:firstLineChars="200"/>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1.招标文件购买费、投标保证金缴纳凭据</w:t>
      </w:r>
    </w:p>
    <w:p w14:paraId="3B3C486F">
      <w:pPr>
        <w:snapToGrid w:val="0"/>
        <w:spacing w:line="276" w:lineRule="auto"/>
        <w:ind w:firstLine="480" w:firstLineChars="200"/>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2.供应商提供招标文件购买费发票信息表。</w:t>
      </w:r>
    </w:p>
    <w:p w14:paraId="12B3AD75">
      <w:pPr>
        <w:snapToGrid w:val="0"/>
        <w:spacing w:line="276" w:lineRule="auto"/>
        <w:ind w:firstLine="480" w:firstLineChars="200"/>
        <w:jc w:val="left"/>
        <w:rPr>
          <w:rFonts w:ascii="方正仿宋_GBK" w:hAnsi="宋体" w:eastAsia="方正仿宋_GBK"/>
          <w:color w:val="auto"/>
          <w:sz w:val="24"/>
          <w:szCs w:val="24"/>
          <w:highlight w:val="none"/>
        </w:rPr>
      </w:pPr>
    </w:p>
    <w:p w14:paraId="121220E5">
      <w:pPr>
        <w:snapToGrid w:val="0"/>
        <w:spacing w:line="276" w:lineRule="auto"/>
        <w:ind w:firstLine="480" w:firstLineChars="200"/>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招标文件购买费发票开票信息如下</w:t>
      </w:r>
    </w:p>
    <w:tbl>
      <w:tblPr>
        <w:tblStyle w:val="20"/>
        <w:tblW w:w="9638" w:type="dxa"/>
        <w:jc w:val="center"/>
        <w:tblLayout w:type="autofit"/>
        <w:tblCellMar>
          <w:top w:w="0" w:type="dxa"/>
          <w:left w:w="108" w:type="dxa"/>
          <w:bottom w:w="0" w:type="dxa"/>
          <w:right w:w="108" w:type="dxa"/>
        </w:tblCellMar>
      </w:tblPr>
      <w:tblGrid>
        <w:gridCol w:w="859"/>
        <w:gridCol w:w="1582"/>
        <w:gridCol w:w="1965"/>
        <w:gridCol w:w="1688"/>
        <w:gridCol w:w="1636"/>
        <w:gridCol w:w="1908"/>
      </w:tblGrid>
      <w:tr w14:paraId="2AB47BDD">
        <w:tblPrEx>
          <w:tblCellMar>
            <w:top w:w="0" w:type="dxa"/>
            <w:left w:w="108" w:type="dxa"/>
            <w:bottom w:w="0" w:type="dxa"/>
            <w:right w:w="108" w:type="dxa"/>
          </w:tblCellMar>
        </w:tblPrEx>
        <w:trPr>
          <w:trHeight w:val="63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5C84BE4B">
            <w:pPr>
              <w:tabs>
                <w:tab w:val="left" w:pos="6300"/>
              </w:tabs>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序号</w:t>
            </w:r>
          </w:p>
        </w:tc>
        <w:tc>
          <w:tcPr>
            <w:tcW w:w="1582" w:type="dxa"/>
            <w:tcBorders>
              <w:top w:val="single" w:color="auto" w:sz="4" w:space="0"/>
              <w:left w:val="nil"/>
              <w:bottom w:val="single" w:color="auto" w:sz="4" w:space="0"/>
              <w:right w:val="single" w:color="auto" w:sz="4" w:space="0"/>
            </w:tcBorders>
            <w:vAlign w:val="center"/>
          </w:tcPr>
          <w:p w14:paraId="6B851990">
            <w:pPr>
              <w:tabs>
                <w:tab w:val="left" w:pos="6300"/>
              </w:tabs>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供应商名称</w:t>
            </w:r>
          </w:p>
        </w:tc>
        <w:tc>
          <w:tcPr>
            <w:tcW w:w="1965" w:type="dxa"/>
            <w:tcBorders>
              <w:top w:val="single" w:color="auto" w:sz="4" w:space="0"/>
              <w:left w:val="nil"/>
              <w:bottom w:val="single" w:color="auto" w:sz="4" w:space="0"/>
              <w:right w:val="single" w:color="auto" w:sz="4" w:space="0"/>
            </w:tcBorders>
            <w:vAlign w:val="center"/>
          </w:tcPr>
          <w:p w14:paraId="6C328CBD">
            <w:pPr>
              <w:tabs>
                <w:tab w:val="left" w:pos="6300"/>
              </w:tabs>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基本账户开户行</w:t>
            </w:r>
          </w:p>
        </w:tc>
        <w:tc>
          <w:tcPr>
            <w:tcW w:w="1688" w:type="dxa"/>
            <w:tcBorders>
              <w:top w:val="single" w:color="auto" w:sz="4" w:space="0"/>
              <w:left w:val="nil"/>
              <w:bottom w:val="single" w:color="auto" w:sz="4" w:space="0"/>
              <w:right w:val="single" w:color="auto" w:sz="4" w:space="0"/>
            </w:tcBorders>
            <w:vAlign w:val="center"/>
          </w:tcPr>
          <w:p w14:paraId="6A4E305C">
            <w:pPr>
              <w:tabs>
                <w:tab w:val="left" w:pos="6300"/>
              </w:tabs>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基本账户账号（卡号）</w:t>
            </w:r>
          </w:p>
        </w:tc>
        <w:tc>
          <w:tcPr>
            <w:tcW w:w="1636" w:type="dxa"/>
            <w:tcBorders>
              <w:top w:val="single" w:color="auto" w:sz="4" w:space="0"/>
              <w:left w:val="nil"/>
              <w:bottom w:val="single" w:color="auto" w:sz="4" w:space="0"/>
              <w:right w:val="single" w:color="auto" w:sz="4" w:space="0"/>
            </w:tcBorders>
            <w:vAlign w:val="center"/>
          </w:tcPr>
          <w:p w14:paraId="54A22372">
            <w:pPr>
              <w:tabs>
                <w:tab w:val="left" w:pos="6300"/>
              </w:tabs>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统一社会信用代码</w:t>
            </w:r>
          </w:p>
        </w:tc>
        <w:tc>
          <w:tcPr>
            <w:tcW w:w="1908" w:type="dxa"/>
            <w:tcBorders>
              <w:top w:val="single" w:color="auto" w:sz="4" w:space="0"/>
              <w:left w:val="single" w:color="auto" w:sz="4" w:space="0"/>
              <w:bottom w:val="single" w:color="auto" w:sz="4" w:space="0"/>
              <w:right w:val="single" w:color="auto" w:sz="4" w:space="0"/>
            </w:tcBorders>
            <w:vAlign w:val="center"/>
          </w:tcPr>
          <w:p w14:paraId="6B36A713">
            <w:pPr>
              <w:tabs>
                <w:tab w:val="left" w:pos="6300"/>
              </w:tabs>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授权委托人联系电话（须为手机号）</w:t>
            </w:r>
          </w:p>
        </w:tc>
      </w:tr>
      <w:tr w14:paraId="2A5BCB3C">
        <w:tblPrEx>
          <w:tblCellMar>
            <w:top w:w="0" w:type="dxa"/>
            <w:left w:w="108" w:type="dxa"/>
            <w:bottom w:w="0" w:type="dxa"/>
            <w:right w:w="108" w:type="dxa"/>
          </w:tblCellMar>
        </w:tblPrEx>
        <w:trPr>
          <w:trHeight w:val="600" w:hRule="atLeast"/>
          <w:jc w:val="center"/>
        </w:trPr>
        <w:tc>
          <w:tcPr>
            <w:tcW w:w="859" w:type="dxa"/>
            <w:tcBorders>
              <w:top w:val="nil"/>
              <w:left w:val="single" w:color="auto" w:sz="4" w:space="0"/>
              <w:bottom w:val="single" w:color="auto" w:sz="4" w:space="0"/>
              <w:right w:val="single" w:color="auto" w:sz="4" w:space="0"/>
            </w:tcBorders>
            <w:vAlign w:val="center"/>
          </w:tcPr>
          <w:p w14:paraId="69009FC7">
            <w:pPr>
              <w:tabs>
                <w:tab w:val="left" w:pos="6300"/>
              </w:tabs>
              <w:snapToGrid w:val="0"/>
              <w:spacing w:line="276" w:lineRule="auto"/>
              <w:jc w:val="center"/>
              <w:rPr>
                <w:rFonts w:ascii="方正仿宋_GBK" w:hAnsi="宋体" w:eastAsia="方正仿宋_GBK"/>
                <w:color w:val="auto"/>
                <w:sz w:val="24"/>
                <w:szCs w:val="24"/>
                <w:highlight w:val="none"/>
              </w:rPr>
            </w:pPr>
          </w:p>
        </w:tc>
        <w:tc>
          <w:tcPr>
            <w:tcW w:w="1582" w:type="dxa"/>
            <w:tcBorders>
              <w:top w:val="nil"/>
              <w:left w:val="nil"/>
              <w:bottom w:val="single" w:color="auto" w:sz="4" w:space="0"/>
              <w:right w:val="single" w:color="auto" w:sz="4" w:space="0"/>
            </w:tcBorders>
            <w:vAlign w:val="center"/>
          </w:tcPr>
          <w:p w14:paraId="57FE94F8">
            <w:pPr>
              <w:tabs>
                <w:tab w:val="left" w:pos="6300"/>
              </w:tabs>
              <w:snapToGrid w:val="0"/>
              <w:spacing w:line="276" w:lineRule="auto"/>
              <w:ind w:firstLine="570"/>
              <w:jc w:val="center"/>
              <w:rPr>
                <w:rFonts w:ascii="方正仿宋_GBK" w:hAnsi="宋体" w:eastAsia="方正仿宋_GBK"/>
                <w:color w:val="auto"/>
                <w:sz w:val="24"/>
                <w:szCs w:val="24"/>
                <w:highlight w:val="none"/>
              </w:rPr>
            </w:pPr>
          </w:p>
        </w:tc>
        <w:tc>
          <w:tcPr>
            <w:tcW w:w="1965" w:type="dxa"/>
            <w:tcBorders>
              <w:top w:val="nil"/>
              <w:left w:val="nil"/>
              <w:bottom w:val="single" w:color="auto" w:sz="4" w:space="0"/>
              <w:right w:val="single" w:color="auto" w:sz="4" w:space="0"/>
            </w:tcBorders>
            <w:vAlign w:val="center"/>
          </w:tcPr>
          <w:p w14:paraId="5CA5DBB6">
            <w:pPr>
              <w:tabs>
                <w:tab w:val="left" w:pos="6300"/>
              </w:tabs>
              <w:snapToGrid w:val="0"/>
              <w:spacing w:line="276" w:lineRule="auto"/>
              <w:ind w:firstLine="570"/>
              <w:jc w:val="center"/>
              <w:rPr>
                <w:rFonts w:ascii="方正仿宋_GBK" w:hAnsi="宋体" w:eastAsia="方正仿宋_GBK"/>
                <w:color w:val="auto"/>
                <w:sz w:val="24"/>
                <w:szCs w:val="24"/>
                <w:highlight w:val="none"/>
              </w:rPr>
            </w:pPr>
          </w:p>
        </w:tc>
        <w:tc>
          <w:tcPr>
            <w:tcW w:w="1688" w:type="dxa"/>
            <w:tcBorders>
              <w:top w:val="nil"/>
              <w:left w:val="nil"/>
              <w:bottom w:val="single" w:color="auto" w:sz="4" w:space="0"/>
              <w:right w:val="single" w:color="auto" w:sz="4" w:space="0"/>
            </w:tcBorders>
            <w:vAlign w:val="center"/>
          </w:tcPr>
          <w:p w14:paraId="61EACB5A">
            <w:pPr>
              <w:tabs>
                <w:tab w:val="left" w:pos="6300"/>
              </w:tabs>
              <w:snapToGrid w:val="0"/>
              <w:spacing w:line="276" w:lineRule="auto"/>
              <w:ind w:firstLine="570"/>
              <w:jc w:val="center"/>
              <w:rPr>
                <w:rFonts w:ascii="方正仿宋_GBK" w:hAnsi="宋体" w:eastAsia="方正仿宋_GBK"/>
                <w:color w:val="auto"/>
                <w:sz w:val="24"/>
                <w:szCs w:val="24"/>
                <w:highlight w:val="none"/>
              </w:rPr>
            </w:pPr>
          </w:p>
        </w:tc>
        <w:tc>
          <w:tcPr>
            <w:tcW w:w="1636" w:type="dxa"/>
            <w:tcBorders>
              <w:top w:val="single" w:color="auto" w:sz="4" w:space="0"/>
              <w:left w:val="nil"/>
              <w:bottom w:val="single" w:color="auto" w:sz="4" w:space="0"/>
              <w:right w:val="single" w:color="auto" w:sz="4" w:space="0"/>
            </w:tcBorders>
            <w:vAlign w:val="center"/>
          </w:tcPr>
          <w:p w14:paraId="07882DAA">
            <w:pPr>
              <w:tabs>
                <w:tab w:val="left" w:pos="6300"/>
              </w:tabs>
              <w:snapToGrid w:val="0"/>
              <w:spacing w:line="276" w:lineRule="auto"/>
              <w:ind w:firstLine="570"/>
              <w:jc w:val="center"/>
              <w:rPr>
                <w:rFonts w:ascii="方正仿宋_GBK" w:hAnsi="宋体" w:eastAsia="方正仿宋_GBK"/>
                <w:color w:val="auto"/>
                <w:sz w:val="24"/>
                <w:szCs w:val="24"/>
                <w:highlight w:val="none"/>
              </w:rPr>
            </w:pPr>
          </w:p>
        </w:tc>
        <w:tc>
          <w:tcPr>
            <w:tcW w:w="1908" w:type="dxa"/>
            <w:tcBorders>
              <w:top w:val="nil"/>
              <w:left w:val="single" w:color="auto" w:sz="4" w:space="0"/>
              <w:bottom w:val="single" w:color="auto" w:sz="4" w:space="0"/>
              <w:right w:val="single" w:color="auto" w:sz="4" w:space="0"/>
            </w:tcBorders>
            <w:vAlign w:val="center"/>
          </w:tcPr>
          <w:p w14:paraId="0E4C90CD">
            <w:pPr>
              <w:tabs>
                <w:tab w:val="left" w:pos="6300"/>
              </w:tabs>
              <w:snapToGrid w:val="0"/>
              <w:spacing w:line="276" w:lineRule="auto"/>
              <w:ind w:firstLine="570"/>
              <w:jc w:val="center"/>
              <w:rPr>
                <w:rFonts w:ascii="方正仿宋_GBK" w:hAnsi="宋体" w:eastAsia="方正仿宋_GBK"/>
                <w:color w:val="auto"/>
                <w:sz w:val="24"/>
                <w:szCs w:val="24"/>
                <w:highlight w:val="none"/>
              </w:rPr>
            </w:pPr>
          </w:p>
        </w:tc>
      </w:tr>
    </w:tbl>
    <w:p w14:paraId="1E909092">
      <w:pPr>
        <w:tabs>
          <w:tab w:val="left" w:pos="6300"/>
        </w:tabs>
        <w:snapToGrid w:val="0"/>
        <w:spacing w:line="276" w:lineRule="auto"/>
        <w:ind w:firstLine="570"/>
        <w:jc w:val="left"/>
        <w:rPr>
          <w:rFonts w:ascii="方正仿宋_GBK" w:eastAsia="方正仿宋_GBK"/>
          <w:color w:val="auto"/>
          <w:sz w:val="24"/>
          <w:szCs w:val="24"/>
          <w:highlight w:val="none"/>
        </w:rPr>
      </w:pPr>
    </w:p>
    <w:p w14:paraId="2B06E75D">
      <w:pPr>
        <w:tabs>
          <w:tab w:val="left" w:pos="6300"/>
        </w:tabs>
        <w:snapToGrid w:val="0"/>
        <w:spacing w:line="276" w:lineRule="auto"/>
        <w:ind w:firstLine="570"/>
        <w:jc w:val="left"/>
        <w:rPr>
          <w:rFonts w:ascii="方正仿宋_GBK" w:eastAsia="方正仿宋_GBK"/>
          <w:color w:val="auto"/>
          <w:sz w:val="24"/>
          <w:szCs w:val="24"/>
          <w:highlight w:val="none"/>
        </w:rPr>
      </w:pPr>
    </w:p>
    <w:p w14:paraId="42E6A8B6">
      <w:pPr>
        <w:tabs>
          <w:tab w:val="left" w:pos="6300"/>
        </w:tabs>
        <w:snapToGrid w:val="0"/>
        <w:spacing w:line="276" w:lineRule="auto"/>
        <w:ind w:firstLine="570"/>
        <w:jc w:val="left"/>
        <w:rPr>
          <w:rFonts w:ascii="方正仿宋_GBK" w:eastAsia="方正仿宋_GBK"/>
          <w:color w:val="auto"/>
          <w:sz w:val="24"/>
          <w:szCs w:val="24"/>
          <w:highlight w:val="none"/>
        </w:rPr>
      </w:pPr>
    </w:p>
    <w:p w14:paraId="25E3245D">
      <w:pPr>
        <w:tabs>
          <w:tab w:val="left" w:pos="6300"/>
        </w:tabs>
        <w:snapToGrid w:val="0"/>
        <w:spacing w:line="276" w:lineRule="auto"/>
        <w:ind w:firstLine="4562" w:firstLineChars="1901"/>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供应商名称（盖章）：</w:t>
      </w:r>
    </w:p>
    <w:p w14:paraId="15F6B9E3">
      <w:pPr>
        <w:tabs>
          <w:tab w:val="left" w:pos="6300"/>
        </w:tabs>
        <w:snapToGrid w:val="0"/>
        <w:spacing w:line="276" w:lineRule="auto"/>
        <w:ind w:firstLine="570"/>
        <w:jc w:val="left"/>
        <w:rPr>
          <w:rFonts w:ascii="方正仿宋_GBK" w:eastAsia="方正仿宋_GBK"/>
          <w:color w:val="auto"/>
          <w:sz w:val="24"/>
          <w:szCs w:val="24"/>
          <w:highlight w:val="none"/>
        </w:rPr>
      </w:pPr>
    </w:p>
    <w:p w14:paraId="3545F27C">
      <w:pPr>
        <w:tabs>
          <w:tab w:val="left" w:pos="6300"/>
        </w:tabs>
        <w:snapToGrid w:val="0"/>
        <w:spacing w:line="276" w:lineRule="auto"/>
        <w:ind w:firstLine="570"/>
        <w:jc w:val="left"/>
        <w:rPr>
          <w:rFonts w:ascii="方正仿宋_GBK" w:eastAsia="方正仿宋_GBK"/>
          <w:color w:val="auto"/>
          <w:sz w:val="24"/>
          <w:szCs w:val="24"/>
          <w:highlight w:val="none"/>
        </w:rPr>
      </w:pPr>
    </w:p>
    <w:p w14:paraId="577461A7">
      <w:pPr>
        <w:tabs>
          <w:tab w:val="left" w:pos="6300"/>
        </w:tabs>
        <w:snapToGrid w:val="0"/>
        <w:spacing w:line="276" w:lineRule="auto"/>
        <w:ind w:firstLine="570"/>
        <w:jc w:val="left"/>
        <w:rPr>
          <w:rFonts w:ascii="方正仿宋_GBK" w:eastAsia="方正仿宋_GBK"/>
          <w:color w:val="auto"/>
          <w:sz w:val="24"/>
          <w:szCs w:val="24"/>
          <w:highlight w:val="none"/>
        </w:rPr>
      </w:pPr>
    </w:p>
    <w:p w14:paraId="26D31F02">
      <w:pPr>
        <w:tabs>
          <w:tab w:val="left" w:pos="6300"/>
        </w:tabs>
        <w:snapToGrid w:val="0"/>
        <w:spacing w:line="276" w:lineRule="auto"/>
        <w:ind w:firstLine="570"/>
        <w:jc w:val="left"/>
        <w:rPr>
          <w:rFonts w:ascii="方正仿宋_GBK" w:eastAsia="方正仿宋_GBK"/>
          <w:color w:val="auto"/>
          <w:sz w:val="24"/>
          <w:szCs w:val="24"/>
          <w:highlight w:val="none"/>
        </w:rPr>
      </w:pPr>
    </w:p>
    <w:p w14:paraId="0C595351">
      <w:pPr>
        <w:tabs>
          <w:tab w:val="left" w:pos="6300"/>
        </w:tabs>
        <w:snapToGrid w:val="0"/>
        <w:spacing w:line="276" w:lineRule="auto"/>
        <w:ind w:firstLine="570"/>
        <w:jc w:val="left"/>
        <w:rPr>
          <w:rFonts w:ascii="方正仿宋_GBK" w:eastAsia="方正仿宋_GBK"/>
          <w:color w:val="auto"/>
          <w:sz w:val="24"/>
          <w:szCs w:val="24"/>
          <w:highlight w:val="none"/>
        </w:rPr>
      </w:pPr>
    </w:p>
    <w:p w14:paraId="59DDF7C2">
      <w:pPr>
        <w:tabs>
          <w:tab w:val="left" w:pos="6300"/>
        </w:tabs>
        <w:snapToGrid w:val="0"/>
        <w:spacing w:line="276" w:lineRule="auto"/>
        <w:ind w:firstLine="570"/>
        <w:jc w:val="left"/>
        <w:rPr>
          <w:rFonts w:ascii="方正仿宋_GBK" w:eastAsia="方正仿宋_GBK"/>
          <w:color w:val="auto"/>
          <w:sz w:val="24"/>
          <w:szCs w:val="24"/>
          <w:highlight w:val="none"/>
        </w:rPr>
      </w:pPr>
    </w:p>
    <w:p w14:paraId="3376A332">
      <w:pPr>
        <w:snapToGrid w:val="0"/>
        <w:spacing w:line="276" w:lineRule="auto"/>
        <w:ind w:firstLine="480" w:firstLineChars="200"/>
        <w:rPr>
          <w:rFonts w:ascii="方正仿宋_GBK" w:eastAsia="方正仿宋_GBK"/>
          <w:color w:val="auto"/>
          <w:sz w:val="24"/>
          <w:szCs w:val="24"/>
          <w:highlight w:val="none"/>
        </w:rPr>
      </w:pPr>
    </w:p>
    <w:p w14:paraId="695F8735">
      <w:pPr>
        <w:tabs>
          <w:tab w:val="left" w:pos="6300"/>
        </w:tabs>
        <w:snapToGrid w:val="0"/>
        <w:spacing w:line="276" w:lineRule="auto"/>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（招标文件结束）</w:t>
      </w:r>
    </w:p>
    <w:p w14:paraId="10D2F87D">
      <w:pPr>
        <w:rPr>
          <w:color w:val="auto"/>
          <w:highlight w:val="none"/>
        </w:rPr>
      </w:pPr>
    </w:p>
    <w:p w14:paraId="08938D09">
      <w:pPr>
        <w:rPr>
          <w:color w:val="auto"/>
          <w:highlight w:val="none"/>
        </w:rPr>
      </w:pPr>
    </w:p>
    <w:sectPr>
      <w:footerReference r:id="rId10" w:type="default"/>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93B41">
    <w:pPr>
      <w:pStyle w:val="14"/>
      <w:jc w:val="center"/>
      <w:rPr>
        <w:sz w:val="24"/>
      </w:rPr>
    </w:pPr>
    <w:r>
      <w:rPr>
        <w:sz w:val="24"/>
      </w:rPr>
      <w:fldChar w:fldCharType="begin"/>
    </w:r>
    <w:r>
      <w:rPr>
        <w:rStyle w:val="23"/>
        <w:sz w:val="24"/>
      </w:rPr>
      <w:instrText xml:space="preserve"> PAGE </w:instrText>
    </w:r>
    <w:r>
      <w:rPr>
        <w:sz w:val="24"/>
      </w:rPr>
      <w:fldChar w:fldCharType="separate"/>
    </w:r>
    <w:r>
      <w:rPr>
        <w:rStyle w:val="23"/>
        <w:sz w:val="24"/>
      </w:rPr>
      <w:t>2</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9D103">
    <w:pPr>
      <w:pStyle w:val="14"/>
      <w:framePr w:wrap="around" w:vAnchor="text" w:hAnchor="margin" w:xAlign="center" w:y="1"/>
      <w:rPr>
        <w:rStyle w:val="23"/>
      </w:rPr>
    </w:pPr>
    <w:r>
      <w:fldChar w:fldCharType="begin"/>
    </w:r>
    <w:r>
      <w:rPr>
        <w:rStyle w:val="23"/>
      </w:rPr>
      <w:instrText xml:space="preserve">PAGE  </w:instrText>
    </w:r>
    <w:r>
      <w:fldChar w:fldCharType="end"/>
    </w:r>
  </w:p>
  <w:p w14:paraId="3C543835">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6CCF0">
    <w:pPr>
      <w:pStyle w:val="14"/>
      <w:rPr>
        <w:sz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8EE73">
    <w:pPr>
      <w:pStyle w:val="14"/>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C0185C">
                          <w:pPr>
                            <w:pStyle w:val="14"/>
                            <w:ind w:right="360"/>
                            <w:jc w:val="center"/>
                          </w:pPr>
                          <w:r>
                            <w:fldChar w:fldCharType="begin"/>
                          </w:r>
                          <w:r>
                            <w:rPr>
                              <w:rStyle w:val="23"/>
                            </w:rPr>
                            <w:instrText xml:space="preserve"> PAGE </w:instrText>
                          </w:r>
                          <w:r>
                            <w:fldChar w:fldCharType="separate"/>
                          </w:r>
                          <w:r>
                            <w:rPr>
                              <w:rStyle w:val="23"/>
                            </w:rPr>
                            <w:t>- 9 -</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11C0185C">
                    <w:pPr>
                      <w:pStyle w:val="14"/>
                      <w:ind w:right="360"/>
                      <w:jc w:val="center"/>
                    </w:pPr>
                    <w:r>
                      <w:fldChar w:fldCharType="begin"/>
                    </w:r>
                    <w:r>
                      <w:rPr>
                        <w:rStyle w:val="23"/>
                      </w:rPr>
                      <w:instrText xml:space="preserve"> PAGE </w:instrText>
                    </w:r>
                    <w:r>
                      <w:fldChar w:fldCharType="separate"/>
                    </w:r>
                    <w:r>
                      <w:rPr>
                        <w:rStyle w:val="23"/>
                      </w:rPr>
                      <w:t>- 9 -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95DC1">
    <w:pPr>
      <w:pStyle w:val="14"/>
      <w:framePr w:wrap="around" w:vAnchor="text" w:hAnchor="margin" w:xAlign="right" w:y="1"/>
      <w:rPr>
        <w:rStyle w:val="23"/>
      </w:rPr>
    </w:pPr>
    <w:r>
      <w:fldChar w:fldCharType="begin"/>
    </w:r>
    <w:r>
      <w:rPr>
        <w:rStyle w:val="23"/>
      </w:rPr>
      <w:instrText xml:space="preserve">PAGE  </w:instrText>
    </w:r>
    <w:r>
      <w:fldChar w:fldCharType="end"/>
    </w:r>
  </w:p>
  <w:p w14:paraId="5A9E8EF3">
    <w:pPr>
      <w:pStyle w:val="1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B2FE7">
    <w:pPr>
      <w:pStyle w:val="14"/>
      <w:jc w:val="center"/>
      <w:rPr>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F7483E">
                          <w:pPr>
                            <w:pStyle w:val="14"/>
                            <w:jc w:val="center"/>
                          </w:pPr>
                          <w:r>
                            <w:rPr>
                              <w:sz w:val="24"/>
                            </w:rPr>
                            <w:fldChar w:fldCharType="begin"/>
                          </w:r>
                          <w:r>
                            <w:rPr>
                              <w:rStyle w:val="23"/>
                              <w:sz w:val="24"/>
                            </w:rPr>
                            <w:instrText xml:space="preserve"> PAGE </w:instrText>
                          </w:r>
                          <w:r>
                            <w:rPr>
                              <w:sz w:val="24"/>
                            </w:rPr>
                            <w:fldChar w:fldCharType="separate"/>
                          </w:r>
                          <w:r>
                            <w:rPr>
                              <w:rStyle w:val="23"/>
                              <w:sz w:val="24"/>
                            </w:rPr>
                            <w:t>- 65 -</w:t>
                          </w:r>
                          <w:r>
                            <w:rPr>
                              <w:sz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0EF7483E">
                    <w:pPr>
                      <w:pStyle w:val="14"/>
                      <w:jc w:val="center"/>
                    </w:pPr>
                    <w:r>
                      <w:rPr>
                        <w:sz w:val="24"/>
                      </w:rPr>
                      <w:fldChar w:fldCharType="begin"/>
                    </w:r>
                    <w:r>
                      <w:rPr>
                        <w:rStyle w:val="23"/>
                        <w:sz w:val="24"/>
                      </w:rPr>
                      <w:instrText xml:space="preserve"> PAGE </w:instrText>
                    </w:r>
                    <w:r>
                      <w:rPr>
                        <w:sz w:val="24"/>
                      </w:rPr>
                      <w:fldChar w:fldCharType="separate"/>
                    </w:r>
                    <w:r>
                      <w:rPr>
                        <w:rStyle w:val="23"/>
                        <w:sz w:val="24"/>
                      </w:rPr>
                      <w:t>- 65 -</w:t>
                    </w:r>
                    <w:r>
                      <w:rPr>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67892">
    <w:pPr>
      <w:pStyle w:val="16"/>
      <w:pBdr>
        <w:bottom w:val="single" w:color="auto" w:sz="4" w:space="1"/>
      </w:pBdr>
      <w:ind w:firstLine="105" w:firstLineChars="50"/>
      <w:jc w:val="both"/>
      <w:rPr>
        <w:rFonts w:ascii="方正仿宋_GBK" w:eastAsia="方正仿宋_GBK"/>
        <w:sz w:val="21"/>
        <w:szCs w:val="24"/>
      </w:rPr>
    </w:pPr>
    <w:r>
      <w:rPr>
        <w:rFonts w:hint="eastAsia" w:ascii="方正仿宋_GBK" w:eastAsia="方正仿宋_GBK"/>
        <w:sz w:val="21"/>
        <w:szCs w:val="24"/>
      </w:rPr>
      <w:t>重庆工商大学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30284">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70B13C"/>
    <w:multiLevelType w:val="singleLevel"/>
    <w:tmpl w:val="C770B13C"/>
    <w:lvl w:ilvl="0" w:tentative="0">
      <w:start w:val="1"/>
      <w:numFmt w:val="chineseCounting"/>
      <w:suff w:val="nothing"/>
      <w:lvlText w:val="%1、"/>
      <w:lvlJc w:val="left"/>
      <w:rPr>
        <w:rFonts w:hint="eastAsia"/>
      </w:rPr>
    </w:lvl>
  </w:abstractNum>
  <w:abstractNum w:abstractNumId="1">
    <w:nsid w:val="FD972EED"/>
    <w:multiLevelType w:val="singleLevel"/>
    <w:tmpl w:val="FD972EED"/>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yMjQ0N2FiMTVlZGM3NmU1ZDdmODE0ZmRiNDczYjYifQ=="/>
    <w:docVar w:name="KSO_WPS_MARK_KEY" w:val="d0497bb7-77e8-444c-8ee3-f5f7f67e0be5"/>
  </w:docVars>
  <w:rsids>
    <w:rsidRoot w:val="51DB37DF"/>
    <w:rsid w:val="00034C27"/>
    <w:rsid w:val="00060129"/>
    <w:rsid w:val="00073782"/>
    <w:rsid w:val="0009778D"/>
    <w:rsid w:val="00144CEB"/>
    <w:rsid w:val="00173510"/>
    <w:rsid w:val="001757DD"/>
    <w:rsid w:val="001C2507"/>
    <w:rsid w:val="001F37EF"/>
    <w:rsid w:val="001F3D5C"/>
    <w:rsid w:val="00234C22"/>
    <w:rsid w:val="002368CB"/>
    <w:rsid w:val="002415F1"/>
    <w:rsid w:val="00247852"/>
    <w:rsid w:val="002B4E59"/>
    <w:rsid w:val="002C16F6"/>
    <w:rsid w:val="002E5ABB"/>
    <w:rsid w:val="002F1D68"/>
    <w:rsid w:val="002F29F9"/>
    <w:rsid w:val="003015D7"/>
    <w:rsid w:val="00333C9C"/>
    <w:rsid w:val="00394969"/>
    <w:rsid w:val="003F0218"/>
    <w:rsid w:val="00417D62"/>
    <w:rsid w:val="00495BC7"/>
    <w:rsid w:val="004A3E21"/>
    <w:rsid w:val="004C5665"/>
    <w:rsid w:val="00577C4D"/>
    <w:rsid w:val="005825AB"/>
    <w:rsid w:val="00586899"/>
    <w:rsid w:val="00587A4C"/>
    <w:rsid w:val="00611C8D"/>
    <w:rsid w:val="00622CEC"/>
    <w:rsid w:val="006244BD"/>
    <w:rsid w:val="0064753D"/>
    <w:rsid w:val="00653ADE"/>
    <w:rsid w:val="006707E2"/>
    <w:rsid w:val="006800DA"/>
    <w:rsid w:val="006A2D93"/>
    <w:rsid w:val="006E186A"/>
    <w:rsid w:val="006E637A"/>
    <w:rsid w:val="007037B1"/>
    <w:rsid w:val="00751E31"/>
    <w:rsid w:val="007927CF"/>
    <w:rsid w:val="00793B9D"/>
    <w:rsid w:val="007A582B"/>
    <w:rsid w:val="008445EA"/>
    <w:rsid w:val="0086776F"/>
    <w:rsid w:val="0089659F"/>
    <w:rsid w:val="008A508F"/>
    <w:rsid w:val="008C0057"/>
    <w:rsid w:val="008C06A1"/>
    <w:rsid w:val="008E6F07"/>
    <w:rsid w:val="00907FDE"/>
    <w:rsid w:val="00917E28"/>
    <w:rsid w:val="00922402"/>
    <w:rsid w:val="009407AB"/>
    <w:rsid w:val="009954B3"/>
    <w:rsid w:val="00A21177"/>
    <w:rsid w:val="00A2722E"/>
    <w:rsid w:val="00A3527A"/>
    <w:rsid w:val="00A7797A"/>
    <w:rsid w:val="00B24BA0"/>
    <w:rsid w:val="00B45ECA"/>
    <w:rsid w:val="00B57472"/>
    <w:rsid w:val="00BA44D6"/>
    <w:rsid w:val="00BC757B"/>
    <w:rsid w:val="00BE68EA"/>
    <w:rsid w:val="00C349BF"/>
    <w:rsid w:val="00C54C5D"/>
    <w:rsid w:val="00D3599C"/>
    <w:rsid w:val="00D5158C"/>
    <w:rsid w:val="00D52A97"/>
    <w:rsid w:val="00D641CC"/>
    <w:rsid w:val="00D8373B"/>
    <w:rsid w:val="00DA3011"/>
    <w:rsid w:val="00E01A0F"/>
    <w:rsid w:val="00E02FBA"/>
    <w:rsid w:val="00E34D8E"/>
    <w:rsid w:val="00E46155"/>
    <w:rsid w:val="00E7662A"/>
    <w:rsid w:val="00E8050A"/>
    <w:rsid w:val="00E93AA6"/>
    <w:rsid w:val="00EF2F8B"/>
    <w:rsid w:val="00EF4DC5"/>
    <w:rsid w:val="00F16ED7"/>
    <w:rsid w:val="00F41702"/>
    <w:rsid w:val="00F516DA"/>
    <w:rsid w:val="00F9452C"/>
    <w:rsid w:val="00FD60C5"/>
    <w:rsid w:val="00FF682A"/>
    <w:rsid w:val="01646020"/>
    <w:rsid w:val="01D34B7C"/>
    <w:rsid w:val="02290C40"/>
    <w:rsid w:val="02450C23"/>
    <w:rsid w:val="029215B0"/>
    <w:rsid w:val="02D539F7"/>
    <w:rsid w:val="042E2677"/>
    <w:rsid w:val="04ED2771"/>
    <w:rsid w:val="058A79B2"/>
    <w:rsid w:val="05A83E55"/>
    <w:rsid w:val="0619721E"/>
    <w:rsid w:val="06223516"/>
    <w:rsid w:val="066D1AB1"/>
    <w:rsid w:val="077F1302"/>
    <w:rsid w:val="0870489F"/>
    <w:rsid w:val="088A1DA4"/>
    <w:rsid w:val="08D86F1C"/>
    <w:rsid w:val="096F1009"/>
    <w:rsid w:val="09E4495D"/>
    <w:rsid w:val="0A4474A7"/>
    <w:rsid w:val="0AFF4C34"/>
    <w:rsid w:val="0B30303F"/>
    <w:rsid w:val="0B657E64"/>
    <w:rsid w:val="0B6947A3"/>
    <w:rsid w:val="0B903AE8"/>
    <w:rsid w:val="0C926544"/>
    <w:rsid w:val="0D074014"/>
    <w:rsid w:val="0D1C2D13"/>
    <w:rsid w:val="0D4728C2"/>
    <w:rsid w:val="0E5A2330"/>
    <w:rsid w:val="0E5E060E"/>
    <w:rsid w:val="0ECD1AAF"/>
    <w:rsid w:val="0EF3685E"/>
    <w:rsid w:val="0F2C10BC"/>
    <w:rsid w:val="0FBF08D2"/>
    <w:rsid w:val="0FE96A31"/>
    <w:rsid w:val="11C24C0D"/>
    <w:rsid w:val="11C92EC1"/>
    <w:rsid w:val="11EA7A3A"/>
    <w:rsid w:val="12917110"/>
    <w:rsid w:val="12931D0F"/>
    <w:rsid w:val="12B27FA6"/>
    <w:rsid w:val="143B01BD"/>
    <w:rsid w:val="15002699"/>
    <w:rsid w:val="151B6B0E"/>
    <w:rsid w:val="15BE5F2B"/>
    <w:rsid w:val="15D63F6D"/>
    <w:rsid w:val="16E178E4"/>
    <w:rsid w:val="16E24EB8"/>
    <w:rsid w:val="17881B5A"/>
    <w:rsid w:val="17F72FFF"/>
    <w:rsid w:val="17FB560C"/>
    <w:rsid w:val="18495740"/>
    <w:rsid w:val="19CA0B03"/>
    <w:rsid w:val="1AAF34B1"/>
    <w:rsid w:val="1AB53919"/>
    <w:rsid w:val="1AE725C8"/>
    <w:rsid w:val="1B400365"/>
    <w:rsid w:val="1B684836"/>
    <w:rsid w:val="1BE27765"/>
    <w:rsid w:val="1C041F57"/>
    <w:rsid w:val="1C3070F9"/>
    <w:rsid w:val="1C766D20"/>
    <w:rsid w:val="1CDB531C"/>
    <w:rsid w:val="1D597D67"/>
    <w:rsid w:val="1DCA1877"/>
    <w:rsid w:val="1E310ADB"/>
    <w:rsid w:val="1E432C32"/>
    <w:rsid w:val="1EB62D85"/>
    <w:rsid w:val="1EB92341"/>
    <w:rsid w:val="1ED55F80"/>
    <w:rsid w:val="1F180379"/>
    <w:rsid w:val="201056CD"/>
    <w:rsid w:val="202A320F"/>
    <w:rsid w:val="20340D69"/>
    <w:rsid w:val="20DE4B10"/>
    <w:rsid w:val="21A55D49"/>
    <w:rsid w:val="223C6316"/>
    <w:rsid w:val="22D05153"/>
    <w:rsid w:val="23747406"/>
    <w:rsid w:val="23957B07"/>
    <w:rsid w:val="2453265A"/>
    <w:rsid w:val="24D942F0"/>
    <w:rsid w:val="25BC39C9"/>
    <w:rsid w:val="26AA1AA0"/>
    <w:rsid w:val="27FD07BD"/>
    <w:rsid w:val="2836022E"/>
    <w:rsid w:val="283A6F01"/>
    <w:rsid w:val="290D27BA"/>
    <w:rsid w:val="29481B78"/>
    <w:rsid w:val="29B068A8"/>
    <w:rsid w:val="29D15596"/>
    <w:rsid w:val="29D611A0"/>
    <w:rsid w:val="2BC14790"/>
    <w:rsid w:val="2C5961AB"/>
    <w:rsid w:val="2C846A0A"/>
    <w:rsid w:val="2C862244"/>
    <w:rsid w:val="2CAA6B3E"/>
    <w:rsid w:val="2CFE0766"/>
    <w:rsid w:val="2D5A4F80"/>
    <w:rsid w:val="2F065CE2"/>
    <w:rsid w:val="2F4D1B62"/>
    <w:rsid w:val="31DB51BC"/>
    <w:rsid w:val="31F24947"/>
    <w:rsid w:val="32144BB9"/>
    <w:rsid w:val="32912953"/>
    <w:rsid w:val="32B55A55"/>
    <w:rsid w:val="331973A0"/>
    <w:rsid w:val="33E95D5F"/>
    <w:rsid w:val="34556473"/>
    <w:rsid w:val="35C3770C"/>
    <w:rsid w:val="35E6686D"/>
    <w:rsid w:val="35F96AF9"/>
    <w:rsid w:val="36106BD3"/>
    <w:rsid w:val="363A311F"/>
    <w:rsid w:val="363F21EA"/>
    <w:rsid w:val="38F97974"/>
    <w:rsid w:val="39AC17A8"/>
    <w:rsid w:val="39AF520E"/>
    <w:rsid w:val="39D1578E"/>
    <w:rsid w:val="39FB3881"/>
    <w:rsid w:val="3A7846E9"/>
    <w:rsid w:val="3A9E14C4"/>
    <w:rsid w:val="3AC1441C"/>
    <w:rsid w:val="3B10787A"/>
    <w:rsid w:val="3D4A76E1"/>
    <w:rsid w:val="3DD658FA"/>
    <w:rsid w:val="3DEB20DE"/>
    <w:rsid w:val="3F1955BD"/>
    <w:rsid w:val="3F54373B"/>
    <w:rsid w:val="3F810581"/>
    <w:rsid w:val="3FC45E1F"/>
    <w:rsid w:val="405D01CC"/>
    <w:rsid w:val="407A208B"/>
    <w:rsid w:val="411C49C2"/>
    <w:rsid w:val="418C0DE0"/>
    <w:rsid w:val="424749FE"/>
    <w:rsid w:val="425C76EA"/>
    <w:rsid w:val="42E410D8"/>
    <w:rsid w:val="433B149E"/>
    <w:rsid w:val="43A96218"/>
    <w:rsid w:val="43AE386B"/>
    <w:rsid w:val="43B43B06"/>
    <w:rsid w:val="43E80DDE"/>
    <w:rsid w:val="43F63D60"/>
    <w:rsid w:val="44532C07"/>
    <w:rsid w:val="454B6FE6"/>
    <w:rsid w:val="45DC10F2"/>
    <w:rsid w:val="46853FF0"/>
    <w:rsid w:val="46B04A59"/>
    <w:rsid w:val="46BC30F1"/>
    <w:rsid w:val="4751118B"/>
    <w:rsid w:val="47655843"/>
    <w:rsid w:val="47BE4F54"/>
    <w:rsid w:val="482A7BEC"/>
    <w:rsid w:val="497B454E"/>
    <w:rsid w:val="49DC4035"/>
    <w:rsid w:val="4A0B01F8"/>
    <w:rsid w:val="4AC8729C"/>
    <w:rsid w:val="4B4A1149"/>
    <w:rsid w:val="4B57391E"/>
    <w:rsid w:val="4C8C0B39"/>
    <w:rsid w:val="4CC1216F"/>
    <w:rsid w:val="4DB5164E"/>
    <w:rsid w:val="4DDD0570"/>
    <w:rsid w:val="4E5C595C"/>
    <w:rsid w:val="4E8714DB"/>
    <w:rsid w:val="4E893369"/>
    <w:rsid w:val="4E9F7546"/>
    <w:rsid w:val="4FE747E9"/>
    <w:rsid w:val="507D3D3A"/>
    <w:rsid w:val="51A57F0C"/>
    <w:rsid w:val="51DB37DF"/>
    <w:rsid w:val="52C33FA2"/>
    <w:rsid w:val="53073C53"/>
    <w:rsid w:val="533B29F6"/>
    <w:rsid w:val="545729B8"/>
    <w:rsid w:val="552B02EF"/>
    <w:rsid w:val="561843C9"/>
    <w:rsid w:val="569752EE"/>
    <w:rsid w:val="56D22939"/>
    <w:rsid w:val="57465906"/>
    <w:rsid w:val="574F34A8"/>
    <w:rsid w:val="579C6734"/>
    <w:rsid w:val="57FC08F2"/>
    <w:rsid w:val="587E414F"/>
    <w:rsid w:val="59594ADC"/>
    <w:rsid w:val="59B85CA7"/>
    <w:rsid w:val="59D764C5"/>
    <w:rsid w:val="5A533C21"/>
    <w:rsid w:val="5B651136"/>
    <w:rsid w:val="5BF60D08"/>
    <w:rsid w:val="5C1F025F"/>
    <w:rsid w:val="5C2D6254"/>
    <w:rsid w:val="5CFB7377"/>
    <w:rsid w:val="5D6F0D72"/>
    <w:rsid w:val="603923CB"/>
    <w:rsid w:val="611265B0"/>
    <w:rsid w:val="614E344B"/>
    <w:rsid w:val="61884DBF"/>
    <w:rsid w:val="61CE251D"/>
    <w:rsid w:val="61E239A6"/>
    <w:rsid w:val="62B032A8"/>
    <w:rsid w:val="62B3194B"/>
    <w:rsid w:val="631E2CE0"/>
    <w:rsid w:val="64FD49D9"/>
    <w:rsid w:val="66350262"/>
    <w:rsid w:val="672C3B30"/>
    <w:rsid w:val="68012F0F"/>
    <w:rsid w:val="68153AD4"/>
    <w:rsid w:val="68AC0D90"/>
    <w:rsid w:val="68E6027C"/>
    <w:rsid w:val="69872B49"/>
    <w:rsid w:val="6A481A3A"/>
    <w:rsid w:val="6A482BC4"/>
    <w:rsid w:val="6B20545A"/>
    <w:rsid w:val="6B4260E6"/>
    <w:rsid w:val="6D8753AD"/>
    <w:rsid w:val="6E050C87"/>
    <w:rsid w:val="6E3B6A4F"/>
    <w:rsid w:val="6E562150"/>
    <w:rsid w:val="6EE1644B"/>
    <w:rsid w:val="6F7C598B"/>
    <w:rsid w:val="7048022E"/>
    <w:rsid w:val="70955C8A"/>
    <w:rsid w:val="70FA04FB"/>
    <w:rsid w:val="71D12A25"/>
    <w:rsid w:val="73972979"/>
    <w:rsid w:val="73CB4AEF"/>
    <w:rsid w:val="74BA7D9A"/>
    <w:rsid w:val="75DA0A60"/>
    <w:rsid w:val="76BD726A"/>
    <w:rsid w:val="76C95B71"/>
    <w:rsid w:val="77575D2B"/>
    <w:rsid w:val="77836B8A"/>
    <w:rsid w:val="77D22A86"/>
    <w:rsid w:val="78571D9F"/>
    <w:rsid w:val="79222CE5"/>
    <w:rsid w:val="79AE27CB"/>
    <w:rsid w:val="79CB0C87"/>
    <w:rsid w:val="7A460C55"/>
    <w:rsid w:val="7A5461A9"/>
    <w:rsid w:val="7A7B70AE"/>
    <w:rsid w:val="7AF532D6"/>
    <w:rsid w:val="7B1B5C3E"/>
    <w:rsid w:val="7B700E0F"/>
    <w:rsid w:val="7B845591"/>
    <w:rsid w:val="7B903DB5"/>
    <w:rsid w:val="7BF94D6B"/>
    <w:rsid w:val="7C6F7C42"/>
    <w:rsid w:val="7CC869E7"/>
    <w:rsid w:val="7CE81B50"/>
    <w:rsid w:val="7D4A26D8"/>
    <w:rsid w:val="7D627D20"/>
    <w:rsid w:val="7D7521DA"/>
    <w:rsid w:val="7E373865"/>
    <w:rsid w:val="7E5D5AD4"/>
    <w:rsid w:val="7EAE0420"/>
    <w:rsid w:val="7EC16AFC"/>
    <w:rsid w:val="7F517E80"/>
    <w:rsid w:val="7F9649B7"/>
    <w:rsid w:val="7FB87DEC"/>
    <w:rsid w:val="7FE17456"/>
    <w:rsid w:val="7FE30E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autoRedefine/>
    <w:qFormat/>
    <w:uiPriority w:val="0"/>
    <w:pPr>
      <w:keepNext/>
      <w:tabs>
        <w:tab w:val="left" w:pos="3360"/>
      </w:tabs>
      <w:snapToGrid w:val="0"/>
      <w:spacing w:before="312" w:beforeLines="100" w:after="156" w:afterLines="50" w:line="800" w:lineRule="atLeast"/>
      <w:jc w:val="center"/>
      <w:outlineLvl w:val="0"/>
    </w:pPr>
    <w:rPr>
      <w:rFonts w:eastAsia="黑体"/>
      <w:sz w:val="44"/>
    </w:rPr>
  </w:style>
  <w:style w:type="paragraph" w:styleId="5">
    <w:name w:val="heading 2"/>
    <w:basedOn w:val="1"/>
    <w:next w:val="1"/>
    <w:autoRedefine/>
    <w:qFormat/>
    <w:uiPriority w:val="0"/>
    <w:pPr>
      <w:keepNext/>
      <w:keepLines/>
      <w:adjustRightInd w:val="0"/>
      <w:snapToGrid w:val="0"/>
      <w:spacing w:line="360" w:lineRule="auto"/>
      <w:outlineLvl w:val="1"/>
    </w:pPr>
    <w:rPr>
      <w:rFonts w:ascii="宋体" w:hAnsi="宋体"/>
    </w:rPr>
  </w:style>
  <w:style w:type="paragraph" w:styleId="6">
    <w:name w:val="heading 3"/>
    <w:basedOn w:val="1"/>
    <w:next w:val="1"/>
    <w:autoRedefine/>
    <w:qFormat/>
    <w:uiPriority w:val="0"/>
    <w:pPr>
      <w:keepNext/>
      <w:keepLines/>
      <w:spacing w:before="260" w:after="260" w:line="413" w:lineRule="auto"/>
      <w:jc w:val="center"/>
      <w:outlineLvl w:val="2"/>
    </w:pPr>
    <w:rPr>
      <w:b/>
      <w:sz w:val="44"/>
    </w:rPr>
  </w:style>
  <w:style w:type="paragraph" w:styleId="7">
    <w:name w:val="heading 4"/>
    <w:basedOn w:val="1"/>
    <w:next w:val="1"/>
    <w:qFormat/>
    <w:uiPriority w:val="9"/>
    <w:pPr>
      <w:tabs>
        <w:tab w:val="left" w:pos="720"/>
      </w:tabs>
      <w:spacing w:before="560" w:after="290" w:line="376" w:lineRule="auto"/>
      <w:ind w:left="420" w:hanging="420"/>
      <w:outlineLvl w:val="3"/>
    </w:pPr>
    <w:rPr>
      <w:rFonts w:ascii="Arial" w:hAnsi="Arial" w:eastAsia="黑体"/>
      <w:b/>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0"/>
    <w:rPr>
      <w:rFonts w:ascii="仿宋_GB2312" w:eastAsia="仿宋_GB2312"/>
      <w:sz w:val="32"/>
    </w:rPr>
  </w:style>
  <w:style w:type="paragraph" w:styleId="3">
    <w:name w:val="Quote"/>
    <w:basedOn w:val="1"/>
    <w:next w:val="1"/>
    <w:link w:val="29"/>
    <w:autoRedefine/>
    <w:qFormat/>
    <w:uiPriority w:val="29"/>
    <w:pPr>
      <w:widowControl/>
      <w:jc w:val="left"/>
    </w:pPr>
    <w:rPr>
      <w:rFonts w:ascii="Calibri" w:hAnsi="Calibri"/>
      <w:i/>
      <w:kern w:val="0"/>
      <w:sz w:val="24"/>
      <w:szCs w:val="24"/>
    </w:rPr>
  </w:style>
  <w:style w:type="paragraph" w:styleId="8">
    <w:name w:val="Normal Indent"/>
    <w:basedOn w:val="1"/>
    <w:autoRedefine/>
    <w:qFormat/>
    <w:uiPriority w:val="0"/>
    <w:pPr>
      <w:spacing w:line="360" w:lineRule="auto"/>
      <w:ind w:firstLine="420"/>
    </w:pPr>
    <w:rPr>
      <w:sz w:val="24"/>
      <w:szCs w:val="24"/>
    </w:rPr>
  </w:style>
  <w:style w:type="paragraph" w:styleId="9">
    <w:name w:val="annotation text"/>
    <w:basedOn w:val="1"/>
    <w:link w:val="27"/>
    <w:autoRedefine/>
    <w:qFormat/>
    <w:uiPriority w:val="0"/>
    <w:pPr>
      <w:jc w:val="left"/>
    </w:pPr>
  </w:style>
  <w:style w:type="paragraph" w:styleId="10">
    <w:name w:val="Body Text Indent"/>
    <w:basedOn w:val="1"/>
    <w:autoRedefine/>
    <w:qFormat/>
    <w:uiPriority w:val="0"/>
    <w:pPr>
      <w:spacing w:line="700" w:lineRule="exact"/>
      <w:ind w:left="960"/>
    </w:pPr>
    <w:rPr>
      <w:sz w:val="44"/>
    </w:rPr>
  </w:style>
  <w:style w:type="paragraph" w:styleId="11">
    <w:name w:val="Plain Text"/>
    <w:basedOn w:val="1"/>
    <w:autoRedefine/>
    <w:qFormat/>
    <w:uiPriority w:val="0"/>
    <w:pPr>
      <w:adjustRightInd w:val="0"/>
      <w:snapToGrid w:val="0"/>
      <w:spacing w:line="360" w:lineRule="auto"/>
    </w:pPr>
    <w:rPr>
      <w:rFonts w:ascii="宋体" w:hAnsi="Courier New"/>
      <w:sz w:val="21"/>
    </w:rPr>
  </w:style>
  <w:style w:type="paragraph" w:styleId="12">
    <w:name w:val="Date"/>
    <w:basedOn w:val="1"/>
    <w:next w:val="1"/>
    <w:autoRedefine/>
    <w:qFormat/>
    <w:uiPriority w:val="0"/>
  </w:style>
  <w:style w:type="paragraph" w:styleId="13">
    <w:name w:val="Balloon Text"/>
    <w:basedOn w:val="1"/>
    <w:link w:val="26"/>
    <w:autoRedefine/>
    <w:qFormat/>
    <w:uiPriority w:val="0"/>
    <w:rPr>
      <w:sz w:val="18"/>
      <w:szCs w:val="18"/>
    </w:rPr>
  </w:style>
  <w:style w:type="paragraph" w:styleId="14">
    <w:name w:val="footer"/>
    <w:basedOn w:val="1"/>
    <w:next w:val="15"/>
    <w:autoRedefine/>
    <w:qFormat/>
    <w:uiPriority w:val="0"/>
    <w:pPr>
      <w:tabs>
        <w:tab w:val="center" w:pos="4153"/>
        <w:tab w:val="right" w:pos="8306"/>
      </w:tabs>
      <w:snapToGrid w:val="0"/>
      <w:jc w:val="left"/>
    </w:pPr>
    <w:rPr>
      <w:sz w:val="18"/>
    </w:rPr>
  </w:style>
  <w:style w:type="paragraph" w:customStyle="1" w:styleId="15">
    <w:name w:val="索引 51"/>
    <w:basedOn w:val="1"/>
    <w:next w:val="1"/>
    <w:autoRedefine/>
    <w:qFormat/>
    <w:uiPriority w:val="0"/>
    <w:pPr>
      <w:ind w:left="1680"/>
    </w:pPr>
  </w:style>
  <w:style w:type="paragraph" w:styleId="16">
    <w:name w:val="header"/>
    <w:basedOn w:val="1"/>
    <w:autoRedefine/>
    <w:qFormat/>
    <w:uiPriority w:val="99"/>
    <w:pPr>
      <w:pBdr>
        <w:bottom w:val="single" w:color="auto" w:sz="6" w:space="1"/>
      </w:pBdr>
      <w:tabs>
        <w:tab w:val="center" w:pos="4153"/>
        <w:tab w:val="right" w:pos="8306"/>
      </w:tabs>
      <w:snapToGrid w:val="0"/>
      <w:jc w:val="center"/>
    </w:pPr>
    <w:rPr>
      <w:sz w:val="18"/>
    </w:rPr>
  </w:style>
  <w:style w:type="paragraph" w:styleId="17">
    <w:name w:val="toc 1"/>
    <w:basedOn w:val="1"/>
    <w:next w:val="1"/>
    <w:autoRedefine/>
    <w:qFormat/>
    <w:uiPriority w:val="39"/>
    <w:pPr>
      <w:tabs>
        <w:tab w:val="left" w:pos="1260"/>
        <w:tab w:val="left" w:pos="1685"/>
        <w:tab w:val="right" w:leader="dot" w:pos="8400"/>
      </w:tabs>
      <w:spacing w:line="320" w:lineRule="exact"/>
      <w:ind w:firstLine="280" w:firstLineChars="100"/>
    </w:pPr>
  </w:style>
  <w:style w:type="paragraph" w:styleId="18">
    <w:name w:val="toc 2"/>
    <w:basedOn w:val="1"/>
    <w:next w:val="1"/>
    <w:autoRedefine/>
    <w:qFormat/>
    <w:uiPriority w:val="39"/>
    <w:pPr>
      <w:tabs>
        <w:tab w:val="right" w:leader="dot" w:pos="8400"/>
      </w:tabs>
      <w:spacing w:line="440" w:lineRule="exact"/>
      <w:ind w:left="280" w:leftChars="100" w:right="-91" w:rightChars="-91"/>
    </w:pPr>
  </w:style>
  <w:style w:type="paragraph" w:styleId="19">
    <w:name w:val="annotation subject"/>
    <w:basedOn w:val="9"/>
    <w:next w:val="9"/>
    <w:link w:val="28"/>
    <w:autoRedefine/>
    <w:qFormat/>
    <w:uiPriority w:val="0"/>
    <w:rPr>
      <w:b/>
      <w:bCs/>
    </w:rPr>
  </w:style>
  <w:style w:type="table" w:styleId="21">
    <w:name w:val="Table Grid"/>
    <w:basedOn w:val="2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qFormat/>
    <w:uiPriority w:val="0"/>
  </w:style>
  <w:style w:type="character" w:styleId="24">
    <w:name w:val="annotation reference"/>
    <w:basedOn w:val="22"/>
    <w:autoRedefine/>
    <w:qFormat/>
    <w:uiPriority w:val="0"/>
    <w:rPr>
      <w:sz w:val="21"/>
      <w:szCs w:val="21"/>
    </w:rPr>
  </w:style>
  <w:style w:type="paragraph" w:customStyle="1" w:styleId="25">
    <w:name w:val="无间隔1"/>
    <w:autoRedefine/>
    <w:qFormat/>
    <w:uiPriority w:val="1"/>
    <w:pPr>
      <w:jc w:val="both"/>
    </w:pPr>
    <w:rPr>
      <w:rFonts w:ascii="Times New Roman" w:hAnsi="Times New Roman" w:eastAsia="Times New Roman" w:cs="Times New Roman"/>
      <w:lang w:val="en-US" w:eastAsia="zh-CN" w:bidi="ar-SA"/>
    </w:rPr>
  </w:style>
  <w:style w:type="character" w:customStyle="1" w:styleId="26">
    <w:name w:val="批注框文本 字符"/>
    <w:basedOn w:val="22"/>
    <w:link w:val="13"/>
    <w:autoRedefine/>
    <w:qFormat/>
    <w:uiPriority w:val="0"/>
    <w:rPr>
      <w:kern w:val="2"/>
      <w:sz w:val="18"/>
      <w:szCs w:val="18"/>
    </w:rPr>
  </w:style>
  <w:style w:type="character" w:customStyle="1" w:styleId="27">
    <w:name w:val="批注文字 字符"/>
    <w:basedOn w:val="22"/>
    <w:link w:val="9"/>
    <w:autoRedefine/>
    <w:qFormat/>
    <w:uiPriority w:val="0"/>
    <w:rPr>
      <w:kern w:val="2"/>
      <w:sz w:val="28"/>
    </w:rPr>
  </w:style>
  <w:style w:type="character" w:customStyle="1" w:styleId="28">
    <w:name w:val="批注主题 字符"/>
    <w:basedOn w:val="27"/>
    <w:link w:val="19"/>
    <w:qFormat/>
    <w:uiPriority w:val="0"/>
    <w:rPr>
      <w:b/>
      <w:bCs/>
      <w:kern w:val="2"/>
      <w:sz w:val="28"/>
    </w:rPr>
  </w:style>
  <w:style w:type="character" w:customStyle="1" w:styleId="29">
    <w:name w:val="引用 字符"/>
    <w:basedOn w:val="22"/>
    <w:link w:val="3"/>
    <w:autoRedefine/>
    <w:qFormat/>
    <w:uiPriority w:val="29"/>
    <w:rPr>
      <w:rFonts w:ascii="Calibri" w:hAnsi="Calibri"/>
      <w:i/>
      <w:sz w:val="24"/>
      <w:szCs w:val="24"/>
    </w:rPr>
  </w:style>
  <w:style w:type="character" w:customStyle="1" w:styleId="30">
    <w:name w:val="trnone1"/>
    <w:basedOn w:val="22"/>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F123CD-17C5-4564-8FE0-B5ED8C6D7F61}">
  <ds:schemaRefs/>
</ds:datastoreItem>
</file>

<file path=docProps/app.xml><?xml version="1.0" encoding="utf-8"?>
<Properties xmlns="http://schemas.openxmlformats.org/officeDocument/2006/extended-properties" xmlns:vt="http://schemas.openxmlformats.org/officeDocument/2006/docPropsVTypes">
  <Template>Normal</Template>
  <Pages>64</Pages>
  <Words>21185</Words>
  <Characters>22813</Characters>
  <Lines>326</Lines>
  <Paragraphs>91</Paragraphs>
  <TotalTime>36</TotalTime>
  <ScaleCrop>false</ScaleCrop>
  <LinksUpToDate>false</LinksUpToDate>
  <CharactersWithSpaces>23063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2024-01-17T05:17:00Z</dcterms:created>
  <dc:creator>阎晗</dc:creator>
  <cp:lastModifiedBy>晗子</cp:lastModifiedBy>
  <cp:lastPrinted>2025-07-25T05:41:00Z</cp:lastPrinted>
  <dcterms:modified xsi:type="dcterms:W3CDTF">2025-07-30T08:33:21Z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253E2477EEB846738C20A794A5974948_11</vt:lpwstr>
  </property>
  <property fmtid="{D5CDD505-2E9C-101B-9397-08002B2CF9AE}" pid="4" name="KSOTemplateDocerSaveRecord">
    <vt:lpwstr>eyJoZGlkIjoiMTQ4YzhkMGQxOTk5MWY0NWFjNTNmOWVmNjhkMTdiMjYiLCJ1c2VySWQiOiIxMjIzNjkzNTAwIn0=</vt:lpwstr>
  </property>
</Properties>
</file>