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60EE1">
      <w:pPr>
        <w:pStyle w:val="8"/>
        <w:spacing w:line="440" w:lineRule="exact"/>
        <w:ind w:left="0"/>
        <w:jc w:val="center"/>
        <w:rPr>
          <w:rFonts w:hint="eastAsia"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cs="宋体"/>
          <w:b/>
          <w:bCs/>
          <w:color w:val="000000" w:themeColor="text1"/>
          <w:sz w:val="32"/>
          <w:szCs w:val="32"/>
          <w:lang w:eastAsia="zh-CN"/>
          <w14:textFill>
            <w14:solidFill>
              <w14:schemeClr w14:val="tx1"/>
            </w14:solidFill>
          </w14:textFill>
        </w:rPr>
        <w:t>重庆工商大学对重庆工商大学食品科学与工程学院现代食品加工与原料分析表征平台-包1（3次）</w:t>
      </w:r>
    </w:p>
    <w:p w14:paraId="1A0511C8">
      <w:pPr>
        <w:pStyle w:val="8"/>
        <w:spacing w:line="440" w:lineRule="exact"/>
        <w:ind w:left="0"/>
        <w:jc w:val="center"/>
        <w:rPr>
          <w:rFonts w:hint="eastAsia" w:eastAsia="宋体" w:cs="方正仿宋_GBK" w:asciiTheme="majorEastAsia" w:hAnsiTheme="majorEastAsia"/>
          <w:color w:val="000000" w:themeColor="text1"/>
          <w:sz w:val="32"/>
          <w:szCs w:val="32"/>
          <w:lang w:val="en-US" w:eastAsia="zh-CN"/>
          <w14:textFill>
            <w14:solidFill>
              <w14:schemeClr w14:val="tx1"/>
            </w14:solidFill>
          </w14:textFill>
        </w:rPr>
      </w:pPr>
      <w:r>
        <w:rPr>
          <w:rFonts w:hint="eastAsia" w:ascii="宋体" w:hAnsi="宋体" w:cs="宋体"/>
          <w:b/>
          <w:bCs/>
          <w:color w:val="000000" w:themeColor="text1"/>
          <w:sz w:val="32"/>
          <w:szCs w:val="32"/>
          <w:lang w:val="en-US" w:eastAsia="zh-CN"/>
          <w14:textFill>
            <w14:solidFill>
              <w14:schemeClr w14:val="tx1"/>
            </w14:solidFill>
          </w14:textFill>
        </w:rPr>
        <w:t>更正</w:t>
      </w:r>
      <w:r>
        <w:rPr>
          <w:rFonts w:hint="eastAsia" w:ascii="宋体" w:hAnsi="宋体" w:cs="宋体"/>
          <w:b/>
          <w:bCs/>
          <w:color w:val="000000" w:themeColor="text1"/>
          <w:sz w:val="32"/>
          <w:szCs w:val="32"/>
          <w:lang w:val="en-US"/>
          <w14:textFill>
            <w14:solidFill>
              <w14:schemeClr w14:val="tx1"/>
            </w14:solidFill>
          </w14:textFill>
        </w:rPr>
        <w:t>通知</w:t>
      </w:r>
      <w:r>
        <w:rPr>
          <w:rFonts w:hint="eastAsia" w:ascii="宋体" w:hAnsi="宋体" w:cs="宋体"/>
          <w:b/>
          <w:bCs/>
          <w:color w:val="000000" w:themeColor="text1"/>
          <w:sz w:val="32"/>
          <w:szCs w:val="32"/>
          <w:lang w:val="en-US" w:eastAsia="zh-CN"/>
          <w14:textFill>
            <w14:solidFill>
              <w14:schemeClr w14:val="tx1"/>
            </w14:solidFill>
          </w14:textFill>
        </w:rPr>
        <w:t>1</w:t>
      </w:r>
    </w:p>
    <w:p w14:paraId="140A4C54">
      <w:pPr>
        <w:spacing w:line="440" w:lineRule="exact"/>
        <w:jc w:val="both"/>
        <w:rPr>
          <w:rFonts w:hint="eastAsia" w:cs="方正仿宋_GBK" w:asciiTheme="majorEastAsia" w:hAnsiTheme="majorEastAsia" w:eastAsiaTheme="majorEastAsia"/>
          <w:color w:val="000000" w:themeColor="text1"/>
          <w:sz w:val="24"/>
          <w14:textFill>
            <w14:solidFill>
              <w14:schemeClr w14:val="tx1"/>
            </w14:solidFill>
          </w14:textFill>
        </w:rPr>
      </w:pPr>
      <w:r>
        <w:rPr>
          <w:rFonts w:hint="eastAsia" w:cs="方正仿宋_GBK" w:asciiTheme="majorEastAsia" w:hAnsiTheme="majorEastAsia" w:eastAsiaTheme="majorEastAsia"/>
          <w:color w:val="000000" w:themeColor="text1"/>
          <w:sz w:val="24"/>
          <w14:textFill>
            <w14:solidFill>
              <w14:schemeClr w14:val="tx1"/>
            </w14:solidFill>
          </w14:textFill>
        </w:rPr>
        <w:t>各潜在投标人：</w:t>
      </w:r>
    </w:p>
    <w:p w14:paraId="33E66F04">
      <w:pPr>
        <w:spacing w:line="440" w:lineRule="exact"/>
        <w:ind w:firstLine="480" w:firstLineChars="200"/>
        <w:jc w:val="both"/>
        <w:rPr>
          <w:rFonts w:hint="eastAsia" w:cs="方正仿宋_GBK" w:asciiTheme="majorEastAsia" w:hAnsiTheme="majorEastAsia" w:eastAsiaTheme="majorEastAsia"/>
          <w:color w:val="000000" w:themeColor="text1"/>
          <w:sz w:val="24"/>
          <w14:textFill>
            <w14:solidFill>
              <w14:schemeClr w14:val="tx1"/>
            </w14:solidFill>
          </w14:textFill>
        </w:rPr>
      </w:pPr>
      <w:r>
        <w:rPr>
          <w:rFonts w:hint="eastAsia" w:cs="方正仿宋_GBK" w:asciiTheme="majorEastAsia" w:hAnsiTheme="majorEastAsia" w:eastAsiaTheme="majorEastAsia"/>
          <w:color w:val="000000" w:themeColor="text1"/>
          <w:sz w:val="24"/>
          <w14:textFill>
            <w14:solidFill>
              <w14:schemeClr w14:val="tx1"/>
            </w14:solidFill>
          </w14:textFill>
        </w:rPr>
        <w:t>我校于202</w:t>
      </w:r>
      <w:r>
        <w:rPr>
          <w:rFonts w:hint="eastAsia" w:cs="方正仿宋_GBK" w:asciiTheme="majorEastAsia" w:hAnsiTheme="majorEastAsia" w:eastAsiaTheme="majorEastAsia"/>
          <w:color w:val="000000" w:themeColor="text1"/>
          <w:sz w:val="24"/>
          <w:lang w:val="en-US" w:eastAsia="zh-CN"/>
          <w14:textFill>
            <w14:solidFill>
              <w14:schemeClr w14:val="tx1"/>
            </w14:solidFill>
          </w14:textFill>
        </w:rPr>
        <w:t>6</w:t>
      </w:r>
      <w:r>
        <w:rPr>
          <w:rFonts w:hint="eastAsia" w:cs="方正仿宋_GBK" w:asciiTheme="majorEastAsia" w:hAnsiTheme="majorEastAsia" w:eastAsiaTheme="majorEastAsia"/>
          <w:color w:val="000000" w:themeColor="text1"/>
          <w:sz w:val="24"/>
          <w14:textFill>
            <w14:solidFill>
              <w14:schemeClr w14:val="tx1"/>
            </w14:solidFill>
          </w14:textFill>
        </w:rPr>
        <w:t>年</w:t>
      </w:r>
      <w:r>
        <w:rPr>
          <w:rFonts w:hint="eastAsia" w:cs="方正仿宋_GBK" w:asciiTheme="majorEastAsia" w:hAnsiTheme="majorEastAsia" w:eastAsiaTheme="majorEastAsia"/>
          <w:color w:val="000000" w:themeColor="text1"/>
          <w:sz w:val="24"/>
          <w:lang w:val="en-US" w:eastAsia="zh-CN"/>
          <w14:textFill>
            <w14:solidFill>
              <w14:schemeClr w14:val="tx1"/>
            </w14:solidFill>
          </w14:textFill>
        </w:rPr>
        <w:t>5</w:t>
      </w:r>
      <w:r>
        <w:rPr>
          <w:rFonts w:hint="eastAsia" w:cs="方正仿宋_GBK" w:asciiTheme="majorEastAsia" w:hAnsiTheme="majorEastAsia" w:eastAsiaTheme="majorEastAsia"/>
          <w:color w:val="000000" w:themeColor="text1"/>
          <w:sz w:val="24"/>
          <w14:textFill>
            <w14:solidFill>
              <w14:schemeClr w14:val="tx1"/>
            </w14:solidFill>
          </w14:textFill>
        </w:rPr>
        <w:t>月</w:t>
      </w:r>
      <w:r>
        <w:rPr>
          <w:rFonts w:hint="eastAsia" w:cs="方正仿宋_GBK" w:asciiTheme="majorEastAsia" w:hAnsiTheme="majorEastAsia" w:eastAsiaTheme="majorEastAsia"/>
          <w:color w:val="000000" w:themeColor="text1"/>
          <w:sz w:val="24"/>
          <w:lang w:val="en-US" w:eastAsia="zh-CN"/>
          <w14:textFill>
            <w14:solidFill>
              <w14:schemeClr w14:val="tx1"/>
            </w14:solidFill>
          </w14:textFill>
        </w:rPr>
        <w:t>9</w:t>
      </w:r>
      <w:r>
        <w:rPr>
          <w:rFonts w:hint="eastAsia" w:cs="方正仿宋_GBK" w:asciiTheme="majorEastAsia" w:hAnsiTheme="majorEastAsia" w:eastAsiaTheme="majorEastAsia"/>
          <w:color w:val="000000" w:themeColor="text1"/>
          <w:sz w:val="24"/>
          <w14:textFill>
            <w14:solidFill>
              <w14:schemeClr w14:val="tx1"/>
            </w14:solidFill>
          </w14:textFill>
        </w:rPr>
        <w:t>日发布的</w:t>
      </w:r>
      <w:r>
        <w:rPr>
          <w:rFonts w:hint="eastAsia" w:cs="方正仿宋_GBK" w:asciiTheme="majorEastAsia" w:hAnsiTheme="majorEastAsia" w:eastAsiaTheme="majorEastAsia"/>
          <w:color w:val="000000" w:themeColor="text1"/>
          <w:sz w:val="24"/>
          <w:lang w:eastAsia="zh-CN"/>
          <w14:textFill>
            <w14:solidFill>
              <w14:schemeClr w14:val="tx1"/>
            </w14:solidFill>
          </w14:textFill>
        </w:rPr>
        <w:t>重庆工商大学对重庆工商大学食品科学与工程学院现代食品加工与原料分析表征平台-包1（3次）</w:t>
      </w:r>
      <w:r>
        <w:rPr>
          <w:rFonts w:hint="eastAsia" w:cs="方正仿宋_GBK" w:asciiTheme="majorEastAsia" w:hAnsiTheme="majorEastAsia" w:eastAsiaTheme="majorEastAsia"/>
          <w:color w:val="000000" w:themeColor="text1"/>
          <w:sz w:val="24"/>
          <w14:textFill>
            <w14:solidFill>
              <w14:schemeClr w14:val="tx1"/>
            </w14:solidFill>
          </w14:textFill>
        </w:rPr>
        <w:t>（项目号：CQS25A04186）的招标文件，现对招标文件作如下</w:t>
      </w:r>
      <w:r>
        <w:rPr>
          <w:rFonts w:hint="eastAsia" w:cs="方正仿宋_GBK" w:asciiTheme="majorEastAsia" w:hAnsiTheme="majorEastAsia" w:eastAsiaTheme="majorEastAsia"/>
          <w:color w:val="000000" w:themeColor="text1"/>
          <w:sz w:val="24"/>
          <w:lang w:val="en-US" w:eastAsia="zh-CN"/>
          <w14:textFill>
            <w14:solidFill>
              <w14:schemeClr w14:val="tx1"/>
            </w14:solidFill>
          </w14:textFill>
        </w:rPr>
        <w:t>更正</w:t>
      </w:r>
      <w:r>
        <w:rPr>
          <w:rFonts w:hint="eastAsia" w:cs="方正仿宋_GBK" w:asciiTheme="majorEastAsia" w:hAnsiTheme="majorEastAsia" w:eastAsiaTheme="majorEastAsia"/>
          <w:color w:val="000000" w:themeColor="text1"/>
          <w:sz w:val="24"/>
          <w14:textFill>
            <w14:solidFill>
              <w14:schemeClr w14:val="tx1"/>
            </w14:solidFill>
          </w14:textFill>
        </w:rPr>
        <w:t>通知：</w:t>
      </w:r>
    </w:p>
    <w:tbl>
      <w:tblPr>
        <w:tblStyle w:val="18"/>
        <w:tblW w:w="14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584"/>
        <w:gridCol w:w="6146"/>
        <w:gridCol w:w="6152"/>
      </w:tblGrid>
      <w:tr w14:paraId="2B41E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480" w:type="dxa"/>
          </w:tcPr>
          <w:p w14:paraId="1BFE4FDB">
            <w:pPr>
              <w:snapToGrid w:val="0"/>
              <w:jc w:val="center"/>
              <w:rPr>
                <w:rFonts w:hint="eastAsia" w:cs="宋体" w:asciiTheme="minorEastAsia" w:hAnsiTheme="minorEastAsia" w:eastAsiaTheme="minorEastAsia"/>
                <w:b/>
                <w:color w:val="000000" w:themeColor="text1"/>
                <w:sz w:val="18"/>
                <w:szCs w:val="18"/>
                <w14:textFill>
                  <w14:solidFill>
                    <w14:schemeClr w14:val="tx1"/>
                  </w14:solidFill>
                </w14:textFill>
              </w:rPr>
            </w:pPr>
            <w:r>
              <w:rPr>
                <w:rFonts w:hint="eastAsia" w:cs="宋体" w:asciiTheme="minorEastAsia" w:hAnsiTheme="minorEastAsia" w:eastAsiaTheme="minorEastAsia"/>
                <w:b/>
                <w:color w:val="000000" w:themeColor="text1"/>
                <w:sz w:val="18"/>
                <w:szCs w:val="18"/>
                <w14:textFill>
                  <w14:solidFill>
                    <w14:schemeClr w14:val="tx1"/>
                  </w14:solidFill>
                </w14:textFill>
              </w:rPr>
              <w:t>位置</w:t>
            </w:r>
          </w:p>
        </w:tc>
        <w:tc>
          <w:tcPr>
            <w:tcW w:w="584" w:type="dxa"/>
          </w:tcPr>
          <w:p w14:paraId="649653B8">
            <w:pPr>
              <w:snapToGrid w:val="0"/>
              <w:jc w:val="center"/>
              <w:rPr>
                <w:rFonts w:hint="eastAsia" w:cs="宋体" w:asciiTheme="minorEastAsia" w:hAnsiTheme="minorEastAsia" w:eastAsiaTheme="minorEastAsia"/>
                <w:b/>
                <w:color w:val="000000" w:themeColor="text1"/>
                <w:sz w:val="18"/>
                <w:szCs w:val="18"/>
                <w14:textFill>
                  <w14:solidFill>
                    <w14:schemeClr w14:val="tx1"/>
                  </w14:solidFill>
                </w14:textFill>
              </w:rPr>
            </w:pPr>
            <w:r>
              <w:rPr>
                <w:rFonts w:hint="eastAsia" w:cs="宋体" w:asciiTheme="minorEastAsia" w:hAnsiTheme="minorEastAsia" w:eastAsiaTheme="minorEastAsia"/>
                <w:b/>
                <w:color w:val="000000" w:themeColor="text1"/>
                <w:sz w:val="18"/>
                <w:szCs w:val="18"/>
                <w14:textFill>
                  <w14:solidFill>
                    <w14:schemeClr w14:val="tx1"/>
                  </w14:solidFill>
                </w14:textFill>
              </w:rPr>
              <w:t>页码</w:t>
            </w:r>
          </w:p>
        </w:tc>
        <w:tc>
          <w:tcPr>
            <w:tcW w:w="6146" w:type="dxa"/>
          </w:tcPr>
          <w:p w14:paraId="3C5C1B4F">
            <w:pPr>
              <w:snapToGrid w:val="0"/>
              <w:jc w:val="center"/>
              <w:rPr>
                <w:rFonts w:hint="eastAsia" w:cs="宋体" w:asciiTheme="minorEastAsia" w:hAnsiTheme="minorEastAsia" w:eastAsiaTheme="minorEastAsia"/>
                <w:b/>
                <w:color w:val="000000" w:themeColor="text1"/>
                <w:sz w:val="18"/>
                <w:szCs w:val="18"/>
                <w14:textFill>
                  <w14:solidFill>
                    <w14:schemeClr w14:val="tx1"/>
                  </w14:solidFill>
                </w14:textFill>
              </w:rPr>
            </w:pPr>
            <w:r>
              <w:rPr>
                <w:rFonts w:hint="eastAsia" w:cs="宋体" w:asciiTheme="minorEastAsia" w:hAnsiTheme="minorEastAsia" w:eastAsiaTheme="minorEastAsia"/>
                <w:b/>
                <w:color w:val="000000" w:themeColor="text1"/>
                <w:sz w:val="18"/>
                <w:szCs w:val="18"/>
                <w14:textFill>
                  <w14:solidFill>
                    <w14:schemeClr w14:val="tx1"/>
                  </w14:solidFill>
                </w14:textFill>
              </w:rPr>
              <w:t>原内容</w:t>
            </w:r>
          </w:p>
        </w:tc>
        <w:tc>
          <w:tcPr>
            <w:tcW w:w="6152" w:type="dxa"/>
          </w:tcPr>
          <w:p w14:paraId="11CAC54A">
            <w:pPr>
              <w:snapToGrid w:val="0"/>
              <w:jc w:val="center"/>
              <w:rPr>
                <w:rFonts w:hint="eastAsia" w:cs="宋体" w:asciiTheme="minorEastAsia" w:hAnsiTheme="minorEastAsia" w:eastAsiaTheme="minorEastAsia"/>
                <w:b/>
                <w:color w:val="000000" w:themeColor="text1"/>
                <w:sz w:val="18"/>
                <w:szCs w:val="18"/>
                <w14:textFill>
                  <w14:solidFill>
                    <w14:schemeClr w14:val="tx1"/>
                  </w14:solidFill>
                </w14:textFill>
              </w:rPr>
            </w:pPr>
            <w:r>
              <w:rPr>
                <w:rFonts w:hint="eastAsia" w:cs="宋体" w:asciiTheme="minorEastAsia" w:hAnsiTheme="minorEastAsia" w:eastAsiaTheme="minorEastAsia"/>
                <w:b/>
                <w:color w:val="000000" w:themeColor="text1"/>
                <w:sz w:val="18"/>
                <w:szCs w:val="18"/>
                <w14:textFill>
                  <w14:solidFill>
                    <w14:schemeClr w14:val="tx1"/>
                  </w14:solidFill>
                </w14:textFill>
              </w:rPr>
              <w:t>更正后</w:t>
            </w:r>
          </w:p>
        </w:tc>
      </w:tr>
      <w:tr w14:paraId="3A5A9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jc w:val="center"/>
        </w:trPr>
        <w:tc>
          <w:tcPr>
            <w:tcW w:w="1480" w:type="dxa"/>
            <w:vAlign w:val="center"/>
          </w:tcPr>
          <w:p w14:paraId="78D3FCA3">
            <w:pPr>
              <w:adjustRightInd w:val="0"/>
              <w:snapToGrid w:val="0"/>
              <w:rPr>
                <w:sz w:val="18"/>
                <w:szCs w:val="18"/>
              </w:rPr>
            </w:pPr>
            <w:r>
              <w:rPr>
                <w:rFonts w:hint="eastAsia"/>
                <w:sz w:val="18"/>
                <w:szCs w:val="18"/>
              </w:rPr>
              <w:t>第二篇 项目技术（质量）需求三、项目详细技术指标</w:t>
            </w:r>
          </w:p>
        </w:tc>
        <w:tc>
          <w:tcPr>
            <w:tcW w:w="584" w:type="dxa"/>
            <w:vAlign w:val="center"/>
          </w:tcPr>
          <w:p w14:paraId="4A9B753D">
            <w:pPr>
              <w:spacing w:line="440" w:lineRule="exact"/>
              <w:jc w:val="center"/>
              <w:rPr>
                <w:rFonts w:hint="default" w:cs="方正仿宋_GBK" w:asciiTheme="majorEastAsia" w:hAnsiTheme="majorEastAsia" w:eastAsiaTheme="majorEastAsia"/>
                <w:color w:val="000000" w:themeColor="text1"/>
                <w:sz w:val="18"/>
                <w:szCs w:val="18"/>
                <w:lang w:val="en-US" w:eastAsia="zh-CN"/>
                <w14:textFill>
                  <w14:solidFill>
                    <w14:schemeClr w14:val="tx1"/>
                  </w14:solidFill>
                </w14:textFill>
              </w:rPr>
            </w:pPr>
            <w:r>
              <w:rPr>
                <w:rFonts w:hint="eastAsia" w:cs="方正仿宋_GBK" w:asciiTheme="majorEastAsia" w:hAnsiTheme="majorEastAsia" w:eastAsiaTheme="majorEastAsia"/>
                <w:color w:val="000000" w:themeColor="text1"/>
                <w:sz w:val="18"/>
                <w:szCs w:val="18"/>
                <w:lang w:val="en-US" w:eastAsia="zh-CN"/>
                <w14:textFill>
                  <w14:solidFill>
                    <w14:schemeClr w14:val="tx1"/>
                  </w14:solidFill>
                </w14:textFill>
              </w:rPr>
              <w:t>12</w:t>
            </w:r>
          </w:p>
        </w:tc>
        <w:tc>
          <w:tcPr>
            <w:tcW w:w="6146" w:type="dxa"/>
            <w:vAlign w:val="center"/>
          </w:tcPr>
          <w:tbl>
            <w:tblPr>
              <w:tblStyle w:val="19"/>
              <w:tblW w:w="5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587"/>
              <w:gridCol w:w="682"/>
              <w:gridCol w:w="4388"/>
            </w:tblGrid>
            <w:tr w14:paraId="1FA96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278" w:hRule="atLeast"/>
                <w:jc w:val="center"/>
              </w:trPr>
              <w:tc>
                <w:tcPr>
                  <w:tcW w:w="587" w:type="dxa"/>
                  <w:vAlign w:val="center"/>
                </w:tcPr>
                <w:p w14:paraId="357679BE">
                  <w:pPr>
                    <w:pStyle w:val="56"/>
                    <w:spacing w:line="360" w:lineRule="exact"/>
                    <w:ind w:left="57" w:leftChars="0" w:firstLine="0" w:firstLineChars="0"/>
                    <w:jc w:val="center"/>
                    <w:rPr>
                      <w:rFonts w:hint="eastAsia" w:cs="方正仿宋_GBK" w:asciiTheme="majorEastAsia" w:hAnsiTheme="majorEastAsia" w:eastAsiaTheme="majorEastAsia"/>
                      <w:color w:val="000000" w:themeColor="text1"/>
                      <w:sz w:val="18"/>
                      <w:szCs w:val="18"/>
                      <w:vertAlign w:val="baseline"/>
                      <w:lang w:eastAsia="zh-CN"/>
                      <w14:textFill>
                        <w14:solidFill>
                          <w14:schemeClr w14:val="tx1"/>
                        </w14:solidFill>
                      </w14:textFill>
                    </w:rPr>
                  </w:pPr>
                </w:p>
              </w:tc>
              <w:tc>
                <w:tcPr>
                  <w:tcW w:w="682" w:type="dxa"/>
                  <w:vAlign w:val="center"/>
                </w:tcPr>
                <w:p w14:paraId="43B868AB">
                  <w:pPr>
                    <w:snapToGrid w:val="0"/>
                    <w:spacing w:line="360" w:lineRule="exact"/>
                    <w:jc w:val="center"/>
                    <w:rPr>
                      <w:rFonts w:hint="eastAsia" w:cs="方正仿宋_GBK" w:asciiTheme="majorEastAsia" w:hAnsiTheme="majorEastAsia" w:eastAsiaTheme="majorEastAsia"/>
                      <w:color w:val="000000" w:themeColor="text1"/>
                      <w:sz w:val="18"/>
                      <w:szCs w:val="18"/>
                      <w:vertAlign w:val="baseline"/>
                      <w:lang w:eastAsia="zh-CN"/>
                      <w14:textFill>
                        <w14:solidFill>
                          <w14:schemeClr w14:val="tx1"/>
                        </w14:solidFill>
                      </w14:textFill>
                    </w:rPr>
                  </w:pPr>
                </w:p>
              </w:tc>
              <w:tc>
                <w:tcPr>
                  <w:tcW w:w="4388" w:type="dxa"/>
                  <w:vAlign w:val="center"/>
                </w:tcPr>
                <w:p w14:paraId="00B3197A">
                  <w:pPr>
                    <w:tabs>
                      <w:tab w:val="left" w:pos="1800"/>
                    </w:tabs>
                    <w:snapToGrid w:val="0"/>
                    <w:spacing w:line="360" w:lineRule="exact"/>
                    <w:jc w:val="left"/>
                    <w:rPr>
                      <w:rFonts w:hint="eastAsia" w:cs="方正仿宋_GBK" w:asciiTheme="majorEastAsia" w:hAnsiTheme="majorEastAsia" w:eastAsiaTheme="majorEastAsia"/>
                      <w:color w:val="000000" w:themeColor="text1"/>
                      <w:sz w:val="18"/>
                      <w:szCs w:val="18"/>
                      <w:vertAlign w:val="baseline"/>
                      <w:lang w:eastAsia="zh-CN"/>
                      <w14:textFill>
                        <w14:solidFill>
                          <w14:schemeClr w14:val="tx1"/>
                        </w14:solidFill>
                      </w14:textFill>
                    </w:rPr>
                  </w:pPr>
                  <w:r>
                    <w:rPr>
                      <w:rFonts w:hint="eastAsia" w:ascii="宋体" w:hAnsi="宋体" w:cs="宋体"/>
                      <w:b/>
                      <w:bCs/>
                      <w:color w:val="auto"/>
                      <w:sz w:val="18"/>
                      <w:szCs w:val="18"/>
                      <w:highlight w:val="none"/>
                    </w:rPr>
                    <w:t>设备4：超高速冷冻离心系统</w:t>
                  </w:r>
                </w:p>
              </w:tc>
            </w:tr>
            <w:tr w14:paraId="30C8F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0" w:hRule="atLeast"/>
                <w:jc w:val="center"/>
              </w:trPr>
              <w:tc>
                <w:tcPr>
                  <w:tcW w:w="587" w:type="dxa"/>
                  <w:vAlign w:val="center"/>
                </w:tcPr>
                <w:p w14:paraId="5EA34B6B">
                  <w:pPr>
                    <w:pStyle w:val="56"/>
                    <w:spacing w:line="360" w:lineRule="exact"/>
                    <w:ind w:firstLine="0" w:firstLineChars="0"/>
                    <w:jc w:val="center"/>
                    <w:rPr>
                      <w:rFonts w:hint="eastAsia" w:cs="方正仿宋_GBK" w:asciiTheme="majorEastAsia" w:hAnsiTheme="majorEastAsia" w:eastAsiaTheme="majorEastAsia"/>
                      <w:color w:val="000000" w:themeColor="text1"/>
                      <w:sz w:val="18"/>
                      <w:szCs w:val="18"/>
                      <w:vertAlign w:val="baseline"/>
                      <w:lang w:eastAsia="zh-CN"/>
                      <w14:textFill>
                        <w14:solidFill>
                          <w14:schemeClr w14:val="tx1"/>
                        </w14:solidFill>
                      </w14:textFill>
                    </w:rPr>
                  </w:pPr>
                  <w:r>
                    <w:rPr>
                      <w:rFonts w:hint="eastAsia" w:ascii="宋体" w:hAnsi="宋体" w:cs="宋体"/>
                      <w:color w:val="auto"/>
                      <w:sz w:val="18"/>
                      <w:szCs w:val="18"/>
                      <w:highlight w:val="none"/>
                    </w:rPr>
                    <w:t>1</w:t>
                  </w:r>
                </w:p>
              </w:tc>
              <w:tc>
                <w:tcPr>
                  <w:tcW w:w="682" w:type="dxa"/>
                  <w:vAlign w:val="center"/>
                </w:tcPr>
                <w:p w14:paraId="6F663AA4">
                  <w:pPr>
                    <w:snapToGrid w:val="0"/>
                    <w:spacing w:line="360" w:lineRule="exact"/>
                    <w:jc w:val="center"/>
                    <w:rPr>
                      <w:rFonts w:hint="eastAsia" w:cs="方正仿宋_GBK" w:asciiTheme="majorEastAsia" w:hAnsiTheme="majorEastAsia" w:eastAsiaTheme="majorEastAsia"/>
                      <w:color w:val="000000" w:themeColor="text1"/>
                      <w:sz w:val="18"/>
                      <w:szCs w:val="18"/>
                      <w:vertAlign w:val="baseline"/>
                      <w:lang w:eastAsia="zh-CN"/>
                      <w14:textFill>
                        <w14:solidFill>
                          <w14:schemeClr w14:val="tx1"/>
                        </w14:solidFill>
                      </w14:textFill>
                    </w:rPr>
                  </w:pPr>
                  <w:r>
                    <w:rPr>
                      <w:rFonts w:hint="eastAsia" w:ascii="宋体" w:hAnsi="宋体" w:cs="宋体"/>
                      <w:color w:val="auto"/>
                      <w:sz w:val="18"/>
                      <w:szCs w:val="18"/>
                      <w:highlight w:val="none"/>
                    </w:rPr>
                    <w:t>〇</w:t>
                  </w:r>
                </w:p>
              </w:tc>
              <w:tc>
                <w:tcPr>
                  <w:tcW w:w="4388" w:type="dxa"/>
                  <w:vAlign w:val="center"/>
                </w:tcPr>
                <w:p w14:paraId="56A179D2">
                  <w:pPr>
                    <w:tabs>
                      <w:tab w:val="left" w:pos="1800"/>
                    </w:tabs>
                    <w:snapToGrid w:val="0"/>
                    <w:spacing w:line="360" w:lineRule="exact"/>
                    <w:jc w:val="left"/>
                    <w:rPr>
                      <w:rFonts w:hint="eastAsia" w:cs="方正仿宋_GBK" w:asciiTheme="majorEastAsia" w:hAnsiTheme="majorEastAsia" w:eastAsiaTheme="majorEastAsia"/>
                      <w:color w:val="000000" w:themeColor="text1"/>
                      <w:sz w:val="18"/>
                      <w:szCs w:val="18"/>
                      <w:vertAlign w:val="baseline"/>
                      <w:lang w:eastAsia="zh-CN"/>
                      <w14:textFill>
                        <w14:solidFill>
                          <w14:schemeClr w14:val="tx1"/>
                        </w14:solidFill>
                      </w14:textFill>
                    </w:rPr>
                  </w:pPr>
                  <w:r>
                    <w:rPr>
                      <w:rFonts w:hint="eastAsia" w:ascii="宋体" w:hAnsi="宋体" w:cs="宋体"/>
                      <w:color w:val="auto"/>
                      <w:sz w:val="18"/>
                      <w:szCs w:val="18"/>
                      <w:highlight w:val="none"/>
                    </w:rPr>
                    <w:t>1. 最高转速：≥29,000 rpm。</w:t>
                  </w:r>
                  <w:bookmarkStart w:id="0" w:name="_GoBack"/>
                  <w:bookmarkEnd w:id="0"/>
                </w:p>
              </w:tc>
            </w:tr>
          </w:tbl>
          <w:p w14:paraId="0F05487D">
            <w:pPr>
              <w:tabs>
                <w:tab w:val="center" w:pos="2525"/>
              </w:tabs>
              <w:snapToGrid w:val="0"/>
              <w:spacing w:line="276" w:lineRule="auto"/>
              <w:rPr>
                <w:rFonts w:hint="eastAsia" w:cs="方正仿宋_GBK" w:asciiTheme="majorEastAsia" w:hAnsiTheme="majorEastAsia" w:eastAsiaTheme="majorEastAsia"/>
                <w:color w:val="000000" w:themeColor="text1"/>
                <w:sz w:val="18"/>
                <w:szCs w:val="18"/>
                <w:lang w:eastAsia="zh-CN"/>
                <w14:textFill>
                  <w14:solidFill>
                    <w14:schemeClr w14:val="tx1"/>
                  </w14:solidFill>
                </w14:textFill>
              </w:rPr>
            </w:pPr>
          </w:p>
        </w:tc>
        <w:tc>
          <w:tcPr>
            <w:tcW w:w="6152" w:type="dxa"/>
            <w:vAlign w:val="center"/>
          </w:tcPr>
          <w:tbl>
            <w:tblPr>
              <w:tblStyle w:val="18"/>
              <w:tblW w:w="5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682"/>
              <w:gridCol w:w="4388"/>
            </w:tblGrid>
            <w:tr w14:paraId="61EE8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587" w:type="dxa"/>
                  <w:vAlign w:val="center"/>
                </w:tcPr>
                <w:p w14:paraId="1D862375">
                  <w:pPr>
                    <w:pStyle w:val="56"/>
                    <w:spacing w:line="360" w:lineRule="exact"/>
                    <w:ind w:left="57" w:leftChars="0" w:firstLine="0" w:firstLineChars="0"/>
                    <w:jc w:val="center"/>
                    <w:rPr>
                      <w:rFonts w:hint="eastAsia" w:cs="方正仿宋_GBK" w:asciiTheme="majorEastAsia" w:hAnsiTheme="majorEastAsia" w:eastAsiaTheme="majorEastAsia"/>
                      <w:color w:val="000000" w:themeColor="text1"/>
                      <w:sz w:val="18"/>
                      <w:szCs w:val="18"/>
                      <w:vertAlign w:val="baseline"/>
                      <w:lang w:eastAsia="zh-CN"/>
                      <w14:textFill>
                        <w14:solidFill>
                          <w14:schemeClr w14:val="tx1"/>
                        </w14:solidFill>
                      </w14:textFill>
                    </w:rPr>
                  </w:pPr>
                </w:p>
              </w:tc>
              <w:tc>
                <w:tcPr>
                  <w:tcW w:w="682" w:type="dxa"/>
                  <w:vAlign w:val="center"/>
                </w:tcPr>
                <w:p w14:paraId="25D49AFC">
                  <w:pPr>
                    <w:snapToGrid w:val="0"/>
                    <w:spacing w:line="360" w:lineRule="exact"/>
                    <w:jc w:val="center"/>
                    <w:rPr>
                      <w:rFonts w:hint="eastAsia" w:cs="方正仿宋_GBK" w:asciiTheme="majorEastAsia" w:hAnsiTheme="majorEastAsia" w:eastAsiaTheme="majorEastAsia"/>
                      <w:color w:val="000000" w:themeColor="text1"/>
                      <w:sz w:val="18"/>
                      <w:szCs w:val="18"/>
                      <w:vertAlign w:val="baseline"/>
                      <w:lang w:eastAsia="zh-CN"/>
                      <w14:textFill>
                        <w14:solidFill>
                          <w14:schemeClr w14:val="tx1"/>
                        </w14:solidFill>
                      </w14:textFill>
                    </w:rPr>
                  </w:pPr>
                </w:p>
              </w:tc>
              <w:tc>
                <w:tcPr>
                  <w:tcW w:w="4388" w:type="dxa"/>
                  <w:vAlign w:val="center"/>
                </w:tcPr>
                <w:p w14:paraId="6680AF7C">
                  <w:pPr>
                    <w:tabs>
                      <w:tab w:val="left" w:pos="1800"/>
                    </w:tabs>
                    <w:snapToGrid w:val="0"/>
                    <w:spacing w:line="360" w:lineRule="exact"/>
                    <w:jc w:val="left"/>
                    <w:rPr>
                      <w:rFonts w:hint="eastAsia" w:cs="方正仿宋_GBK" w:asciiTheme="majorEastAsia" w:hAnsiTheme="majorEastAsia" w:eastAsiaTheme="majorEastAsia"/>
                      <w:color w:val="000000" w:themeColor="text1"/>
                      <w:sz w:val="18"/>
                      <w:szCs w:val="18"/>
                      <w:vertAlign w:val="baseline"/>
                      <w:lang w:eastAsia="zh-CN"/>
                      <w14:textFill>
                        <w14:solidFill>
                          <w14:schemeClr w14:val="tx1"/>
                        </w14:solidFill>
                      </w14:textFill>
                    </w:rPr>
                  </w:pPr>
                  <w:r>
                    <w:rPr>
                      <w:rFonts w:hint="eastAsia" w:ascii="宋体" w:hAnsi="宋体" w:cs="宋体"/>
                      <w:b/>
                      <w:bCs/>
                      <w:color w:val="auto"/>
                      <w:sz w:val="18"/>
                      <w:szCs w:val="18"/>
                      <w:highlight w:val="none"/>
                    </w:rPr>
                    <w:t>设备4：超高速冷冻离心系统</w:t>
                  </w:r>
                </w:p>
              </w:tc>
            </w:tr>
            <w:tr w14:paraId="7096D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87" w:type="dxa"/>
                  <w:vAlign w:val="center"/>
                </w:tcPr>
                <w:p w14:paraId="728E813E">
                  <w:pPr>
                    <w:pStyle w:val="56"/>
                    <w:spacing w:line="360" w:lineRule="exact"/>
                    <w:ind w:firstLine="0" w:firstLineChars="0"/>
                    <w:jc w:val="center"/>
                    <w:rPr>
                      <w:rFonts w:hint="eastAsia" w:cs="方正仿宋_GBK" w:asciiTheme="majorEastAsia" w:hAnsiTheme="majorEastAsia" w:eastAsiaTheme="majorEastAsia"/>
                      <w:color w:val="000000" w:themeColor="text1"/>
                      <w:sz w:val="18"/>
                      <w:szCs w:val="18"/>
                      <w:vertAlign w:val="baseline"/>
                      <w:lang w:eastAsia="zh-CN"/>
                      <w14:textFill>
                        <w14:solidFill>
                          <w14:schemeClr w14:val="tx1"/>
                        </w14:solidFill>
                      </w14:textFill>
                    </w:rPr>
                  </w:pPr>
                  <w:r>
                    <w:rPr>
                      <w:rFonts w:hint="eastAsia" w:ascii="宋体" w:hAnsi="宋体" w:cs="宋体"/>
                      <w:color w:val="auto"/>
                      <w:sz w:val="18"/>
                      <w:szCs w:val="18"/>
                      <w:highlight w:val="none"/>
                    </w:rPr>
                    <w:t>1</w:t>
                  </w:r>
                </w:p>
              </w:tc>
              <w:tc>
                <w:tcPr>
                  <w:tcW w:w="682" w:type="dxa"/>
                  <w:vAlign w:val="center"/>
                </w:tcPr>
                <w:p w14:paraId="72B1C0AD">
                  <w:pPr>
                    <w:snapToGrid w:val="0"/>
                    <w:spacing w:line="360" w:lineRule="exact"/>
                    <w:jc w:val="center"/>
                    <w:rPr>
                      <w:rFonts w:hint="eastAsia" w:cs="方正仿宋_GBK" w:asciiTheme="majorEastAsia" w:hAnsiTheme="majorEastAsia" w:eastAsiaTheme="majorEastAsia"/>
                      <w:color w:val="000000" w:themeColor="text1"/>
                      <w:sz w:val="18"/>
                      <w:szCs w:val="18"/>
                      <w:vertAlign w:val="baseline"/>
                      <w:lang w:eastAsia="zh-CN"/>
                      <w14:textFill>
                        <w14:solidFill>
                          <w14:schemeClr w14:val="tx1"/>
                        </w14:solidFill>
                      </w14:textFill>
                    </w:rPr>
                  </w:pPr>
                  <w:r>
                    <w:rPr>
                      <w:rFonts w:hint="eastAsia" w:ascii="宋体" w:hAnsi="宋体" w:cs="宋体"/>
                      <w:color w:val="FF0000"/>
                      <w:sz w:val="18"/>
                      <w:szCs w:val="18"/>
                      <w:highlight w:val="none"/>
                    </w:rPr>
                    <w:t>▲</w:t>
                  </w:r>
                </w:p>
              </w:tc>
              <w:tc>
                <w:tcPr>
                  <w:tcW w:w="4388" w:type="dxa"/>
                  <w:vAlign w:val="center"/>
                </w:tcPr>
                <w:p w14:paraId="45786D46">
                  <w:pPr>
                    <w:tabs>
                      <w:tab w:val="left" w:pos="1800"/>
                    </w:tabs>
                    <w:snapToGrid w:val="0"/>
                    <w:spacing w:line="360" w:lineRule="exact"/>
                    <w:jc w:val="left"/>
                    <w:rPr>
                      <w:rFonts w:hint="eastAsia" w:cs="方正仿宋_GBK" w:asciiTheme="majorEastAsia" w:hAnsiTheme="majorEastAsia" w:eastAsiaTheme="majorEastAsia"/>
                      <w:color w:val="000000" w:themeColor="text1"/>
                      <w:sz w:val="18"/>
                      <w:szCs w:val="18"/>
                      <w:vertAlign w:val="baseline"/>
                      <w:lang w:eastAsia="zh-CN"/>
                      <w14:textFill>
                        <w14:solidFill>
                          <w14:schemeClr w14:val="tx1"/>
                        </w14:solidFill>
                      </w14:textFill>
                    </w:rPr>
                  </w:pPr>
                  <w:r>
                    <w:rPr>
                      <w:rFonts w:hint="eastAsia" w:ascii="宋体" w:hAnsi="宋体" w:cs="宋体"/>
                      <w:color w:val="auto"/>
                      <w:sz w:val="18"/>
                      <w:szCs w:val="18"/>
                      <w:highlight w:val="none"/>
                    </w:rPr>
                    <w:t>1. 最高转速：≥29,000 rpm。</w:t>
                  </w:r>
                </w:p>
              </w:tc>
            </w:tr>
          </w:tbl>
          <w:p w14:paraId="60012418">
            <w:pPr>
              <w:snapToGrid w:val="0"/>
              <w:spacing w:line="276" w:lineRule="auto"/>
              <w:rPr>
                <w:rFonts w:hint="eastAsia" w:ascii="宋体" w:hAnsi="宋体"/>
                <w:sz w:val="18"/>
                <w:szCs w:val="18"/>
              </w:rPr>
            </w:pPr>
          </w:p>
        </w:tc>
      </w:tr>
      <w:tr w14:paraId="3AEBA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6" w:hRule="atLeast"/>
          <w:jc w:val="center"/>
        </w:trPr>
        <w:tc>
          <w:tcPr>
            <w:tcW w:w="1480" w:type="dxa"/>
            <w:vAlign w:val="center"/>
          </w:tcPr>
          <w:p w14:paraId="0A28D6E2">
            <w:pPr>
              <w:adjustRightInd w:val="0"/>
              <w:snapToGrid w:val="0"/>
              <w:rPr>
                <w:sz w:val="18"/>
                <w:szCs w:val="18"/>
              </w:rPr>
            </w:pPr>
            <w:r>
              <w:rPr>
                <w:rFonts w:hint="eastAsia"/>
                <w:sz w:val="18"/>
                <w:szCs w:val="18"/>
              </w:rPr>
              <w:t>第</w:t>
            </w:r>
            <w:r>
              <w:rPr>
                <w:rFonts w:hint="eastAsia"/>
                <w:sz w:val="18"/>
                <w:szCs w:val="18"/>
                <w:lang w:eastAsia="zh-CN"/>
              </w:rPr>
              <w:t>四</w:t>
            </w:r>
            <w:r>
              <w:rPr>
                <w:rFonts w:hint="eastAsia"/>
                <w:sz w:val="18"/>
                <w:szCs w:val="18"/>
              </w:rPr>
              <w:t>篇 资格审查及评标办法</w:t>
            </w:r>
          </w:p>
          <w:p w14:paraId="748E7A69">
            <w:pPr>
              <w:adjustRightInd w:val="0"/>
              <w:snapToGrid w:val="0"/>
              <w:rPr>
                <w:rFonts w:hint="eastAsia"/>
                <w:sz w:val="18"/>
                <w:szCs w:val="18"/>
              </w:rPr>
            </w:pPr>
            <w:r>
              <w:rPr>
                <w:rFonts w:hint="eastAsia"/>
                <w:sz w:val="18"/>
                <w:szCs w:val="18"/>
              </w:rPr>
              <w:t>三、评标标准（一）评审因素</w:t>
            </w:r>
          </w:p>
        </w:tc>
        <w:tc>
          <w:tcPr>
            <w:tcW w:w="584" w:type="dxa"/>
            <w:vAlign w:val="center"/>
          </w:tcPr>
          <w:p w14:paraId="288F751B">
            <w:pPr>
              <w:spacing w:line="440" w:lineRule="exact"/>
              <w:jc w:val="center"/>
              <w:rPr>
                <w:rFonts w:hint="eastAsia" w:cs="方正仿宋_GBK" w:asciiTheme="majorEastAsia" w:hAnsiTheme="majorEastAsia" w:eastAsiaTheme="majorEastAsia"/>
                <w:color w:val="000000" w:themeColor="text1"/>
                <w:sz w:val="18"/>
                <w:szCs w:val="18"/>
                <w:lang w:val="en-US" w:eastAsia="zh-CN"/>
                <w14:textFill>
                  <w14:solidFill>
                    <w14:schemeClr w14:val="tx1"/>
                  </w14:solidFill>
                </w14:textFill>
              </w:rPr>
            </w:pPr>
            <w:r>
              <w:rPr>
                <w:rFonts w:hint="eastAsia" w:cs="方正仿宋_GBK" w:asciiTheme="majorEastAsia" w:hAnsiTheme="majorEastAsia" w:eastAsiaTheme="majorEastAsia"/>
                <w:color w:val="000000" w:themeColor="text1"/>
                <w:sz w:val="18"/>
                <w:szCs w:val="18"/>
                <w:lang w:val="en-US" w:eastAsia="zh-CN"/>
                <w14:textFill>
                  <w14:solidFill>
                    <w14:schemeClr w14:val="tx1"/>
                  </w14:solidFill>
                </w14:textFill>
              </w:rPr>
              <w:t>24</w:t>
            </w:r>
          </w:p>
        </w:tc>
        <w:tc>
          <w:tcPr>
            <w:tcW w:w="6146" w:type="dxa"/>
            <w:vAlign w:val="center"/>
          </w:tcPr>
          <w:tbl>
            <w:tblPr>
              <w:tblStyle w:val="18"/>
              <w:tblpPr w:leftFromText="180" w:rightFromText="180" w:vertAnchor="text" w:horzAnchor="page" w:tblpX="156" w:tblpY="-3462"/>
              <w:tblOverlap w:val="never"/>
              <w:tblW w:w="5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582"/>
              <w:gridCol w:w="495"/>
              <w:gridCol w:w="3455"/>
              <w:gridCol w:w="736"/>
            </w:tblGrid>
            <w:tr w14:paraId="47B66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438" w:type="pct"/>
                  <w:vAlign w:val="center"/>
                </w:tcPr>
                <w:p w14:paraId="19695C39">
                  <w:pPr>
                    <w:widowControl/>
                    <w:adjustRightInd w:val="0"/>
                    <w:snapToGrid w:val="0"/>
                    <w:jc w:val="center"/>
                    <w:rPr>
                      <w:rFonts w:hint="eastAsia" w:ascii="宋体" w:hAnsi="宋体" w:eastAsia="宋体" w:cs="宋体"/>
                      <w:b/>
                      <w:bCs/>
                      <w:kern w:val="0"/>
                      <w:sz w:val="18"/>
                      <w:szCs w:val="18"/>
                    </w:rPr>
                  </w:pPr>
                  <w:r>
                    <w:rPr>
                      <w:rFonts w:hint="eastAsia" w:ascii="宋体" w:hAnsi="宋体" w:eastAsia="宋体" w:cs="宋体"/>
                      <w:b/>
                      <w:bCs/>
                      <w:kern w:val="0"/>
                      <w:sz w:val="18"/>
                      <w:szCs w:val="18"/>
                    </w:rPr>
                    <w:t>序号</w:t>
                  </w:r>
                </w:p>
              </w:tc>
              <w:tc>
                <w:tcPr>
                  <w:tcW w:w="503" w:type="pct"/>
                  <w:vAlign w:val="center"/>
                </w:tcPr>
                <w:p w14:paraId="4379340B">
                  <w:pPr>
                    <w:widowControl/>
                    <w:adjustRightInd w:val="0"/>
                    <w:snapToGrid w:val="0"/>
                    <w:jc w:val="center"/>
                    <w:rPr>
                      <w:rFonts w:hint="eastAsia" w:ascii="宋体" w:hAnsi="宋体" w:eastAsia="宋体" w:cs="宋体"/>
                      <w:b/>
                      <w:bCs/>
                      <w:kern w:val="0"/>
                      <w:sz w:val="18"/>
                      <w:szCs w:val="18"/>
                    </w:rPr>
                  </w:pPr>
                  <w:r>
                    <w:rPr>
                      <w:rFonts w:hint="eastAsia" w:ascii="宋体" w:hAnsi="宋体" w:eastAsia="宋体" w:cs="宋体"/>
                      <w:b/>
                      <w:bCs/>
                      <w:kern w:val="0"/>
                      <w:sz w:val="18"/>
                      <w:szCs w:val="18"/>
                    </w:rPr>
                    <w:t>评分因素及权重</w:t>
                  </w:r>
                </w:p>
              </w:tc>
              <w:tc>
                <w:tcPr>
                  <w:tcW w:w="428" w:type="pct"/>
                  <w:vAlign w:val="center"/>
                </w:tcPr>
                <w:p w14:paraId="4801608A">
                  <w:pPr>
                    <w:widowControl/>
                    <w:adjustRightInd w:val="0"/>
                    <w:snapToGrid w:val="0"/>
                    <w:jc w:val="center"/>
                    <w:rPr>
                      <w:rFonts w:hint="eastAsia" w:ascii="宋体" w:hAnsi="宋体" w:eastAsia="宋体" w:cs="宋体"/>
                      <w:b/>
                      <w:bCs/>
                      <w:kern w:val="0"/>
                      <w:sz w:val="18"/>
                      <w:szCs w:val="18"/>
                    </w:rPr>
                  </w:pPr>
                  <w:r>
                    <w:rPr>
                      <w:rFonts w:hint="eastAsia" w:ascii="宋体" w:hAnsi="宋体" w:eastAsia="宋体" w:cs="宋体"/>
                      <w:b/>
                      <w:bCs/>
                      <w:kern w:val="0"/>
                      <w:sz w:val="18"/>
                      <w:szCs w:val="18"/>
                    </w:rPr>
                    <w:t>分值</w:t>
                  </w:r>
                </w:p>
              </w:tc>
              <w:tc>
                <w:tcPr>
                  <w:tcW w:w="2991" w:type="pct"/>
                  <w:vAlign w:val="center"/>
                </w:tcPr>
                <w:p w14:paraId="3E20645A">
                  <w:pPr>
                    <w:widowControl/>
                    <w:adjustRightInd w:val="0"/>
                    <w:snapToGrid w:val="0"/>
                    <w:jc w:val="center"/>
                    <w:rPr>
                      <w:rFonts w:hint="eastAsia" w:ascii="宋体" w:hAnsi="宋体" w:eastAsia="宋体" w:cs="宋体"/>
                      <w:b/>
                      <w:bCs/>
                      <w:kern w:val="0"/>
                      <w:sz w:val="18"/>
                      <w:szCs w:val="18"/>
                    </w:rPr>
                  </w:pPr>
                  <w:r>
                    <w:rPr>
                      <w:rFonts w:hint="eastAsia" w:ascii="宋体" w:hAnsi="宋体" w:eastAsia="宋体" w:cs="宋体"/>
                      <w:b/>
                      <w:bCs/>
                      <w:kern w:val="0"/>
                      <w:sz w:val="18"/>
                      <w:szCs w:val="18"/>
                    </w:rPr>
                    <w:t>评分标准</w:t>
                  </w:r>
                </w:p>
              </w:tc>
              <w:tc>
                <w:tcPr>
                  <w:tcW w:w="637" w:type="pct"/>
                  <w:vAlign w:val="center"/>
                </w:tcPr>
                <w:p w14:paraId="2380CAC4">
                  <w:pPr>
                    <w:widowControl/>
                    <w:adjustRightInd w:val="0"/>
                    <w:snapToGrid w:val="0"/>
                    <w:jc w:val="center"/>
                    <w:rPr>
                      <w:rFonts w:hint="eastAsia" w:ascii="宋体" w:hAnsi="宋体" w:eastAsia="宋体" w:cs="宋体"/>
                      <w:b/>
                      <w:bCs/>
                      <w:kern w:val="0"/>
                      <w:sz w:val="18"/>
                      <w:szCs w:val="18"/>
                    </w:rPr>
                  </w:pPr>
                  <w:r>
                    <w:rPr>
                      <w:rFonts w:hint="eastAsia" w:ascii="宋体" w:hAnsi="宋体" w:eastAsia="宋体" w:cs="宋体"/>
                      <w:b/>
                      <w:bCs/>
                      <w:kern w:val="0"/>
                      <w:sz w:val="18"/>
                      <w:szCs w:val="18"/>
                    </w:rPr>
                    <w:t>说明</w:t>
                  </w:r>
                </w:p>
              </w:tc>
            </w:tr>
            <w:tr w14:paraId="6F0B0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2" w:hRule="atLeast"/>
              </w:trPr>
              <w:tc>
                <w:tcPr>
                  <w:tcW w:w="438" w:type="pct"/>
                  <w:tcBorders>
                    <w:bottom w:val="single" w:color="auto" w:sz="4" w:space="0"/>
                  </w:tcBorders>
                  <w:vAlign w:val="center"/>
                </w:tcPr>
                <w:p w14:paraId="733F0733">
                  <w:pPr>
                    <w:widowControl/>
                    <w:adjustRightInd w:val="0"/>
                    <w:snapToGrid w:val="0"/>
                    <w:rPr>
                      <w:rFonts w:hint="eastAsia" w:ascii="宋体" w:hAnsi="宋体" w:eastAsia="宋体" w:cs="宋体"/>
                      <w:kern w:val="0"/>
                      <w:sz w:val="18"/>
                      <w:szCs w:val="18"/>
                      <w:lang w:eastAsia="zh-CN"/>
                    </w:rPr>
                  </w:pPr>
                  <w:r>
                    <w:rPr>
                      <w:rFonts w:hint="eastAsia" w:ascii="宋体" w:hAnsi="宋体" w:eastAsia="宋体" w:cs="宋体"/>
                      <w:kern w:val="0"/>
                      <w:sz w:val="18"/>
                      <w:szCs w:val="18"/>
                      <w:lang w:val="en-US" w:eastAsia="zh-CN"/>
                    </w:rPr>
                    <w:t>2</w:t>
                  </w:r>
                </w:p>
              </w:tc>
              <w:tc>
                <w:tcPr>
                  <w:tcW w:w="503" w:type="pct"/>
                  <w:tcBorders>
                    <w:bottom w:val="single" w:color="auto" w:sz="4" w:space="0"/>
                  </w:tcBorders>
                  <w:vAlign w:val="center"/>
                </w:tcPr>
                <w:p w14:paraId="6042858D">
                  <w:pPr>
                    <w:widowControl/>
                    <w:adjustRightInd w:val="0"/>
                    <w:snapToGrid w:val="0"/>
                    <w:rPr>
                      <w:rFonts w:hint="eastAsia" w:ascii="宋体" w:hAnsi="宋体" w:eastAsia="宋体" w:cs="宋体"/>
                      <w:kern w:val="0"/>
                      <w:sz w:val="18"/>
                      <w:szCs w:val="18"/>
                    </w:rPr>
                  </w:pPr>
                  <w:r>
                    <w:rPr>
                      <w:rFonts w:hint="eastAsia" w:ascii="宋体" w:hAnsi="宋体" w:eastAsia="宋体" w:cs="宋体"/>
                      <w:kern w:val="0"/>
                      <w:sz w:val="18"/>
                      <w:szCs w:val="18"/>
                    </w:rPr>
                    <w:t>技术</w:t>
                  </w:r>
                </w:p>
                <w:p w14:paraId="71F6A3A9">
                  <w:pPr>
                    <w:widowControl/>
                    <w:adjustRightInd w:val="0"/>
                    <w:snapToGrid w:val="0"/>
                    <w:rPr>
                      <w:rFonts w:hint="eastAsia" w:ascii="宋体" w:hAnsi="宋体" w:eastAsia="宋体" w:cs="宋体"/>
                      <w:kern w:val="0"/>
                      <w:sz w:val="18"/>
                      <w:szCs w:val="18"/>
                    </w:rPr>
                  </w:pPr>
                  <w:r>
                    <w:rPr>
                      <w:rFonts w:hint="eastAsia" w:ascii="宋体" w:hAnsi="宋体" w:eastAsia="宋体" w:cs="宋体"/>
                      <w:kern w:val="0"/>
                      <w:sz w:val="18"/>
                      <w:szCs w:val="18"/>
                    </w:rPr>
                    <w:t>部分（40%）</w:t>
                  </w:r>
                </w:p>
              </w:tc>
              <w:tc>
                <w:tcPr>
                  <w:tcW w:w="428" w:type="pct"/>
                  <w:tcBorders>
                    <w:bottom w:val="single" w:color="auto" w:sz="4" w:space="0"/>
                  </w:tcBorders>
                  <w:vAlign w:val="center"/>
                </w:tcPr>
                <w:p w14:paraId="4B7409FD">
                  <w:pPr>
                    <w:widowControl/>
                    <w:adjustRightInd w:val="0"/>
                    <w:snapToGrid w:val="0"/>
                    <w:rPr>
                      <w:rFonts w:hint="eastAsia" w:ascii="宋体" w:hAnsi="宋体" w:eastAsia="宋体" w:cs="宋体"/>
                      <w:kern w:val="0"/>
                      <w:sz w:val="18"/>
                      <w:szCs w:val="18"/>
                    </w:rPr>
                  </w:pPr>
                  <w:r>
                    <w:rPr>
                      <w:rFonts w:hint="eastAsia" w:ascii="宋体" w:hAnsi="宋体" w:eastAsia="宋体" w:cs="宋体"/>
                      <w:kern w:val="0"/>
                      <w:sz w:val="18"/>
                      <w:szCs w:val="18"/>
                    </w:rPr>
                    <w:t>技术响应</w:t>
                  </w:r>
                </w:p>
                <w:p w14:paraId="4BBC481C">
                  <w:pPr>
                    <w:widowControl/>
                    <w:adjustRightInd w:val="0"/>
                    <w:snapToGrid w:val="0"/>
                    <w:rPr>
                      <w:rFonts w:hint="eastAsia" w:ascii="宋体" w:hAnsi="宋体" w:eastAsia="宋体" w:cs="宋体"/>
                      <w:kern w:val="0"/>
                      <w:sz w:val="18"/>
                      <w:szCs w:val="18"/>
                    </w:rPr>
                  </w:pPr>
                  <w:r>
                    <w:rPr>
                      <w:rFonts w:hint="eastAsia" w:ascii="宋体" w:hAnsi="宋体" w:eastAsia="宋体" w:cs="宋体"/>
                      <w:kern w:val="0"/>
                      <w:sz w:val="18"/>
                      <w:szCs w:val="18"/>
                    </w:rPr>
                    <w:t>40</w:t>
                  </w:r>
                </w:p>
              </w:tc>
              <w:tc>
                <w:tcPr>
                  <w:tcW w:w="2991" w:type="pct"/>
                  <w:tcBorders>
                    <w:bottom w:val="single" w:color="auto" w:sz="4" w:space="0"/>
                  </w:tcBorders>
                  <w:vAlign w:val="center"/>
                </w:tcPr>
                <w:p w14:paraId="2E634EAC">
                  <w:pPr>
                    <w:widowControl/>
                    <w:adjustRightInd w:val="0"/>
                    <w:snapToGrid w:val="0"/>
                    <w:rPr>
                      <w:rFonts w:hint="eastAsia" w:ascii="宋体" w:hAnsi="宋体" w:eastAsia="宋体" w:cs="宋体"/>
                      <w:kern w:val="0"/>
                      <w:sz w:val="18"/>
                      <w:szCs w:val="18"/>
                    </w:rPr>
                  </w:pPr>
                  <w:r>
                    <w:rPr>
                      <w:rFonts w:hint="eastAsia" w:ascii="宋体" w:hAnsi="宋体" w:eastAsia="宋体" w:cs="宋体"/>
                      <w:kern w:val="0"/>
                      <w:sz w:val="18"/>
                      <w:szCs w:val="18"/>
                    </w:rPr>
                    <w:t>1.起评分：有效投标人的起评分为40分。</w:t>
                  </w:r>
                </w:p>
                <w:p w14:paraId="581C4C35">
                  <w:pPr>
                    <w:widowControl/>
                    <w:adjustRightInd w:val="0"/>
                    <w:snapToGrid w:val="0"/>
                    <w:rPr>
                      <w:rFonts w:hint="eastAsia" w:ascii="宋体" w:hAnsi="宋体" w:eastAsia="宋体" w:cs="宋体"/>
                      <w:kern w:val="0"/>
                      <w:sz w:val="18"/>
                      <w:szCs w:val="18"/>
                    </w:rPr>
                  </w:pPr>
                  <w:r>
                    <w:rPr>
                      <w:rFonts w:hint="eastAsia" w:ascii="宋体" w:hAnsi="宋体" w:eastAsia="宋体" w:cs="宋体"/>
                      <w:kern w:val="0"/>
                      <w:sz w:val="18"/>
                      <w:szCs w:val="18"/>
                    </w:rPr>
                    <w:t>2.扣分条款：</w:t>
                  </w:r>
                </w:p>
                <w:p w14:paraId="3861136A">
                  <w:pPr>
                    <w:widowControl/>
                    <w:adjustRightInd w:val="0"/>
                    <w:snapToGrid w:val="0"/>
                    <w:rPr>
                      <w:rFonts w:hint="eastAsia" w:ascii="宋体" w:hAnsi="宋体" w:eastAsia="宋体" w:cs="宋体"/>
                      <w:kern w:val="0"/>
                      <w:sz w:val="18"/>
                      <w:szCs w:val="18"/>
                    </w:rPr>
                  </w:pPr>
                  <w:r>
                    <w:rPr>
                      <w:rFonts w:hint="eastAsia" w:ascii="宋体" w:hAnsi="宋体" w:eastAsia="宋体" w:cs="宋体"/>
                      <w:kern w:val="0"/>
                      <w:sz w:val="18"/>
                      <w:szCs w:val="18"/>
                    </w:rPr>
                    <w:t>2.1投标文件投标应答不满足带“▲”号标注的重要技术需求部分，共34条，共20.4分。有一条不满足，从起评分中扣除0.6分，扣完为止。</w:t>
                  </w:r>
                </w:p>
                <w:p w14:paraId="29B89EEA">
                  <w:pPr>
                    <w:widowControl/>
                    <w:adjustRightInd w:val="0"/>
                    <w:snapToGrid w:val="0"/>
                    <w:rPr>
                      <w:rFonts w:hint="eastAsia" w:ascii="宋体" w:hAnsi="宋体" w:eastAsia="宋体" w:cs="宋体"/>
                      <w:kern w:val="0"/>
                      <w:sz w:val="18"/>
                      <w:szCs w:val="18"/>
                    </w:rPr>
                  </w:pPr>
                  <w:r>
                    <w:rPr>
                      <w:rFonts w:hint="eastAsia" w:ascii="宋体" w:hAnsi="宋体" w:eastAsia="宋体" w:cs="宋体"/>
                      <w:kern w:val="0"/>
                      <w:sz w:val="18"/>
                      <w:szCs w:val="18"/>
                    </w:rPr>
                    <w:t>2.2投标文件投标应答不满足带“〇”号标注的一般性技术需求部分，共49条，共19.6分。有一条不满足，从起评分中扣除0.4分，扣完为止。</w:t>
                  </w:r>
                </w:p>
              </w:tc>
              <w:tc>
                <w:tcPr>
                  <w:tcW w:w="637" w:type="pct"/>
                  <w:tcBorders>
                    <w:bottom w:val="single" w:color="auto" w:sz="4" w:space="0"/>
                  </w:tcBorders>
                  <w:vAlign w:val="center"/>
                </w:tcPr>
                <w:p w14:paraId="022C3BDB">
                  <w:pPr>
                    <w:widowControl/>
                    <w:adjustRightInd w:val="0"/>
                    <w:snapToGrid w:val="0"/>
                    <w:rPr>
                      <w:rFonts w:hint="eastAsia" w:ascii="宋体" w:hAnsi="宋体" w:eastAsia="宋体" w:cs="宋体"/>
                      <w:kern w:val="0"/>
                      <w:sz w:val="18"/>
                      <w:szCs w:val="18"/>
                    </w:rPr>
                  </w:pPr>
                </w:p>
              </w:tc>
            </w:tr>
          </w:tbl>
          <w:p w14:paraId="1FB92531">
            <w:pPr>
              <w:tabs>
                <w:tab w:val="center" w:pos="2525"/>
              </w:tabs>
              <w:snapToGrid w:val="0"/>
              <w:spacing w:line="276" w:lineRule="auto"/>
              <w:rPr>
                <w:rFonts w:hint="eastAsia" w:cs="方正仿宋_GBK" w:asciiTheme="majorEastAsia" w:hAnsiTheme="majorEastAsia" w:eastAsiaTheme="majorEastAsia"/>
                <w:color w:val="000000" w:themeColor="text1"/>
                <w:sz w:val="18"/>
                <w:szCs w:val="18"/>
                <w:lang w:eastAsia="zh-CN"/>
                <w14:textFill>
                  <w14:solidFill>
                    <w14:schemeClr w14:val="tx1"/>
                  </w14:solidFill>
                </w14:textFill>
              </w:rPr>
            </w:pPr>
          </w:p>
        </w:tc>
        <w:tc>
          <w:tcPr>
            <w:tcW w:w="6152" w:type="dxa"/>
            <w:vAlign w:val="center"/>
          </w:tcPr>
          <w:tbl>
            <w:tblPr>
              <w:tblStyle w:val="18"/>
              <w:tblpPr w:leftFromText="180" w:rightFromText="180" w:vertAnchor="text" w:horzAnchor="page" w:tblpXSpec="center" w:tblpY="-3462"/>
              <w:tblOverlap w:val="never"/>
              <w:tblW w:w="5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582"/>
              <w:gridCol w:w="495"/>
              <w:gridCol w:w="3273"/>
              <w:gridCol w:w="543"/>
            </w:tblGrid>
            <w:tr w14:paraId="2A04C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468" w:type="pct"/>
                  <w:vAlign w:val="center"/>
                </w:tcPr>
                <w:p w14:paraId="3BFD26B9">
                  <w:pPr>
                    <w:widowControl/>
                    <w:adjustRightInd w:val="0"/>
                    <w:snapToGrid w:val="0"/>
                    <w:jc w:val="center"/>
                    <w:rPr>
                      <w:rFonts w:hint="eastAsia" w:ascii="宋体" w:hAnsi="宋体" w:eastAsia="宋体" w:cs="宋体"/>
                      <w:b/>
                      <w:bCs/>
                      <w:kern w:val="0"/>
                      <w:sz w:val="18"/>
                      <w:szCs w:val="18"/>
                    </w:rPr>
                  </w:pPr>
                  <w:r>
                    <w:rPr>
                      <w:rFonts w:hint="eastAsia" w:ascii="宋体" w:hAnsi="宋体" w:eastAsia="宋体" w:cs="宋体"/>
                      <w:b/>
                      <w:bCs/>
                      <w:kern w:val="0"/>
                      <w:sz w:val="18"/>
                      <w:szCs w:val="18"/>
                    </w:rPr>
                    <w:t>序号</w:t>
                  </w:r>
                </w:p>
              </w:tc>
              <w:tc>
                <w:tcPr>
                  <w:tcW w:w="538" w:type="pct"/>
                  <w:vAlign w:val="center"/>
                </w:tcPr>
                <w:p w14:paraId="25EC0B65">
                  <w:pPr>
                    <w:widowControl/>
                    <w:adjustRightInd w:val="0"/>
                    <w:snapToGrid w:val="0"/>
                    <w:jc w:val="center"/>
                    <w:rPr>
                      <w:rFonts w:hint="eastAsia" w:ascii="宋体" w:hAnsi="宋体" w:eastAsia="宋体" w:cs="宋体"/>
                      <w:b/>
                      <w:bCs/>
                      <w:kern w:val="0"/>
                      <w:sz w:val="18"/>
                      <w:szCs w:val="18"/>
                    </w:rPr>
                  </w:pPr>
                  <w:r>
                    <w:rPr>
                      <w:rFonts w:hint="eastAsia" w:ascii="宋体" w:hAnsi="宋体" w:eastAsia="宋体" w:cs="宋体"/>
                      <w:b/>
                      <w:bCs/>
                      <w:kern w:val="0"/>
                      <w:sz w:val="18"/>
                      <w:szCs w:val="18"/>
                    </w:rPr>
                    <w:t>评分因素及权重</w:t>
                  </w:r>
                </w:p>
              </w:tc>
              <w:tc>
                <w:tcPr>
                  <w:tcW w:w="458" w:type="pct"/>
                  <w:vAlign w:val="center"/>
                </w:tcPr>
                <w:p w14:paraId="7C4C529F">
                  <w:pPr>
                    <w:widowControl/>
                    <w:adjustRightInd w:val="0"/>
                    <w:snapToGrid w:val="0"/>
                    <w:jc w:val="center"/>
                    <w:rPr>
                      <w:rFonts w:hint="eastAsia" w:ascii="宋体" w:hAnsi="宋体" w:eastAsia="宋体" w:cs="宋体"/>
                      <w:b/>
                      <w:bCs/>
                      <w:kern w:val="0"/>
                      <w:sz w:val="18"/>
                      <w:szCs w:val="18"/>
                    </w:rPr>
                  </w:pPr>
                  <w:r>
                    <w:rPr>
                      <w:rFonts w:hint="eastAsia" w:ascii="宋体" w:hAnsi="宋体" w:eastAsia="宋体" w:cs="宋体"/>
                      <w:b/>
                      <w:bCs/>
                      <w:kern w:val="0"/>
                      <w:sz w:val="18"/>
                      <w:szCs w:val="18"/>
                    </w:rPr>
                    <w:t>分值</w:t>
                  </w:r>
                </w:p>
              </w:tc>
              <w:tc>
                <w:tcPr>
                  <w:tcW w:w="3031" w:type="pct"/>
                  <w:vAlign w:val="center"/>
                </w:tcPr>
                <w:p w14:paraId="0DFA866A">
                  <w:pPr>
                    <w:widowControl/>
                    <w:adjustRightInd w:val="0"/>
                    <w:snapToGrid w:val="0"/>
                    <w:jc w:val="center"/>
                    <w:rPr>
                      <w:rFonts w:hint="eastAsia" w:ascii="宋体" w:hAnsi="宋体" w:eastAsia="宋体" w:cs="宋体"/>
                      <w:b/>
                      <w:bCs/>
                      <w:kern w:val="0"/>
                      <w:sz w:val="18"/>
                      <w:szCs w:val="18"/>
                    </w:rPr>
                  </w:pPr>
                  <w:r>
                    <w:rPr>
                      <w:rFonts w:hint="eastAsia" w:ascii="宋体" w:hAnsi="宋体" w:eastAsia="宋体" w:cs="宋体"/>
                      <w:b/>
                      <w:bCs/>
                      <w:kern w:val="0"/>
                      <w:sz w:val="18"/>
                      <w:szCs w:val="18"/>
                    </w:rPr>
                    <w:t>评分标准</w:t>
                  </w:r>
                </w:p>
              </w:tc>
              <w:tc>
                <w:tcPr>
                  <w:tcW w:w="502" w:type="pct"/>
                  <w:vAlign w:val="center"/>
                </w:tcPr>
                <w:p w14:paraId="57831B66">
                  <w:pPr>
                    <w:widowControl/>
                    <w:adjustRightInd w:val="0"/>
                    <w:snapToGrid w:val="0"/>
                    <w:jc w:val="center"/>
                    <w:rPr>
                      <w:rFonts w:hint="eastAsia" w:ascii="宋体" w:hAnsi="宋体" w:eastAsia="宋体" w:cs="宋体"/>
                      <w:b/>
                      <w:bCs/>
                      <w:kern w:val="0"/>
                      <w:sz w:val="18"/>
                      <w:szCs w:val="18"/>
                    </w:rPr>
                  </w:pPr>
                  <w:r>
                    <w:rPr>
                      <w:rFonts w:hint="eastAsia" w:ascii="宋体" w:hAnsi="宋体" w:eastAsia="宋体" w:cs="宋体"/>
                      <w:b/>
                      <w:bCs/>
                      <w:kern w:val="0"/>
                      <w:sz w:val="18"/>
                      <w:szCs w:val="18"/>
                    </w:rPr>
                    <w:t>说明</w:t>
                  </w:r>
                </w:p>
              </w:tc>
            </w:tr>
            <w:tr w14:paraId="394F2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2" w:hRule="atLeast"/>
                <w:jc w:val="center"/>
              </w:trPr>
              <w:tc>
                <w:tcPr>
                  <w:tcW w:w="468" w:type="pct"/>
                  <w:tcBorders>
                    <w:bottom w:val="single" w:color="auto" w:sz="4" w:space="0"/>
                  </w:tcBorders>
                  <w:vAlign w:val="center"/>
                </w:tcPr>
                <w:p w14:paraId="7BEDB325">
                  <w:pPr>
                    <w:widowControl/>
                    <w:adjustRightInd w:val="0"/>
                    <w:snapToGrid w:val="0"/>
                    <w:rPr>
                      <w:rFonts w:hint="eastAsia" w:ascii="宋体" w:hAnsi="宋体" w:eastAsia="宋体" w:cs="宋体"/>
                      <w:kern w:val="0"/>
                      <w:sz w:val="18"/>
                      <w:szCs w:val="18"/>
                      <w:lang w:eastAsia="zh-CN"/>
                    </w:rPr>
                  </w:pPr>
                  <w:r>
                    <w:rPr>
                      <w:rFonts w:hint="eastAsia" w:ascii="宋体" w:hAnsi="宋体" w:eastAsia="宋体" w:cs="宋体"/>
                      <w:kern w:val="0"/>
                      <w:sz w:val="18"/>
                      <w:szCs w:val="18"/>
                      <w:lang w:val="en-US" w:eastAsia="zh-CN"/>
                    </w:rPr>
                    <w:t>2</w:t>
                  </w:r>
                </w:p>
              </w:tc>
              <w:tc>
                <w:tcPr>
                  <w:tcW w:w="538" w:type="pct"/>
                  <w:tcBorders>
                    <w:bottom w:val="single" w:color="auto" w:sz="4" w:space="0"/>
                  </w:tcBorders>
                  <w:vAlign w:val="center"/>
                </w:tcPr>
                <w:p w14:paraId="6C227124">
                  <w:pPr>
                    <w:widowControl/>
                    <w:adjustRightInd w:val="0"/>
                    <w:snapToGrid w:val="0"/>
                    <w:rPr>
                      <w:rFonts w:hint="eastAsia" w:ascii="宋体" w:hAnsi="宋体" w:eastAsia="宋体" w:cs="宋体"/>
                      <w:kern w:val="0"/>
                      <w:sz w:val="18"/>
                      <w:szCs w:val="18"/>
                    </w:rPr>
                  </w:pPr>
                  <w:r>
                    <w:rPr>
                      <w:rFonts w:hint="eastAsia" w:ascii="宋体" w:hAnsi="宋体" w:eastAsia="宋体" w:cs="宋体"/>
                      <w:kern w:val="0"/>
                      <w:sz w:val="18"/>
                      <w:szCs w:val="18"/>
                    </w:rPr>
                    <w:t>技术</w:t>
                  </w:r>
                </w:p>
                <w:p w14:paraId="0FD2BEDB">
                  <w:pPr>
                    <w:widowControl/>
                    <w:adjustRightInd w:val="0"/>
                    <w:snapToGrid w:val="0"/>
                    <w:rPr>
                      <w:rFonts w:hint="eastAsia" w:ascii="宋体" w:hAnsi="宋体" w:eastAsia="宋体" w:cs="宋体"/>
                      <w:kern w:val="0"/>
                      <w:sz w:val="18"/>
                      <w:szCs w:val="18"/>
                    </w:rPr>
                  </w:pPr>
                  <w:r>
                    <w:rPr>
                      <w:rFonts w:hint="eastAsia" w:ascii="宋体" w:hAnsi="宋体" w:eastAsia="宋体" w:cs="宋体"/>
                      <w:kern w:val="0"/>
                      <w:sz w:val="18"/>
                      <w:szCs w:val="18"/>
                    </w:rPr>
                    <w:t>部分（40%）</w:t>
                  </w:r>
                </w:p>
              </w:tc>
              <w:tc>
                <w:tcPr>
                  <w:tcW w:w="458" w:type="pct"/>
                  <w:tcBorders>
                    <w:bottom w:val="single" w:color="auto" w:sz="4" w:space="0"/>
                  </w:tcBorders>
                  <w:vAlign w:val="center"/>
                </w:tcPr>
                <w:p w14:paraId="1081C561">
                  <w:pPr>
                    <w:widowControl/>
                    <w:adjustRightInd w:val="0"/>
                    <w:snapToGrid w:val="0"/>
                    <w:rPr>
                      <w:rFonts w:hint="eastAsia" w:ascii="宋体" w:hAnsi="宋体" w:eastAsia="宋体" w:cs="宋体"/>
                      <w:kern w:val="0"/>
                      <w:sz w:val="18"/>
                      <w:szCs w:val="18"/>
                    </w:rPr>
                  </w:pPr>
                  <w:r>
                    <w:rPr>
                      <w:rFonts w:hint="eastAsia" w:ascii="宋体" w:hAnsi="宋体" w:eastAsia="宋体" w:cs="宋体"/>
                      <w:kern w:val="0"/>
                      <w:sz w:val="18"/>
                      <w:szCs w:val="18"/>
                    </w:rPr>
                    <w:t>技术响应</w:t>
                  </w:r>
                </w:p>
                <w:p w14:paraId="4BA8D01B">
                  <w:pPr>
                    <w:widowControl/>
                    <w:adjustRightInd w:val="0"/>
                    <w:snapToGrid w:val="0"/>
                    <w:rPr>
                      <w:rFonts w:hint="eastAsia" w:ascii="宋体" w:hAnsi="宋体" w:eastAsia="宋体" w:cs="宋体"/>
                      <w:kern w:val="0"/>
                      <w:sz w:val="18"/>
                      <w:szCs w:val="18"/>
                    </w:rPr>
                  </w:pPr>
                  <w:r>
                    <w:rPr>
                      <w:rFonts w:hint="eastAsia" w:ascii="宋体" w:hAnsi="宋体" w:eastAsia="宋体" w:cs="宋体"/>
                      <w:kern w:val="0"/>
                      <w:sz w:val="18"/>
                      <w:szCs w:val="18"/>
                    </w:rPr>
                    <w:t>40</w:t>
                  </w:r>
                </w:p>
              </w:tc>
              <w:tc>
                <w:tcPr>
                  <w:tcW w:w="3031" w:type="pct"/>
                  <w:tcBorders>
                    <w:bottom w:val="single" w:color="auto" w:sz="4" w:space="0"/>
                  </w:tcBorders>
                  <w:vAlign w:val="center"/>
                </w:tcPr>
                <w:p w14:paraId="5EABFEF1">
                  <w:pPr>
                    <w:widowControl/>
                    <w:adjustRightInd w:val="0"/>
                    <w:snapToGrid w:val="0"/>
                    <w:rPr>
                      <w:rFonts w:hint="eastAsia" w:ascii="宋体" w:hAnsi="宋体" w:eastAsia="宋体" w:cs="宋体"/>
                      <w:kern w:val="0"/>
                      <w:sz w:val="18"/>
                      <w:szCs w:val="18"/>
                    </w:rPr>
                  </w:pPr>
                  <w:r>
                    <w:rPr>
                      <w:rFonts w:hint="eastAsia" w:ascii="宋体" w:hAnsi="宋体" w:eastAsia="宋体" w:cs="宋体"/>
                      <w:kern w:val="0"/>
                      <w:sz w:val="18"/>
                      <w:szCs w:val="18"/>
                    </w:rPr>
                    <w:t>1.起评分：有效投标人的起评分为40分。</w:t>
                  </w:r>
                </w:p>
                <w:p w14:paraId="07E3BACE">
                  <w:pPr>
                    <w:widowControl/>
                    <w:adjustRightInd w:val="0"/>
                    <w:snapToGrid w:val="0"/>
                    <w:rPr>
                      <w:rFonts w:hint="eastAsia" w:ascii="宋体" w:hAnsi="宋体" w:eastAsia="宋体" w:cs="宋体"/>
                      <w:kern w:val="0"/>
                      <w:sz w:val="18"/>
                      <w:szCs w:val="18"/>
                    </w:rPr>
                  </w:pPr>
                  <w:r>
                    <w:rPr>
                      <w:rFonts w:hint="eastAsia" w:ascii="宋体" w:hAnsi="宋体" w:eastAsia="宋体" w:cs="宋体"/>
                      <w:kern w:val="0"/>
                      <w:sz w:val="18"/>
                      <w:szCs w:val="18"/>
                    </w:rPr>
                    <w:t>2.扣分条款：</w:t>
                  </w:r>
                </w:p>
                <w:p w14:paraId="314172D1">
                  <w:pPr>
                    <w:widowControl/>
                    <w:adjustRightInd w:val="0"/>
                    <w:snapToGrid w:val="0"/>
                    <w:rPr>
                      <w:rFonts w:hint="eastAsia" w:ascii="宋体" w:hAnsi="宋体" w:eastAsia="宋体" w:cs="宋体"/>
                      <w:kern w:val="0"/>
                      <w:sz w:val="18"/>
                      <w:szCs w:val="18"/>
                    </w:rPr>
                  </w:pPr>
                  <w:r>
                    <w:rPr>
                      <w:rFonts w:hint="eastAsia" w:ascii="宋体" w:hAnsi="宋体" w:eastAsia="宋体" w:cs="宋体"/>
                      <w:kern w:val="0"/>
                      <w:sz w:val="18"/>
                      <w:szCs w:val="18"/>
                    </w:rPr>
                    <w:t>2.1投标文件投标应答不满足带“▲”号标注的重要技术需求部分</w:t>
                  </w:r>
                  <w:r>
                    <w:rPr>
                      <w:rFonts w:hint="eastAsia" w:ascii="宋体" w:hAnsi="宋体" w:eastAsia="宋体" w:cs="宋体"/>
                      <w:color w:val="FF0000"/>
                      <w:kern w:val="0"/>
                      <w:sz w:val="18"/>
                      <w:szCs w:val="18"/>
                    </w:rPr>
                    <w:t>，</w:t>
                  </w:r>
                  <w:r>
                    <w:rPr>
                      <w:rFonts w:hint="eastAsia" w:ascii="宋体" w:hAnsi="宋体" w:eastAsia="宋体" w:cs="宋体"/>
                      <w:b/>
                      <w:bCs/>
                      <w:color w:val="FF0000"/>
                      <w:kern w:val="0"/>
                      <w:sz w:val="18"/>
                      <w:szCs w:val="18"/>
                    </w:rPr>
                    <w:t>共35条，共28分</w:t>
                  </w:r>
                  <w:r>
                    <w:rPr>
                      <w:rFonts w:hint="eastAsia" w:ascii="宋体" w:hAnsi="宋体" w:eastAsia="宋体" w:cs="宋体"/>
                      <w:b/>
                      <w:bCs/>
                      <w:kern w:val="0"/>
                      <w:sz w:val="18"/>
                      <w:szCs w:val="18"/>
                    </w:rPr>
                    <w:t>。</w:t>
                  </w:r>
                  <w:r>
                    <w:rPr>
                      <w:rFonts w:hint="eastAsia" w:ascii="宋体" w:hAnsi="宋体" w:eastAsia="宋体" w:cs="宋体"/>
                      <w:kern w:val="0"/>
                      <w:sz w:val="18"/>
                      <w:szCs w:val="18"/>
                    </w:rPr>
                    <w:t>有一条不满足，从起评分中扣除</w:t>
                  </w:r>
                  <w:r>
                    <w:rPr>
                      <w:rFonts w:hint="eastAsia" w:ascii="宋体" w:hAnsi="宋体" w:eastAsia="宋体" w:cs="宋体"/>
                      <w:b/>
                      <w:bCs/>
                      <w:color w:val="FF0000"/>
                      <w:kern w:val="0"/>
                      <w:sz w:val="18"/>
                      <w:szCs w:val="18"/>
                    </w:rPr>
                    <w:t>0.8分</w:t>
                  </w:r>
                  <w:r>
                    <w:rPr>
                      <w:rFonts w:hint="eastAsia" w:ascii="宋体" w:hAnsi="宋体" w:eastAsia="宋体" w:cs="宋体"/>
                      <w:kern w:val="0"/>
                      <w:sz w:val="18"/>
                      <w:szCs w:val="18"/>
                    </w:rPr>
                    <w:t>，扣完为止。</w:t>
                  </w:r>
                </w:p>
                <w:p w14:paraId="0CAB928D">
                  <w:pPr>
                    <w:widowControl/>
                    <w:adjustRightInd w:val="0"/>
                    <w:snapToGrid w:val="0"/>
                    <w:rPr>
                      <w:rFonts w:hint="eastAsia" w:ascii="宋体" w:hAnsi="宋体" w:eastAsia="宋体" w:cs="宋体"/>
                      <w:kern w:val="0"/>
                      <w:sz w:val="18"/>
                      <w:szCs w:val="18"/>
                    </w:rPr>
                  </w:pPr>
                  <w:r>
                    <w:rPr>
                      <w:rFonts w:hint="eastAsia" w:ascii="宋体" w:hAnsi="宋体" w:eastAsia="宋体" w:cs="宋体"/>
                      <w:kern w:val="0"/>
                      <w:sz w:val="18"/>
                      <w:szCs w:val="18"/>
                    </w:rPr>
                    <w:t>2.2投标文件投标应答不满足带“〇”号标注的一般性技术需求部分，</w:t>
                  </w:r>
                  <w:r>
                    <w:rPr>
                      <w:rFonts w:hint="eastAsia" w:ascii="宋体" w:hAnsi="宋体" w:eastAsia="宋体" w:cs="宋体"/>
                      <w:b/>
                      <w:bCs/>
                      <w:color w:val="FF0000"/>
                      <w:kern w:val="0"/>
                      <w:sz w:val="18"/>
                      <w:szCs w:val="18"/>
                    </w:rPr>
                    <w:t>共48条，共12分</w:t>
                  </w:r>
                  <w:r>
                    <w:rPr>
                      <w:rFonts w:hint="eastAsia" w:ascii="宋体" w:hAnsi="宋体" w:eastAsia="宋体" w:cs="宋体"/>
                      <w:b/>
                      <w:bCs/>
                      <w:kern w:val="0"/>
                      <w:sz w:val="18"/>
                      <w:szCs w:val="18"/>
                    </w:rPr>
                    <w:t>。</w:t>
                  </w:r>
                  <w:r>
                    <w:rPr>
                      <w:rFonts w:hint="eastAsia" w:ascii="宋体" w:hAnsi="宋体" w:eastAsia="宋体" w:cs="宋体"/>
                      <w:kern w:val="0"/>
                      <w:sz w:val="18"/>
                      <w:szCs w:val="18"/>
                    </w:rPr>
                    <w:t>有一条不满足，从起评分中扣除</w:t>
                  </w:r>
                  <w:r>
                    <w:rPr>
                      <w:rFonts w:hint="eastAsia" w:ascii="宋体" w:hAnsi="宋体" w:eastAsia="宋体" w:cs="宋体"/>
                      <w:b/>
                      <w:bCs/>
                      <w:color w:val="FF0000"/>
                      <w:kern w:val="0"/>
                      <w:sz w:val="18"/>
                      <w:szCs w:val="18"/>
                    </w:rPr>
                    <w:t>0.25分</w:t>
                  </w:r>
                  <w:r>
                    <w:rPr>
                      <w:rFonts w:hint="eastAsia" w:ascii="宋体" w:hAnsi="宋体" w:eastAsia="宋体" w:cs="宋体"/>
                      <w:kern w:val="0"/>
                      <w:sz w:val="18"/>
                      <w:szCs w:val="18"/>
                    </w:rPr>
                    <w:t>，扣完为止。</w:t>
                  </w:r>
                </w:p>
              </w:tc>
              <w:tc>
                <w:tcPr>
                  <w:tcW w:w="502" w:type="pct"/>
                  <w:tcBorders>
                    <w:bottom w:val="single" w:color="auto" w:sz="4" w:space="0"/>
                  </w:tcBorders>
                  <w:vAlign w:val="center"/>
                </w:tcPr>
                <w:p w14:paraId="4884C67E">
                  <w:pPr>
                    <w:widowControl/>
                    <w:adjustRightInd w:val="0"/>
                    <w:snapToGrid w:val="0"/>
                    <w:rPr>
                      <w:rFonts w:hint="eastAsia" w:ascii="宋体" w:hAnsi="宋体" w:eastAsia="宋体" w:cs="宋体"/>
                      <w:kern w:val="0"/>
                      <w:sz w:val="18"/>
                      <w:szCs w:val="18"/>
                    </w:rPr>
                  </w:pPr>
                </w:p>
              </w:tc>
            </w:tr>
          </w:tbl>
          <w:p w14:paraId="2CDADF6F">
            <w:pPr>
              <w:snapToGrid w:val="0"/>
              <w:spacing w:line="276" w:lineRule="auto"/>
              <w:rPr>
                <w:rFonts w:hint="eastAsia" w:ascii="宋体" w:hAnsi="宋体"/>
                <w:sz w:val="18"/>
                <w:szCs w:val="18"/>
              </w:rPr>
            </w:pPr>
          </w:p>
        </w:tc>
      </w:tr>
    </w:tbl>
    <w:p w14:paraId="5F60D793">
      <w:pP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注：页码因格式不同可能出现差异，以实际为准。</w:t>
      </w:r>
    </w:p>
    <w:p w14:paraId="44940BD0">
      <w:pPr>
        <w:adjustRightInd w:val="0"/>
        <w:snapToGrid w:val="0"/>
        <w:spacing w:line="440" w:lineRule="exact"/>
        <w:ind w:firstLine="482" w:firstLineChars="200"/>
        <w:jc w:val="right"/>
        <w:rPr>
          <w:rFonts w:hint="eastAsia" w:cs="方正仿宋_GBK" w:asciiTheme="majorEastAsia" w:hAnsiTheme="majorEastAsia" w:eastAsiaTheme="majorEastAsia"/>
          <w:b/>
          <w:bCs/>
          <w:color w:val="000000" w:themeColor="text1"/>
          <w:sz w:val="24"/>
          <w14:textFill>
            <w14:solidFill>
              <w14:schemeClr w14:val="tx1"/>
            </w14:solidFill>
          </w14:textFill>
        </w:rPr>
      </w:pPr>
      <w:r>
        <w:rPr>
          <w:rFonts w:hint="eastAsia" w:cs="方正仿宋_GBK" w:asciiTheme="majorEastAsia" w:hAnsiTheme="majorEastAsia" w:eastAsiaTheme="majorEastAsia"/>
          <w:b/>
          <w:bCs/>
          <w:color w:val="000000" w:themeColor="text1"/>
          <w:sz w:val="24"/>
          <w14:textFill>
            <w14:solidFill>
              <w14:schemeClr w14:val="tx1"/>
            </w14:solidFill>
          </w14:textFill>
        </w:rPr>
        <w:t>采购人：重庆工商大学</w:t>
      </w:r>
    </w:p>
    <w:p w14:paraId="55B125FC">
      <w:pPr>
        <w:adjustRightInd w:val="0"/>
        <w:snapToGrid w:val="0"/>
        <w:spacing w:line="440" w:lineRule="exact"/>
        <w:ind w:firstLine="482" w:firstLineChars="200"/>
        <w:jc w:val="right"/>
        <w:rPr>
          <w:rFonts w:hint="eastAsia" w:cs="方正仿宋_GBK" w:asciiTheme="majorEastAsia" w:hAnsiTheme="majorEastAsia" w:eastAsiaTheme="majorEastAsia"/>
          <w:b/>
          <w:bCs/>
          <w:color w:val="000000" w:themeColor="text1"/>
          <w:sz w:val="24"/>
          <w14:textFill>
            <w14:solidFill>
              <w14:schemeClr w14:val="tx1"/>
            </w14:solidFill>
          </w14:textFill>
        </w:rPr>
      </w:pPr>
      <w:r>
        <w:rPr>
          <w:rFonts w:hint="eastAsia" w:cs="方正仿宋_GBK" w:asciiTheme="majorEastAsia" w:hAnsiTheme="majorEastAsia" w:eastAsiaTheme="majorEastAsia"/>
          <w:b/>
          <w:bCs/>
          <w:color w:val="000000" w:themeColor="text1"/>
          <w:sz w:val="24"/>
          <w14:textFill>
            <w14:solidFill>
              <w14:schemeClr w14:val="tx1"/>
            </w14:solidFill>
          </w14:textFill>
        </w:rPr>
        <w:t>采购代理机构：垚鑫工程项目管理有限公司</w:t>
      </w:r>
    </w:p>
    <w:p w14:paraId="2E9DD7B5">
      <w:pPr>
        <w:adjustRightInd w:val="0"/>
        <w:snapToGrid w:val="0"/>
        <w:spacing w:line="440" w:lineRule="exact"/>
        <w:ind w:firstLine="482" w:firstLineChars="200"/>
        <w:jc w:val="right"/>
        <w:rPr>
          <w:rFonts w:hint="eastAsia" w:cs="方正仿宋_GBK" w:asciiTheme="majorEastAsia" w:hAnsiTheme="majorEastAsia" w:eastAsiaTheme="majorEastAsia"/>
          <w:color w:val="000000" w:themeColor="text1"/>
          <w:sz w:val="24"/>
          <w14:textFill>
            <w14:solidFill>
              <w14:schemeClr w14:val="tx1"/>
            </w14:solidFill>
          </w14:textFill>
        </w:rPr>
      </w:pPr>
      <w:r>
        <w:rPr>
          <w:rFonts w:hint="eastAsia" w:cs="方正仿宋_GBK" w:asciiTheme="majorEastAsia" w:hAnsiTheme="majorEastAsia" w:eastAsiaTheme="majorEastAsia"/>
          <w:b/>
          <w:bCs/>
          <w:color w:val="000000" w:themeColor="text1"/>
          <w:sz w:val="24"/>
          <w14:textFill>
            <w14:solidFill>
              <w14:schemeClr w14:val="tx1"/>
            </w14:solidFill>
          </w14:textFill>
        </w:rPr>
        <w:t>202</w:t>
      </w:r>
      <w:r>
        <w:rPr>
          <w:rFonts w:hint="eastAsia" w:cs="方正仿宋_GBK" w:asciiTheme="majorEastAsia" w:hAnsiTheme="majorEastAsia" w:eastAsiaTheme="majorEastAsia"/>
          <w:b/>
          <w:bCs/>
          <w:color w:val="000000" w:themeColor="text1"/>
          <w:sz w:val="24"/>
          <w:lang w:val="en-US" w:eastAsia="zh-CN"/>
          <w14:textFill>
            <w14:solidFill>
              <w14:schemeClr w14:val="tx1"/>
            </w14:solidFill>
          </w14:textFill>
        </w:rPr>
        <w:t>6</w:t>
      </w:r>
      <w:r>
        <w:rPr>
          <w:rFonts w:hint="eastAsia" w:cs="方正仿宋_GBK" w:asciiTheme="majorEastAsia" w:hAnsiTheme="majorEastAsia" w:eastAsiaTheme="majorEastAsia"/>
          <w:b/>
          <w:bCs/>
          <w:color w:val="000000" w:themeColor="text1"/>
          <w:sz w:val="24"/>
          <w14:textFill>
            <w14:solidFill>
              <w14:schemeClr w14:val="tx1"/>
            </w14:solidFill>
          </w14:textFill>
        </w:rPr>
        <w:t>年</w:t>
      </w:r>
      <w:r>
        <w:rPr>
          <w:rFonts w:hint="eastAsia" w:cs="方正仿宋_GBK" w:asciiTheme="majorEastAsia" w:hAnsiTheme="majorEastAsia" w:eastAsiaTheme="majorEastAsia"/>
          <w:b/>
          <w:bCs/>
          <w:color w:val="000000" w:themeColor="text1"/>
          <w:sz w:val="24"/>
          <w:lang w:val="en-US" w:eastAsia="zh-CN"/>
          <w14:textFill>
            <w14:solidFill>
              <w14:schemeClr w14:val="tx1"/>
            </w14:solidFill>
          </w14:textFill>
        </w:rPr>
        <w:t>5</w:t>
      </w:r>
      <w:r>
        <w:rPr>
          <w:rFonts w:hint="eastAsia" w:cs="方正仿宋_GBK" w:asciiTheme="majorEastAsia" w:hAnsiTheme="majorEastAsia" w:eastAsiaTheme="majorEastAsia"/>
          <w:b/>
          <w:bCs/>
          <w:color w:val="000000" w:themeColor="text1"/>
          <w:sz w:val="24"/>
          <w14:textFill>
            <w14:solidFill>
              <w14:schemeClr w14:val="tx1"/>
            </w14:solidFill>
          </w14:textFill>
        </w:rPr>
        <w:t>月</w:t>
      </w:r>
      <w:r>
        <w:rPr>
          <w:rFonts w:hint="eastAsia" w:cs="方正仿宋_GBK" w:asciiTheme="majorEastAsia" w:hAnsiTheme="majorEastAsia" w:eastAsiaTheme="majorEastAsia"/>
          <w:b/>
          <w:bCs/>
          <w:color w:val="000000" w:themeColor="text1"/>
          <w:sz w:val="24"/>
          <w:lang w:val="en-US" w:eastAsia="zh-CN"/>
          <w14:textFill>
            <w14:solidFill>
              <w14:schemeClr w14:val="tx1"/>
            </w14:solidFill>
          </w14:textFill>
        </w:rPr>
        <w:t>11</w:t>
      </w:r>
      <w:r>
        <w:rPr>
          <w:rFonts w:hint="eastAsia" w:cs="方正仿宋_GBK" w:asciiTheme="majorEastAsia" w:hAnsiTheme="majorEastAsia" w:eastAsiaTheme="majorEastAsia"/>
          <w:b/>
          <w:bCs/>
          <w:color w:val="000000" w:themeColor="text1"/>
          <w:sz w:val="24"/>
          <w14:textFill>
            <w14:solidFill>
              <w14:schemeClr w14:val="tx1"/>
            </w14:solidFill>
          </w14:textFill>
        </w:rPr>
        <w:t>日</w:t>
      </w:r>
    </w:p>
    <w:sectPr>
      <w:footerReference r:id="rId3" w:type="default"/>
      <w:pgSz w:w="16838" w:h="11906" w:orient="landscape"/>
      <w:pgMar w:top="1134" w:right="1417" w:bottom="1134" w:left="1417" w:header="851" w:footer="992" w:gutter="0"/>
      <w:cols w:space="720" w:num="1"/>
      <w:docGrid w:type="lines"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38033">
    <w:pPr>
      <w:pStyle w:val="12"/>
      <w:jc w:val="center"/>
    </w:pPr>
    <w:r>
      <w:rPr>
        <w:sz w:val="24"/>
        <w:szCs w:val="24"/>
      </w:rPr>
      <w:fldChar w:fldCharType="begin"/>
    </w:r>
    <w:r>
      <w:instrText xml:space="preserve">PAGE</w:instrText>
    </w:r>
    <w:r>
      <w:rPr>
        <w:sz w:val="24"/>
        <w:szCs w:val="24"/>
      </w:rPr>
      <w:fldChar w:fldCharType="separate"/>
    </w:r>
    <w:r>
      <w:t>2</w:t>
    </w:r>
    <w:r>
      <w:rPr>
        <w:sz w:val="24"/>
        <w:szCs w:val="24"/>
      </w:rPr>
      <w:fldChar w:fldCharType="end"/>
    </w:r>
    <w:r>
      <w:t xml:space="preserve"> / </w:t>
    </w:r>
    <w:r>
      <w:rPr>
        <w:sz w:val="24"/>
        <w:szCs w:val="24"/>
      </w:rPr>
      <w:fldChar w:fldCharType="begin"/>
    </w:r>
    <w:r>
      <w:instrText xml:space="preserve">NUMPAGES</w:instrText>
    </w:r>
    <w:r>
      <w:rPr>
        <w:sz w:val="24"/>
        <w:szCs w:val="24"/>
      </w:rPr>
      <w:fldChar w:fldCharType="separate"/>
    </w:r>
    <w:r>
      <w:t>2</w:t>
    </w:r>
    <w:r>
      <w:rPr>
        <w:sz w:val="24"/>
        <w:szCs w:val="24"/>
      </w:rPr>
      <w:fldChar w:fldCharType="end"/>
    </w:r>
  </w:p>
  <w:p w14:paraId="21E3A98E">
    <w:pPr>
      <w:pStyle w:val="12"/>
    </w:pPr>
  </w:p>
  <w:p w14:paraId="61C3EB9F"/>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40"/>
  <w:drawingGridVerticalSpacing w:val="38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g1MjdkMGU1MTZmYTQ5NWY1ODdiNTc4NDNkNjZiMGUifQ=="/>
  </w:docVars>
  <w:rsids>
    <w:rsidRoot w:val="00172A27"/>
    <w:rsid w:val="00010104"/>
    <w:rsid w:val="000141F8"/>
    <w:rsid w:val="00022D7D"/>
    <w:rsid w:val="00025D16"/>
    <w:rsid w:val="00027084"/>
    <w:rsid w:val="000350FF"/>
    <w:rsid w:val="00037FC5"/>
    <w:rsid w:val="00046DD5"/>
    <w:rsid w:val="00051D64"/>
    <w:rsid w:val="000556A0"/>
    <w:rsid w:val="00060460"/>
    <w:rsid w:val="000609D6"/>
    <w:rsid w:val="0006122A"/>
    <w:rsid w:val="00064D02"/>
    <w:rsid w:val="000657E5"/>
    <w:rsid w:val="00067321"/>
    <w:rsid w:val="0006759D"/>
    <w:rsid w:val="0007208A"/>
    <w:rsid w:val="00074765"/>
    <w:rsid w:val="00074FD7"/>
    <w:rsid w:val="000751EE"/>
    <w:rsid w:val="00077602"/>
    <w:rsid w:val="00080CC2"/>
    <w:rsid w:val="00080E92"/>
    <w:rsid w:val="00081E62"/>
    <w:rsid w:val="000842D1"/>
    <w:rsid w:val="00087DBB"/>
    <w:rsid w:val="000914E5"/>
    <w:rsid w:val="00095658"/>
    <w:rsid w:val="00095F2D"/>
    <w:rsid w:val="000970D3"/>
    <w:rsid w:val="000971EA"/>
    <w:rsid w:val="000A5368"/>
    <w:rsid w:val="000A5D64"/>
    <w:rsid w:val="000B0468"/>
    <w:rsid w:val="000B11A4"/>
    <w:rsid w:val="000B12B8"/>
    <w:rsid w:val="000B14C3"/>
    <w:rsid w:val="000B4C8E"/>
    <w:rsid w:val="000C1559"/>
    <w:rsid w:val="000C2D07"/>
    <w:rsid w:val="000C32B7"/>
    <w:rsid w:val="000C7004"/>
    <w:rsid w:val="000D058E"/>
    <w:rsid w:val="000D135A"/>
    <w:rsid w:val="000D4AFE"/>
    <w:rsid w:val="000D6620"/>
    <w:rsid w:val="000D68ED"/>
    <w:rsid w:val="000D6D8D"/>
    <w:rsid w:val="000D6DA7"/>
    <w:rsid w:val="000D7406"/>
    <w:rsid w:val="000E1FF5"/>
    <w:rsid w:val="000E25D3"/>
    <w:rsid w:val="000E49DA"/>
    <w:rsid w:val="000F1CE6"/>
    <w:rsid w:val="000F2433"/>
    <w:rsid w:val="00100EE2"/>
    <w:rsid w:val="00102689"/>
    <w:rsid w:val="00105474"/>
    <w:rsid w:val="00111191"/>
    <w:rsid w:val="001116B3"/>
    <w:rsid w:val="00123563"/>
    <w:rsid w:val="00126439"/>
    <w:rsid w:val="00127348"/>
    <w:rsid w:val="00130D3F"/>
    <w:rsid w:val="00132C41"/>
    <w:rsid w:val="00134267"/>
    <w:rsid w:val="001346CE"/>
    <w:rsid w:val="00134AC2"/>
    <w:rsid w:val="00135798"/>
    <w:rsid w:val="00143006"/>
    <w:rsid w:val="00145233"/>
    <w:rsid w:val="001459B4"/>
    <w:rsid w:val="00145D29"/>
    <w:rsid w:val="00147EA0"/>
    <w:rsid w:val="001528BC"/>
    <w:rsid w:val="0015468C"/>
    <w:rsid w:val="00157C60"/>
    <w:rsid w:val="001610FB"/>
    <w:rsid w:val="00166234"/>
    <w:rsid w:val="00167585"/>
    <w:rsid w:val="00172A27"/>
    <w:rsid w:val="00176079"/>
    <w:rsid w:val="001773EA"/>
    <w:rsid w:val="00177C14"/>
    <w:rsid w:val="00180766"/>
    <w:rsid w:val="00182911"/>
    <w:rsid w:val="0018419F"/>
    <w:rsid w:val="00184B62"/>
    <w:rsid w:val="001851F9"/>
    <w:rsid w:val="00187E20"/>
    <w:rsid w:val="00191B3D"/>
    <w:rsid w:val="00192F30"/>
    <w:rsid w:val="001954FC"/>
    <w:rsid w:val="001A14FE"/>
    <w:rsid w:val="001A1849"/>
    <w:rsid w:val="001A1C5B"/>
    <w:rsid w:val="001A6170"/>
    <w:rsid w:val="001B06B5"/>
    <w:rsid w:val="001B076E"/>
    <w:rsid w:val="001B12B6"/>
    <w:rsid w:val="001B58DD"/>
    <w:rsid w:val="001B6F2D"/>
    <w:rsid w:val="001C1DA1"/>
    <w:rsid w:val="001C6507"/>
    <w:rsid w:val="001C6DF8"/>
    <w:rsid w:val="001C7476"/>
    <w:rsid w:val="001D3F6A"/>
    <w:rsid w:val="001D6BB1"/>
    <w:rsid w:val="001E18DD"/>
    <w:rsid w:val="001F26AE"/>
    <w:rsid w:val="001F3243"/>
    <w:rsid w:val="001F4722"/>
    <w:rsid w:val="001F4DD6"/>
    <w:rsid w:val="001F5ACC"/>
    <w:rsid w:val="001F68FF"/>
    <w:rsid w:val="001F7926"/>
    <w:rsid w:val="00203C34"/>
    <w:rsid w:val="00203C56"/>
    <w:rsid w:val="00204BFF"/>
    <w:rsid w:val="00204C48"/>
    <w:rsid w:val="00205B3A"/>
    <w:rsid w:val="00206BBB"/>
    <w:rsid w:val="00207B52"/>
    <w:rsid w:val="00213798"/>
    <w:rsid w:val="0021406E"/>
    <w:rsid w:val="002141AC"/>
    <w:rsid w:val="0021536A"/>
    <w:rsid w:val="00220B05"/>
    <w:rsid w:val="0022130C"/>
    <w:rsid w:val="0022476B"/>
    <w:rsid w:val="0022526C"/>
    <w:rsid w:val="00227955"/>
    <w:rsid w:val="002348F8"/>
    <w:rsid w:val="00234B4B"/>
    <w:rsid w:val="00243E41"/>
    <w:rsid w:val="00244F82"/>
    <w:rsid w:val="0024598F"/>
    <w:rsid w:val="002467BB"/>
    <w:rsid w:val="00246D15"/>
    <w:rsid w:val="00246D45"/>
    <w:rsid w:val="00250D2B"/>
    <w:rsid w:val="002537E3"/>
    <w:rsid w:val="002547BC"/>
    <w:rsid w:val="00255C52"/>
    <w:rsid w:val="00255E36"/>
    <w:rsid w:val="00257D53"/>
    <w:rsid w:val="002604D4"/>
    <w:rsid w:val="0026243F"/>
    <w:rsid w:val="002631B1"/>
    <w:rsid w:val="00264AA9"/>
    <w:rsid w:val="00265385"/>
    <w:rsid w:val="00265780"/>
    <w:rsid w:val="0026630A"/>
    <w:rsid w:val="00271EA9"/>
    <w:rsid w:val="002729EC"/>
    <w:rsid w:val="00273A99"/>
    <w:rsid w:val="002768C9"/>
    <w:rsid w:val="00282CC1"/>
    <w:rsid w:val="00286A4A"/>
    <w:rsid w:val="002901C7"/>
    <w:rsid w:val="0029481A"/>
    <w:rsid w:val="00295712"/>
    <w:rsid w:val="0029738B"/>
    <w:rsid w:val="00297661"/>
    <w:rsid w:val="00297776"/>
    <w:rsid w:val="00297BC2"/>
    <w:rsid w:val="002A13C0"/>
    <w:rsid w:val="002A3AE8"/>
    <w:rsid w:val="002A64FB"/>
    <w:rsid w:val="002A7BF7"/>
    <w:rsid w:val="002B77F7"/>
    <w:rsid w:val="002B7C4F"/>
    <w:rsid w:val="002C7A77"/>
    <w:rsid w:val="002D1DCC"/>
    <w:rsid w:val="002D26F7"/>
    <w:rsid w:val="002D3813"/>
    <w:rsid w:val="002D3CC3"/>
    <w:rsid w:val="002D60BE"/>
    <w:rsid w:val="002E059A"/>
    <w:rsid w:val="002E27F6"/>
    <w:rsid w:val="002E3732"/>
    <w:rsid w:val="002E3FFB"/>
    <w:rsid w:val="002E5C8C"/>
    <w:rsid w:val="002F414F"/>
    <w:rsid w:val="0031047C"/>
    <w:rsid w:val="00314B0B"/>
    <w:rsid w:val="00314BFC"/>
    <w:rsid w:val="003156C9"/>
    <w:rsid w:val="00316BA0"/>
    <w:rsid w:val="00317EDE"/>
    <w:rsid w:val="00320B96"/>
    <w:rsid w:val="00322237"/>
    <w:rsid w:val="00322B25"/>
    <w:rsid w:val="00325723"/>
    <w:rsid w:val="00327A51"/>
    <w:rsid w:val="00332AFD"/>
    <w:rsid w:val="00333CF1"/>
    <w:rsid w:val="00334FA3"/>
    <w:rsid w:val="00341132"/>
    <w:rsid w:val="00341989"/>
    <w:rsid w:val="00343108"/>
    <w:rsid w:val="003442E5"/>
    <w:rsid w:val="00346739"/>
    <w:rsid w:val="003501C5"/>
    <w:rsid w:val="0035434E"/>
    <w:rsid w:val="003567B4"/>
    <w:rsid w:val="0035759C"/>
    <w:rsid w:val="00361DE9"/>
    <w:rsid w:val="00362B48"/>
    <w:rsid w:val="003671FC"/>
    <w:rsid w:val="00367C67"/>
    <w:rsid w:val="00370CFA"/>
    <w:rsid w:val="003718AA"/>
    <w:rsid w:val="00374042"/>
    <w:rsid w:val="003749AD"/>
    <w:rsid w:val="00375465"/>
    <w:rsid w:val="00383BAB"/>
    <w:rsid w:val="003841B0"/>
    <w:rsid w:val="00391A1F"/>
    <w:rsid w:val="00392C08"/>
    <w:rsid w:val="00395B97"/>
    <w:rsid w:val="003B05E2"/>
    <w:rsid w:val="003B1508"/>
    <w:rsid w:val="003B1592"/>
    <w:rsid w:val="003B5477"/>
    <w:rsid w:val="003B7E5A"/>
    <w:rsid w:val="003C2422"/>
    <w:rsid w:val="003D11D5"/>
    <w:rsid w:val="003D6519"/>
    <w:rsid w:val="003E30FC"/>
    <w:rsid w:val="003E328C"/>
    <w:rsid w:val="003E4E71"/>
    <w:rsid w:val="003E5269"/>
    <w:rsid w:val="003E65A0"/>
    <w:rsid w:val="003E6E3F"/>
    <w:rsid w:val="003F0BE2"/>
    <w:rsid w:val="003F0FBF"/>
    <w:rsid w:val="003F15EC"/>
    <w:rsid w:val="003F53D4"/>
    <w:rsid w:val="003F65C1"/>
    <w:rsid w:val="00400EFF"/>
    <w:rsid w:val="00402225"/>
    <w:rsid w:val="004039D5"/>
    <w:rsid w:val="00403AF7"/>
    <w:rsid w:val="00405AB8"/>
    <w:rsid w:val="0040798D"/>
    <w:rsid w:val="00415076"/>
    <w:rsid w:val="00417C58"/>
    <w:rsid w:val="00420CF4"/>
    <w:rsid w:val="004239AB"/>
    <w:rsid w:val="0042472F"/>
    <w:rsid w:val="00425F48"/>
    <w:rsid w:val="004278B7"/>
    <w:rsid w:val="00430460"/>
    <w:rsid w:val="0043111C"/>
    <w:rsid w:val="0043181D"/>
    <w:rsid w:val="004322F5"/>
    <w:rsid w:val="00432AE7"/>
    <w:rsid w:val="004337A2"/>
    <w:rsid w:val="004449DC"/>
    <w:rsid w:val="00445DF9"/>
    <w:rsid w:val="00447C6E"/>
    <w:rsid w:val="00450C76"/>
    <w:rsid w:val="0045124A"/>
    <w:rsid w:val="0045271B"/>
    <w:rsid w:val="00452AD8"/>
    <w:rsid w:val="0045776A"/>
    <w:rsid w:val="0046019E"/>
    <w:rsid w:val="00460DB6"/>
    <w:rsid w:val="004612DD"/>
    <w:rsid w:val="00464FFE"/>
    <w:rsid w:val="00465371"/>
    <w:rsid w:val="00471961"/>
    <w:rsid w:val="0048109C"/>
    <w:rsid w:val="00487277"/>
    <w:rsid w:val="00492F84"/>
    <w:rsid w:val="004934C7"/>
    <w:rsid w:val="00495A7A"/>
    <w:rsid w:val="0049733F"/>
    <w:rsid w:val="004A1791"/>
    <w:rsid w:val="004A2C1E"/>
    <w:rsid w:val="004A669B"/>
    <w:rsid w:val="004A6DBA"/>
    <w:rsid w:val="004B19CB"/>
    <w:rsid w:val="004B247C"/>
    <w:rsid w:val="004C619A"/>
    <w:rsid w:val="004D0044"/>
    <w:rsid w:val="004D13F0"/>
    <w:rsid w:val="004D1ECB"/>
    <w:rsid w:val="004D24B4"/>
    <w:rsid w:val="004D39F4"/>
    <w:rsid w:val="004D3CE9"/>
    <w:rsid w:val="004D6155"/>
    <w:rsid w:val="004D6BE8"/>
    <w:rsid w:val="004E0A17"/>
    <w:rsid w:val="004E5359"/>
    <w:rsid w:val="004F22F9"/>
    <w:rsid w:val="004F326C"/>
    <w:rsid w:val="004F4F3A"/>
    <w:rsid w:val="004F77FD"/>
    <w:rsid w:val="004F7B0F"/>
    <w:rsid w:val="005006F1"/>
    <w:rsid w:val="005054F7"/>
    <w:rsid w:val="005057A2"/>
    <w:rsid w:val="00507840"/>
    <w:rsid w:val="00514760"/>
    <w:rsid w:val="0051706C"/>
    <w:rsid w:val="00517CDC"/>
    <w:rsid w:val="0052023D"/>
    <w:rsid w:val="00521A7B"/>
    <w:rsid w:val="00523C23"/>
    <w:rsid w:val="00524136"/>
    <w:rsid w:val="005423FD"/>
    <w:rsid w:val="00545CF8"/>
    <w:rsid w:val="0055031B"/>
    <w:rsid w:val="005508A5"/>
    <w:rsid w:val="00556099"/>
    <w:rsid w:val="005563F9"/>
    <w:rsid w:val="00557E63"/>
    <w:rsid w:val="00564B50"/>
    <w:rsid w:val="005664E9"/>
    <w:rsid w:val="0057022A"/>
    <w:rsid w:val="005737D8"/>
    <w:rsid w:val="00573A5E"/>
    <w:rsid w:val="00577BFB"/>
    <w:rsid w:val="0058603E"/>
    <w:rsid w:val="00592B79"/>
    <w:rsid w:val="00594C34"/>
    <w:rsid w:val="00595C2B"/>
    <w:rsid w:val="005A3140"/>
    <w:rsid w:val="005A4D53"/>
    <w:rsid w:val="005B402E"/>
    <w:rsid w:val="005B6F43"/>
    <w:rsid w:val="005C10DF"/>
    <w:rsid w:val="005C1A5F"/>
    <w:rsid w:val="005C4ECC"/>
    <w:rsid w:val="005C534B"/>
    <w:rsid w:val="005D22D8"/>
    <w:rsid w:val="005D2811"/>
    <w:rsid w:val="005D328A"/>
    <w:rsid w:val="005D51F7"/>
    <w:rsid w:val="005E2A03"/>
    <w:rsid w:val="005E5C38"/>
    <w:rsid w:val="005E7D9A"/>
    <w:rsid w:val="005F3C1C"/>
    <w:rsid w:val="00601733"/>
    <w:rsid w:val="00603AA7"/>
    <w:rsid w:val="00603BED"/>
    <w:rsid w:val="006048E1"/>
    <w:rsid w:val="006075CF"/>
    <w:rsid w:val="00610D98"/>
    <w:rsid w:val="006125DE"/>
    <w:rsid w:val="00614AC1"/>
    <w:rsid w:val="00615AB6"/>
    <w:rsid w:val="006179E7"/>
    <w:rsid w:val="006202D5"/>
    <w:rsid w:val="00623DD4"/>
    <w:rsid w:val="006247B6"/>
    <w:rsid w:val="00626049"/>
    <w:rsid w:val="00626528"/>
    <w:rsid w:val="0062658B"/>
    <w:rsid w:val="006314B2"/>
    <w:rsid w:val="00632128"/>
    <w:rsid w:val="00632A56"/>
    <w:rsid w:val="00633616"/>
    <w:rsid w:val="006372C4"/>
    <w:rsid w:val="006549BF"/>
    <w:rsid w:val="00655E98"/>
    <w:rsid w:val="00673EFE"/>
    <w:rsid w:val="006740BB"/>
    <w:rsid w:val="00676F72"/>
    <w:rsid w:val="00683E61"/>
    <w:rsid w:val="006856BC"/>
    <w:rsid w:val="0069085B"/>
    <w:rsid w:val="00690909"/>
    <w:rsid w:val="00691410"/>
    <w:rsid w:val="006916F0"/>
    <w:rsid w:val="006A383B"/>
    <w:rsid w:val="006A731E"/>
    <w:rsid w:val="006B4988"/>
    <w:rsid w:val="006B6F20"/>
    <w:rsid w:val="006C141C"/>
    <w:rsid w:val="006C1E60"/>
    <w:rsid w:val="006C220C"/>
    <w:rsid w:val="006C5263"/>
    <w:rsid w:val="006D212B"/>
    <w:rsid w:val="006D7B0B"/>
    <w:rsid w:val="006E019F"/>
    <w:rsid w:val="006E6FE0"/>
    <w:rsid w:val="006E7978"/>
    <w:rsid w:val="006F2F95"/>
    <w:rsid w:val="006F631D"/>
    <w:rsid w:val="006F6922"/>
    <w:rsid w:val="006F7408"/>
    <w:rsid w:val="006F7EA4"/>
    <w:rsid w:val="00700523"/>
    <w:rsid w:val="0070400B"/>
    <w:rsid w:val="00707A56"/>
    <w:rsid w:val="00710C10"/>
    <w:rsid w:val="00714720"/>
    <w:rsid w:val="00714B40"/>
    <w:rsid w:val="007173FE"/>
    <w:rsid w:val="0072127A"/>
    <w:rsid w:val="00721C89"/>
    <w:rsid w:val="007232AF"/>
    <w:rsid w:val="00734A32"/>
    <w:rsid w:val="00735ED0"/>
    <w:rsid w:val="007406CC"/>
    <w:rsid w:val="00740BC6"/>
    <w:rsid w:val="00744123"/>
    <w:rsid w:val="007445DD"/>
    <w:rsid w:val="00750496"/>
    <w:rsid w:val="00752559"/>
    <w:rsid w:val="007544CB"/>
    <w:rsid w:val="0075507F"/>
    <w:rsid w:val="00756399"/>
    <w:rsid w:val="00760C31"/>
    <w:rsid w:val="00766933"/>
    <w:rsid w:val="00770A5B"/>
    <w:rsid w:val="007713E1"/>
    <w:rsid w:val="00771EF6"/>
    <w:rsid w:val="0077506F"/>
    <w:rsid w:val="00776E71"/>
    <w:rsid w:val="0078114A"/>
    <w:rsid w:val="00790233"/>
    <w:rsid w:val="0079110B"/>
    <w:rsid w:val="0079420C"/>
    <w:rsid w:val="00794E61"/>
    <w:rsid w:val="00795ABA"/>
    <w:rsid w:val="00796853"/>
    <w:rsid w:val="007A5B0E"/>
    <w:rsid w:val="007A7A34"/>
    <w:rsid w:val="007A7D57"/>
    <w:rsid w:val="007B15DB"/>
    <w:rsid w:val="007B1B9E"/>
    <w:rsid w:val="007B2A2D"/>
    <w:rsid w:val="007B3B4C"/>
    <w:rsid w:val="007C3BEC"/>
    <w:rsid w:val="007D11E1"/>
    <w:rsid w:val="007D1A58"/>
    <w:rsid w:val="007D3053"/>
    <w:rsid w:val="007E392D"/>
    <w:rsid w:val="007F4FB3"/>
    <w:rsid w:val="007F74D1"/>
    <w:rsid w:val="008026D4"/>
    <w:rsid w:val="00803D4B"/>
    <w:rsid w:val="00805BE3"/>
    <w:rsid w:val="008073C1"/>
    <w:rsid w:val="008108A6"/>
    <w:rsid w:val="008111DB"/>
    <w:rsid w:val="00811717"/>
    <w:rsid w:val="008121AA"/>
    <w:rsid w:val="00815960"/>
    <w:rsid w:val="00816504"/>
    <w:rsid w:val="008176FC"/>
    <w:rsid w:val="008213AA"/>
    <w:rsid w:val="008241A5"/>
    <w:rsid w:val="008241E2"/>
    <w:rsid w:val="008269A9"/>
    <w:rsid w:val="008328C2"/>
    <w:rsid w:val="008400A5"/>
    <w:rsid w:val="00842021"/>
    <w:rsid w:val="00842DE2"/>
    <w:rsid w:val="0084722F"/>
    <w:rsid w:val="008508DA"/>
    <w:rsid w:val="00851A81"/>
    <w:rsid w:val="00854C35"/>
    <w:rsid w:val="008604C3"/>
    <w:rsid w:val="008609D3"/>
    <w:rsid w:val="00860B39"/>
    <w:rsid w:val="00861241"/>
    <w:rsid w:val="00862041"/>
    <w:rsid w:val="008625D6"/>
    <w:rsid w:val="008626BF"/>
    <w:rsid w:val="00866393"/>
    <w:rsid w:val="00867E49"/>
    <w:rsid w:val="0087037E"/>
    <w:rsid w:val="00876858"/>
    <w:rsid w:val="0087731C"/>
    <w:rsid w:val="00882EE2"/>
    <w:rsid w:val="00885341"/>
    <w:rsid w:val="008949CF"/>
    <w:rsid w:val="00895DC3"/>
    <w:rsid w:val="00896C27"/>
    <w:rsid w:val="008A3CD5"/>
    <w:rsid w:val="008B2FEC"/>
    <w:rsid w:val="008B3D1B"/>
    <w:rsid w:val="008B565B"/>
    <w:rsid w:val="008C0027"/>
    <w:rsid w:val="008C1AB2"/>
    <w:rsid w:val="008C270A"/>
    <w:rsid w:val="008C3057"/>
    <w:rsid w:val="008C6488"/>
    <w:rsid w:val="008D06D1"/>
    <w:rsid w:val="008D41FD"/>
    <w:rsid w:val="008D61F6"/>
    <w:rsid w:val="008F094E"/>
    <w:rsid w:val="008F1835"/>
    <w:rsid w:val="008F7BE1"/>
    <w:rsid w:val="009012AA"/>
    <w:rsid w:val="0090160E"/>
    <w:rsid w:val="00903559"/>
    <w:rsid w:val="009035A2"/>
    <w:rsid w:val="00904B2C"/>
    <w:rsid w:val="00905BDE"/>
    <w:rsid w:val="00912EB0"/>
    <w:rsid w:val="00914212"/>
    <w:rsid w:val="00914412"/>
    <w:rsid w:val="0091647F"/>
    <w:rsid w:val="009167FE"/>
    <w:rsid w:val="00922906"/>
    <w:rsid w:val="00927636"/>
    <w:rsid w:val="0093193E"/>
    <w:rsid w:val="00931AD6"/>
    <w:rsid w:val="00931DD8"/>
    <w:rsid w:val="009332F1"/>
    <w:rsid w:val="00933CA6"/>
    <w:rsid w:val="00935C15"/>
    <w:rsid w:val="00937293"/>
    <w:rsid w:val="0094085C"/>
    <w:rsid w:val="009433C7"/>
    <w:rsid w:val="00950955"/>
    <w:rsid w:val="00951501"/>
    <w:rsid w:val="009532EA"/>
    <w:rsid w:val="00955039"/>
    <w:rsid w:val="00955DCE"/>
    <w:rsid w:val="00956C5E"/>
    <w:rsid w:val="009572C9"/>
    <w:rsid w:val="00963C58"/>
    <w:rsid w:val="0097064F"/>
    <w:rsid w:val="00972919"/>
    <w:rsid w:val="00972AE8"/>
    <w:rsid w:val="00974501"/>
    <w:rsid w:val="0097701F"/>
    <w:rsid w:val="00982D7B"/>
    <w:rsid w:val="00984524"/>
    <w:rsid w:val="00984834"/>
    <w:rsid w:val="0099017D"/>
    <w:rsid w:val="00993928"/>
    <w:rsid w:val="00994D81"/>
    <w:rsid w:val="009A131F"/>
    <w:rsid w:val="009A1A03"/>
    <w:rsid w:val="009A3439"/>
    <w:rsid w:val="009A6249"/>
    <w:rsid w:val="009A7B59"/>
    <w:rsid w:val="009B07A8"/>
    <w:rsid w:val="009B31D9"/>
    <w:rsid w:val="009B3CBD"/>
    <w:rsid w:val="009B4092"/>
    <w:rsid w:val="009B4654"/>
    <w:rsid w:val="009C117A"/>
    <w:rsid w:val="009C32E9"/>
    <w:rsid w:val="009C63E8"/>
    <w:rsid w:val="009D01DE"/>
    <w:rsid w:val="009D3ADB"/>
    <w:rsid w:val="009E1210"/>
    <w:rsid w:val="009E6374"/>
    <w:rsid w:val="009E6E1F"/>
    <w:rsid w:val="009F1D72"/>
    <w:rsid w:val="009F30FE"/>
    <w:rsid w:val="009F38B7"/>
    <w:rsid w:val="009F5FAD"/>
    <w:rsid w:val="00A059FB"/>
    <w:rsid w:val="00A0675B"/>
    <w:rsid w:val="00A10CE6"/>
    <w:rsid w:val="00A12E6C"/>
    <w:rsid w:val="00A13063"/>
    <w:rsid w:val="00A15BF4"/>
    <w:rsid w:val="00A1660D"/>
    <w:rsid w:val="00A21D15"/>
    <w:rsid w:val="00A21E84"/>
    <w:rsid w:val="00A241C7"/>
    <w:rsid w:val="00A245DA"/>
    <w:rsid w:val="00A2543E"/>
    <w:rsid w:val="00A26444"/>
    <w:rsid w:val="00A26867"/>
    <w:rsid w:val="00A349B2"/>
    <w:rsid w:val="00A368D7"/>
    <w:rsid w:val="00A40827"/>
    <w:rsid w:val="00A416C8"/>
    <w:rsid w:val="00A429C3"/>
    <w:rsid w:val="00A437E7"/>
    <w:rsid w:val="00A448CC"/>
    <w:rsid w:val="00A44912"/>
    <w:rsid w:val="00A44F6A"/>
    <w:rsid w:val="00A45490"/>
    <w:rsid w:val="00A504FF"/>
    <w:rsid w:val="00A50BAF"/>
    <w:rsid w:val="00A53A4F"/>
    <w:rsid w:val="00A554CA"/>
    <w:rsid w:val="00A55605"/>
    <w:rsid w:val="00A56F85"/>
    <w:rsid w:val="00A628FF"/>
    <w:rsid w:val="00A65141"/>
    <w:rsid w:val="00A66277"/>
    <w:rsid w:val="00A6751B"/>
    <w:rsid w:val="00A71DB9"/>
    <w:rsid w:val="00A74056"/>
    <w:rsid w:val="00A84E1E"/>
    <w:rsid w:val="00A853F5"/>
    <w:rsid w:val="00A86773"/>
    <w:rsid w:val="00A87AE7"/>
    <w:rsid w:val="00A9079C"/>
    <w:rsid w:val="00A92E48"/>
    <w:rsid w:val="00AA0A77"/>
    <w:rsid w:val="00AA1A3E"/>
    <w:rsid w:val="00AA79E4"/>
    <w:rsid w:val="00AB04D9"/>
    <w:rsid w:val="00AB0B42"/>
    <w:rsid w:val="00AB734F"/>
    <w:rsid w:val="00AC0D90"/>
    <w:rsid w:val="00AC166A"/>
    <w:rsid w:val="00AC1A9F"/>
    <w:rsid w:val="00AC5AD8"/>
    <w:rsid w:val="00AC6658"/>
    <w:rsid w:val="00AC68EE"/>
    <w:rsid w:val="00AC7EB7"/>
    <w:rsid w:val="00AD0476"/>
    <w:rsid w:val="00AD33AD"/>
    <w:rsid w:val="00AD590E"/>
    <w:rsid w:val="00AD5FD8"/>
    <w:rsid w:val="00AE11ED"/>
    <w:rsid w:val="00AE33CC"/>
    <w:rsid w:val="00AE3767"/>
    <w:rsid w:val="00AE6024"/>
    <w:rsid w:val="00AE7352"/>
    <w:rsid w:val="00AF7030"/>
    <w:rsid w:val="00AF7907"/>
    <w:rsid w:val="00B0038A"/>
    <w:rsid w:val="00B0188D"/>
    <w:rsid w:val="00B0405A"/>
    <w:rsid w:val="00B04C65"/>
    <w:rsid w:val="00B05526"/>
    <w:rsid w:val="00B07254"/>
    <w:rsid w:val="00B11A90"/>
    <w:rsid w:val="00B12822"/>
    <w:rsid w:val="00B129B7"/>
    <w:rsid w:val="00B13563"/>
    <w:rsid w:val="00B147A5"/>
    <w:rsid w:val="00B14907"/>
    <w:rsid w:val="00B14BA0"/>
    <w:rsid w:val="00B178BC"/>
    <w:rsid w:val="00B23F12"/>
    <w:rsid w:val="00B269AF"/>
    <w:rsid w:val="00B31094"/>
    <w:rsid w:val="00B31AFF"/>
    <w:rsid w:val="00B3704F"/>
    <w:rsid w:val="00B37ED0"/>
    <w:rsid w:val="00B47E42"/>
    <w:rsid w:val="00B506D4"/>
    <w:rsid w:val="00B5117B"/>
    <w:rsid w:val="00B52F69"/>
    <w:rsid w:val="00B53791"/>
    <w:rsid w:val="00B53959"/>
    <w:rsid w:val="00B55189"/>
    <w:rsid w:val="00B56B73"/>
    <w:rsid w:val="00B5789E"/>
    <w:rsid w:val="00B579CC"/>
    <w:rsid w:val="00B606AD"/>
    <w:rsid w:val="00B617C6"/>
    <w:rsid w:val="00B6279D"/>
    <w:rsid w:val="00B6409F"/>
    <w:rsid w:val="00B662AD"/>
    <w:rsid w:val="00B7003A"/>
    <w:rsid w:val="00B735D9"/>
    <w:rsid w:val="00B814CE"/>
    <w:rsid w:val="00B828F0"/>
    <w:rsid w:val="00B82DD6"/>
    <w:rsid w:val="00B840D4"/>
    <w:rsid w:val="00B841C3"/>
    <w:rsid w:val="00B843F1"/>
    <w:rsid w:val="00B84D38"/>
    <w:rsid w:val="00B87AF7"/>
    <w:rsid w:val="00B90BE4"/>
    <w:rsid w:val="00BA06D9"/>
    <w:rsid w:val="00BA1177"/>
    <w:rsid w:val="00BB07BE"/>
    <w:rsid w:val="00BB511D"/>
    <w:rsid w:val="00BC141C"/>
    <w:rsid w:val="00BC55BB"/>
    <w:rsid w:val="00BC6063"/>
    <w:rsid w:val="00BC71CA"/>
    <w:rsid w:val="00BC7AA0"/>
    <w:rsid w:val="00BD18E5"/>
    <w:rsid w:val="00BD1C8E"/>
    <w:rsid w:val="00BD4883"/>
    <w:rsid w:val="00BD60A7"/>
    <w:rsid w:val="00BD769F"/>
    <w:rsid w:val="00BE0AA8"/>
    <w:rsid w:val="00BE38F2"/>
    <w:rsid w:val="00BE67F8"/>
    <w:rsid w:val="00BF06B9"/>
    <w:rsid w:val="00BF52B9"/>
    <w:rsid w:val="00C02197"/>
    <w:rsid w:val="00C14E51"/>
    <w:rsid w:val="00C16909"/>
    <w:rsid w:val="00C22ACD"/>
    <w:rsid w:val="00C3128A"/>
    <w:rsid w:val="00C34C3B"/>
    <w:rsid w:val="00C373FB"/>
    <w:rsid w:val="00C37BE3"/>
    <w:rsid w:val="00C43CFA"/>
    <w:rsid w:val="00C54B1D"/>
    <w:rsid w:val="00C554D5"/>
    <w:rsid w:val="00C55A52"/>
    <w:rsid w:val="00C60CE3"/>
    <w:rsid w:val="00C62B81"/>
    <w:rsid w:val="00C62BDC"/>
    <w:rsid w:val="00C62E6C"/>
    <w:rsid w:val="00C63DFE"/>
    <w:rsid w:val="00C63E47"/>
    <w:rsid w:val="00C64724"/>
    <w:rsid w:val="00C65DD4"/>
    <w:rsid w:val="00C65EE5"/>
    <w:rsid w:val="00C70868"/>
    <w:rsid w:val="00C738B3"/>
    <w:rsid w:val="00C7459E"/>
    <w:rsid w:val="00C747AB"/>
    <w:rsid w:val="00C749A8"/>
    <w:rsid w:val="00C8294F"/>
    <w:rsid w:val="00C85C23"/>
    <w:rsid w:val="00C86239"/>
    <w:rsid w:val="00C92452"/>
    <w:rsid w:val="00CA2362"/>
    <w:rsid w:val="00CA466E"/>
    <w:rsid w:val="00CA6C0C"/>
    <w:rsid w:val="00CA7AF1"/>
    <w:rsid w:val="00CB0DC8"/>
    <w:rsid w:val="00CB3E57"/>
    <w:rsid w:val="00CB6DD8"/>
    <w:rsid w:val="00CC036D"/>
    <w:rsid w:val="00CC2026"/>
    <w:rsid w:val="00CC47A1"/>
    <w:rsid w:val="00CC7D97"/>
    <w:rsid w:val="00CD229C"/>
    <w:rsid w:val="00CE3715"/>
    <w:rsid w:val="00CF017B"/>
    <w:rsid w:val="00CF17E2"/>
    <w:rsid w:val="00CF209F"/>
    <w:rsid w:val="00CF3DED"/>
    <w:rsid w:val="00CF619A"/>
    <w:rsid w:val="00CF6F8F"/>
    <w:rsid w:val="00CF756F"/>
    <w:rsid w:val="00CF7C1A"/>
    <w:rsid w:val="00D01377"/>
    <w:rsid w:val="00D0472B"/>
    <w:rsid w:val="00D052C6"/>
    <w:rsid w:val="00D0652A"/>
    <w:rsid w:val="00D10492"/>
    <w:rsid w:val="00D10D0A"/>
    <w:rsid w:val="00D11176"/>
    <w:rsid w:val="00D11AC2"/>
    <w:rsid w:val="00D1274D"/>
    <w:rsid w:val="00D13B22"/>
    <w:rsid w:val="00D14507"/>
    <w:rsid w:val="00D1459D"/>
    <w:rsid w:val="00D162F5"/>
    <w:rsid w:val="00D21947"/>
    <w:rsid w:val="00D21F1A"/>
    <w:rsid w:val="00D236FD"/>
    <w:rsid w:val="00D259E8"/>
    <w:rsid w:val="00D31AA2"/>
    <w:rsid w:val="00D3331C"/>
    <w:rsid w:val="00D34C39"/>
    <w:rsid w:val="00D36CC4"/>
    <w:rsid w:val="00D421C7"/>
    <w:rsid w:val="00D47E9C"/>
    <w:rsid w:val="00D51398"/>
    <w:rsid w:val="00D67B3B"/>
    <w:rsid w:val="00D713E8"/>
    <w:rsid w:val="00D71582"/>
    <w:rsid w:val="00D71E25"/>
    <w:rsid w:val="00D7612E"/>
    <w:rsid w:val="00D76B24"/>
    <w:rsid w:val="00D76D9F"/>
    <w:rsid w:val="00D823CE"/>
    <w:rsid w:val="00D837D7"/>
    <w:rsid w:val="00D85FD5"/>
    <w:rsid w:val="00D90A05"/>
    <w:rsid w:val="00D91605"/>
    <w:rsid w:val="00D92864"/>
    <w:rsid w:val="00D92A5F"/>
    <w:rsid w:val="00D95D47"/>
    <w:rsid w:val="00D9731A"/>
    <w:rsid w:val="00D977EA"/>
    <w:rsid w:val="00DA011D"/>
    <w:rsid w:val="00DA0A1E"/>
    <w:rsid w:val="00DA13F1"/>
    <w:rsid w:val="00DA5297"/>
    <w:rsid w:val="00DA7418"/>
    <w:rsid w:val="00DB323A"/>
    <w:rsid w:val="00DB7779"/>
    <w:rsid w:val="00DC344F"/>
    <w:rsid w:val="00DC3C34"/>
    <w:rsid w:val="00DC6B51"/>
    <w:rsid w:val="00DD0BF8"/>
    <w:rsid w:val="00DD2D8B"/>
    <w:rsid w:val="00DD7C47"/>
    <w:rsid w:val="00DE1751"/>
    <w:rsid w:val="00DE59A9"/>
    <w:rsid w:val="00DE6A89"/>
    <w:rsid w:val="00DE79CA"/>
    <w:rsid w:val="00DF54E0"/>
    <w:rsid w:val="00DF5586"/>
    <w:rsid w:val="00DF66B2"/>
    <w:rsid w:val="00E04784"/>
    <w:rsid w:val="00E061C4"/>
    <w:rsid w:val="00E06A77"/>
    <w:rsid w:val="00E07EAC"/>
    <w:rsid w:val="00E10AE4"/>
    <w:rsid w:val="00E13313"/>
    <w:rsid w:val="00E17D4B"/>
    <w:rsid w:val="00E208B3"/>
    <w:rsid w:val="00E21524"/>
    <w:rsid w:val="00E300C9"/>
    <w:rsid w:val="00E323DC"/>
    <w:rsid w:val="00E36BD7"/>
    <w:rsid w:val="00E37DC1"/>
    <w:rsid w:val="00E42186"/>
    <w:rsid w:val="00E4222B"/>
    <w:rsid w:val="00E446C8"/>
    <w:rsid w:val="00E456FF"/>
    <w:rsid w:val="00E45876"/>
    <w:rsid w:val="00E46778"/>
    <w:rsid w:val="00E473D8"/>
    <w:rsid w:val="00E47B57"/>
    <w:rsid w:val="00E511EC"/>
    <w:rsid w:val="00E5189F"/>
    <w:rsid w:val="00E612C6"/>
    <w:rsid w:val="00E65563"/>
    <w:rsid w:val="00E6700B"/>
    <w:rsid w:val="00E70173"/>
    <w:rsid w:val="00E75A05"/>
    <w:rsid w:val="00E75ED2"/>
    <w:rsid w:val="00E8108B"/>
    <w:rsid w:val="00E839F9"/>
    <w:rsid w:val="00E84B0A"/>
    <w:rsid w:val="00E84BF5"/>
    <w:rsid w:val="00E84DA6"/>
    <w:rsid w:val="00E86369"/>
    <w:rsid w:val="00E87688"/>
    <w:rsid w:val="00E91476"/>
    <w:rsid w:val="00E91E5A"/>
    <w:rsid w:val="00E926BC"/>
    <w:rsid w:val="00EA01A9"/>
    <w:rsid w:val="00EA4A05"/>
    <w:rsid w:val="00EA4E6F"/>
    <w:rsid w:val="00EA5461"/>
    <w:rsid w:val="00EA6C32"/>
    <w:rsid w:val="00EB0136"/>
    <w:rsid w:val="00EB232F"/>
    <w:rsid w:val="00EB3DC9"/>
    <w:rsid w:val="00EC3740"/>
    <w:rsid w:val="00EC5073"/>
    <w:rsid w:val="00EC5F33"/>
    <w:rsid w:val="00EE24C7"/>
    <w:rsid w:val="00EE544C"/>
    <w:rsid w:val="00EE7CF3"/>
    <w:rsid w:val="00EF1A11"/>
    <w:rsid w:val="00F039A8"/>
    <w:rsid w:val="00F03D10"/>
    <w:rsid w:val="00F06153"/>
    <w:rsid w:val="00F06CA6"/>
    <w:rsid w:val="00F12462"/>
    <w:rsid w:val="00F14B08"/>
    <w:rsid w:val="00F22438"/>
    <w:rsid w:val="00F22ED8"/>
    <w:rsid w:val="00F23FF2"/>
    <w:rsid w:val="00F32029"/>
    <w:rsid w:val="00F32D44"/>
    <w:rsid w:val="00F33104"/>
    <w:rsid w:val="00F33D0C"/>
    <w:rsid w:val="00F37EF5"/>
    <w:rsid w:val="00F422BC"/>
    <w:rsid w:val="00F460F3"/>
    <w:rsid w:val="00F4681E"/>
    <w:rsid w:val="00F46BC1"/>
    <w:rsid w:val="00F50322"/>
    <w:rsid w:val="00F61369"/>
    <w:rsid w:val="00F67E1D"/>
    <w:rsid w:val="00F73303"/>
    <w:rsid w:val="00F74F0B"/>
    <w:rsid w:val="00F816A9"/>
    <w:rsid w:val="00F8341C"/>
    <w:rsid w:val="00F837CE"/>
    <w:rsid w:val="00F8523D"/>
    <w:rsid w:val="00F85AF6"/>
    <w:rsid w:val="00F9163B"/>
    <w:rsid w:val="00F94D7C"/>
    <w:rsid w:val="00F95C83"/>
    <w:rsid w:val="00F97BF2"/>
    <w:rsid w:val="00FA2F87"/>
    <w:rsid w:val="00FA36CA"/>
    <w:rsid w:val="00FA3E9F"/>
    <w:rsid w:val="00FA4876"/>
    <w:rsid w:val="00FA5280"/>
    <w:rsid w:val="00FA5C8A"/>
    <w:rsid w:val="00FA7A5E"/>
    <w:rsid w:val="00FB12F2"/>
    <w:rsid w:val="00FC1516"/>
    <w:rsid w:val="00FC151E"/>
    <w:rsid w:val="00FC6454"/>
    <w:rsid w:val="00FD0446"/>
    <w:rsid w:val="00FE2308"/>
    <w:rsid w:val="00FE2916"/>
    <w:rsid w:val="00FE5AD1"/>
    <w:rsid w:val="00FE6178"/>
    <w:rsid w:val="00FE61EB"/>
    <w:rsid w:val="00FE7350"/>
    <w:rsid w:val="00FE7763"/>
    <w:rsid w:val="00FF2548"/>
    <w:rsid w:val="00FF63A7"/>
    <w:rsid w:val="00FF723D"/>
    <w:rsid w:val="038463AC"/>
    <w:rsid w:val="04632543"/>
    <w:rsid w:val="06B5262B"/>
    <w:rsid w:val="0A3216C5"/>
    <w:rsid w:val="0A951E77"/>
    <w:rsid w:val="0ADD72FD"/>
    <w:rsid w:val="0B5B33D5"/>
    <w:rsid w:val="0C0C1864"/>
    <w:rsid w:val="0CD15BC0"/>
    <w:rsid w:val="0EAD756E"/>
    <w:rsid w:val="146F624D"/>
    <w:rsid w:val="1A416BE2"/>
    <w:rsid w:val="1AFE0C0F"/>
    <w:rsid w:val="1E1D67E8"/>
    <w:rsid w:val="1E864690"/>
    <w:rsid w:val="206A37D0"/>
    <w:rsid w:val="20B816B5"/>
    <w:rsid w:val="22097C71"/>
    <w:rsid w:val="27B136D9"/>
    <w:rsid w:val="289F032A"/>
    <w:rsid w:val="299B6BAD"/>
    <w:rsid w:val="2B38449C"/>
    <w:rsid w:val="2BDC3DFD"/>
    <w:rsid w:val="2C034D46"/>
    <w:rsid w:val="2D0A649A"/>
    <w:rsid w:val="2DF62C6B"/>
    <w:rsid w:val="2F035B97"/>
    <w:rsid w:val="2F376712"/>
    <w:rsid w:val="300C37CC"/>
    <w:rsid w:val="31594282"/>
    <w:rsid w:val="33FD3B57"/>
    <w:rsid w:val="34182DF6"/>
    <w:rsid w:val="376B66AA"/>
    <w:rsid w:val="38FB4E2E"/>
    <w:rsid w:val="393E5A31"/>
    <w:rsid w:val="3C6E463A"/>
    <w:rsid w:val="3E26107C"/>
    <w:rsid w:val="3F80563C"/>
    <w:rsid w:val="41313092"/>
    <w:rsid w:val="42B67142"/>
    <w:rsid w:val="447B6B46"/>
    <w:rsid w:val="45812319"/>
    <w:rsid w:val="45C060DA"/>
    <w:rsid w:val="45F541DD"/>
    <w:rsid w:val="464E343B"/>
    <w:rsid w:val="46A2058E"/>
    <w:rsid w:val="474006A1"/>
    <w:rsid w:val="48B325DE"/>
    <w:rsid w:val="49F2086C"/>
    <w:rsid w:val="4A8B27FD"/>
    <w:rsid w:val="4B4F7C90"/>
    <w:rsid w:val="4C7958ED"/>
    <w:rsid w:val="4CD70F51"/>
    <w:rsid w:val="4D075AD3"/>
    <w:rsid w:val="4D8E6D16"/>
    <w:rsid w:val="4DEF09C3"/>
    <w:rsid w:val="515135E3"/>
    <w:rsid w:val="52CB37A7"/>
    <w:rsid w:val="548553D9"/>
    <w:rsid w:val="55931896"/>
    <w:rsid w:val="572B2460"/>
    <w:rsid w:val="586747D1"/>
    <w:rsid w:val="58F04A3A"/>
    <w:rsid w:val="59684D1F"/>
    <w:rsid w:val="5A152712"/>
    <w:rsid w:val="5B3B3296"/>
    <w:rsid w:val="5CDB0094"/>
    <w:rsid w:val="5EC508E4"/>
    <w:rsid w:val="6174412F"/>
    <w:rsid w:val="685125BE"/>
    <w:rsid w:val="6BF57027"/>
    <w:rsid w:val="6E3D288C"/>
    <w:rsid w:val="72F93BBE"/>
    <w:rsid w:val="74566F61"/>
    <w:rsid w:val="74581DB8"/>
    <w:rsid w:val="765B7B75"/>
    <w:rsid w:val="767B7163"/>
    <w:rsid w:val="77085693"/>
    <w:rsid w:val="783068E6"/>
    <w:rsid w:val="78D965D9"/>
    <w:rsid w:val="78F354CA"/>
    <w:rsid w:val="79406BAE"/>
    <w:rsid w:val="7A3B5494"/>
    <w:rsid w:val="7A486491"/>
    <w:rsid w:val="7C1427E9"/>
    <w:rsid w:val="7CC31479"/>
    <w:rsid w:val="7DA40E0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Cs/>
      <w:kern w:val="44"/>
      <w:sz w:val="28"/>
      <w:szCs w:val="28"/>
    </w:rPr>
  </w:style>
  <w:style w:type="paragraph" w:styleId="3">
    <w:name w:val="heading 2"/>
    <w:basedOn w:val="1"/>
    <w:next w:val="1"/>
    <w:link w:val="53"/>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8"/>
    <w:qFormat/>
    <w:uiPriority w:val="0"/>
    <w:pPr>
      <w:keepNext/>
      <w:keepLines/>
      <w:spacing w:before="260" w:after="260" w:line="416" w:lineRule="auto"/>
      <w:outlineLvl w:val="2"/>
    </w:pPr>
    <w:rPr>
      <w:b/>
      <w:bCs/>
      <w:sz w:val="32"/>
      <w:szCs w:val="32"/>
      <w:lang w:val="zh-CN"/>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adjustRightInd w:val="0"/>
      <w:snapToGrid w:val="0"/>
      <w:spacing w:line="360" w:lineRule="auto"/>
      <w:ind w:firstLine="420"/>
    </w:pPr>
    <w:rPr>
      <w:sz w:val="24"/>
      <w:szCs w:val="20"/>
    </w:rPr>
  </w:style>
  <w:style w:type="paragraph" w:styleId="6">
    <w:name w:val="annotation text"/>
    <w:basedOn w:val="1"/>
    <w:link w:val="43"/>
    <w:qFormat/>
    <w:uiPriority w:val="0"/>
  </w:style>
  <w:style w:type="paragraph" w:styleId="7">
    <w:name w:val="Body Text"/>
    <w:basedOn w:val="1"/>
    <w:link w:val="45"/>
    <w:qFormat/>
    <w:uiPriority w:val="0"/>
    <w:pPr>
      <w:spacing w:after="120"/>
    </w:pPr>
  </w:style>
  <w:style w:type="paragraph" w:styleId="8">
    <w:name w:val="Body Text Indent"/>
    <w:basedOn w:val="1"/>
    <w:link w:val="29"/>
    <w:qFormat/>
    <w:uiPriority w:val="0"/>
    <w:pPr>
      <w:spacing w:line="700" w:lineRule="exact"/>
      <w:ind w:left="960"/>
    </w:pPr>
    <w:rPr>
      <w:sz w:val="44"/>
      <w:szCs w:val="20"/>
      <w:lang w:val="zh-CN"/>
    </w:rPr>
  </w:style>
  <w:style w:type="paragraph" w:styleId="9">
    <w:name w:val="Plain Text"/>
    <w:basedOn w:val="1"/>
    <w:qFormat/>
    <w:uiPriority w:val="0"/>
    <w:pPr>
      <w:spacing w:line="240" w:lineRule="atLeast"/>
      <w:jc w:val="center"/>
    </w:pPr>
    <w:rPr>
      <w:rFonts w:ascii="宋体" w:hAnsi="宋体" w:cs="Courier New"/>
      <w:spacing w:val="-18"/>
      <w:kern w:val="44"/>
      <w:sz w:val="24"/>
    </w:rPr>
  </w:style>
  <w:style w:type="paragraph" w:styleId="10">
    <w:name w:val="Date"/>
    <w:basedOn w:val="1"/>
    <w:next w:val="1"/>
    <w:link w:val="27"/>
    <w:qFormat/>
    <w:uiPriority w:val="0"/>
    <w:pPr>
      <w:ind w:left="100" w:leftChars="2500"/>
    </w:pPr>
    <w:rPr>
      <w:lang w:val="zh-CN"/>
    </w:rPr>
  </w:style>
  <w:style w:type="paragraph" w:styleId="11">
    <w:name w:val="Balloon Text"/>
    <w:basedOn w:val="1"/>
    <w:semiHidden/>
    <w:qFormat/>
    <w:uiPriority w:val="0"/>
    <w:rPr>
      <w:sz w:val="18"/>
      <w:szCs w:val="18"/>
    </w:rPr>
  </w:style>
  <w:style w:type="paragraph" w:styleId="12">
    <w:name w:val="footer"/>
    <w:basedOn w:val="1"/>
    <w:link w:val="36"/>
    <w:qFormat/>
    <w:uiPriority w:val="99"/>
    <w:pPr>
      <w:tabs>
        <w:tab w:val="center" w:pos="4153"/>
        <w:tab w:val="right" w:pos="8306"/>
      </w:tabs>
      <w:snapToGrid w:val="0"/>
    </w:pPr>
    <w:rPr>
      <w:sz w:val="18"/>
      <w:szCs w:val="18"/>
      <w:lang w:val="zh-CN"/>
    </w:rPr>
  </w:style>
  <w:style w:type="paragraph" w:styleId="13">
    <w:name w:val="header"/>
    <w:basedOn w:val="1"/>
    <w:link w:val="35"/>
    <w:qFormat/>
    <w:uiPriority w:val="99"/>
    <w:pPr>
      <w:pBdr>
        <w:bottom w:val="single" w:color="auto" w:sz="6" w:space="1"/>
      </w:pBdr>
      <w:tabs>
        <w:tab w:val="center" w:pos="4153"/>
        <w:tab w:val="right" w:pos="8306"/>
      </w:tabs>
      <w:snapToGrid w:val="0"/>
    </w:pPr>
    <w:rPr>
      <w:sz w:val="18"/>
      <w:szCs w:val="18"/>
      <w:lang w:val="zh-CN"/>
    </w:rPr>
  </w:style>
  <w:style w:type="paragraph" w:styleId="14">
    <w:name w:val="toc 1"/>
    <w:basedOn w:val="1"/>
    <w:next w:val="1"/>
    <w:unhideWhenUsed/>
    <w:qFormat/>
    <w:uiPriority w:val="0"/>
    <w:pPr>
      <w:tabs>
        <w:tab w:val="left" w:pos="1260"/>
        <w:tab w:val="left" w:pos="1685"/>
        <w:tab w:val="right" w:leader="dot" w:pos="8400"/>
      </w:tabs>
      <w:spacing w:line="360" w:lineRule="auto"/>
    </w:pPr>
    <w:rPr>
      <w:b/>
      <w:sz w:val="24"/>
    </w:rPr>
  </w:style>
  <w:style w:type="paragraph" w:styleId="15">
    <w:name w:val="Normal (Web)"/>
    <w:basedOn w:val="1"/>
    <w:qFormat/>
    <w:uiPriority w:val="0"/>
    <w:pPr>
      <w:widowControl/>
      <w:spacing w:before="100" w:beforeAutospacing="1" w:after="100" w:afterAutospacing="1"/>
    </w:pPr>
    <w:rPr>
      <w:rFonts w:ascii="宋体" w:hAnsi="宋体" w:cs="宋体"/>
      <w:kern w:val="0"/>
      <w:sz w:val="24"/>
    </w:rPr>
  </w:style>
  <w:style w:type="paragraph" w:styleId="16">
    <w:name w:val="annotation subject"/>
    <w:basedOn w:val="6"/>
    <w:next w:val="6"/>
    <w:link w:val="44"/>
    <w:qFormat/>
    <w:uiPriority w:val="0"/>
    <w:rPr>
      <w:b/>
      <w:bCs/>
    </w:rPr>
  </w:style>
  <w:style w:type="paragraph" w:styleId="17">
    <w:name w:val="Body Text First Indent"/>
    <w:basedOn w:val="7"/>
    <w:link w:val="46"/>
    <w:qFormat/>
    <w:uiPriority w:val="0"/>
    <w:pPr>
      <w:ind w:firstLine="420" w:firstLineChars="100"/>
    </w:p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qFormat/>
    <w:uiPriority w:val="22"/>
    <w:rPr>
      <w:b/>
    </w:rPr>
  </w:style>
  <w:style w:type="character" w:styleId="22">
    <w:name w:val="page number"/>
    <w:basedOn w:val="20"/>
    <w:qFormat/>
    <w:uiPriority w:val="0"/>
  </w:style>
  <w:style w:type="character" w:styleId="23">
    <w:name w:val="Emphasis"/>
    <w:qFormat/>
    <w:uiPriority w:val="0"/>
    <w:rPr>
      <w:i/>
    </w:rPr>
  </w:style>
  <w:style w:type="character" w:styleId="24">
    <w:name w:val="Hyperlink"/>
    <w:qFormat/>
    <w:uiPriority w:val="99"/>
    <w:rPr>
      <w:color w:val="0000FF"/>
      <w:u w:val="single"/>
    </w:rPr>
  </w:style>
  <w:style w:type="character" w:styleId="25">
    <w:name w:val="annotation reference"/>
    <w:basedOn w:val="20"/>
    <w:qFormat/>
    <w:uiPriority w:val="0"/>
    <w:rPr>
      <w:sz w:val="21"/>
      <w:szCs w:val="21"/>
    </w:rPr>
  </w:style>
  <w:style w:type="character" w:customStyle="1" w:styleId="26">
    <w:name w:val="style261"/>
    <w:qFormat/>
    <w:uiPriority w:val="0"/>
    <w:rPr>
      <w:sz w:val="20"/>
    </w:rPr>
  </w:style>
  <w:style w:type="character" w:customStyle="1" w:styleId="27">
    <w:name w:val="日期 字符"/>
    <w:link w:val="10"/>
    <w:qFormat/>
    <w:uiPriority w:val="0"/>
    <w:rPr>
      <w:kern w:val="2"/>
      <w:sz w:val="21"/>
      <w:szCs w:val="24"/>
    </w:rPr>
  </w:style>
  <w:style w:type="character" w:customStyle="1" w:styleId="28">
    <w:name w:val="标题 3 字符"/>
    <w:link w:val="4"/>
    <w:semiHidden/>
    <w:qFormat/>
    <w:uiPriority w:val="0"/>
    <w:rPr>
      <w:b/>
      <w:bCs/>
      <w:kern w:val="2"/>
      <w:sz w:val="32"/>
      <w:szCs w:val="32"/>
    </w:rPr>
  </w:style>
  <w:style w:type="character" w:customStyle="1" w:styleId="29">
    <w:name w:val="正文文本缩进 字符"/>
    <w:link w:val="8"/>
    <w:qFormat/>
    <w:uiPriority w:val="0"/>
    <w:rPr>
      <w:kern w:val="2"/>
      <w:sz w:val="44"/>
    </w:rPr>
  </w:style>
  <w:style w:type="character" w:customStyle="1" w:styleId="30">
    <w:name w:val="apple-converted-space"/>
    <w:basedOn w:val="20"/>
    <w:qFormat/>
    <w:uiPriority w:val="0"/>
  </w:style>
  <w:style w:type="character" w:customStyle="1" w:styleId="31">
    <w:name w:val="文档正文 Char"/>
    <w:link w:val="32"/>
    <w:qFormat/>
    <w:uiPriority w:val="0"/>
    <w:rPr>
      <w:rFonts w:ascii="Arial Narrow" w:hAnsi="Arial Narrow"/>
      <w:sz w:val="24"/>
    </w:rPr>
  </w:style>
  <w:style w:type="paragraph" w:customStyle="1" w:styleId="32">
    <w:name w:val="文档正文"/>
    <w:basedOn w:val="1"/>
    <w:link w:val="31"/>
    <w:qFormat/>
    <w:uiPriority w:val="0"/>
    <w:pPr>
      <w:adjustRightInd w:val="0"/>
      <w:snapToGrid w:val="0"/>
      <w:spacing w:line="440" w:lineRule="exact"/>
      <w:ind w:firstLine="567"/>
      <w:textAlignment w:val="baseline"/>
    </w:pPr>
    <w:rPr>
      <w:rFonts w:ascii="Arial Narrow" w:hAnsi="Arial Narrow"/>
      <w:kern w:val="0"/>
      <w:sz w:val="24"/>
      <w:szCs w:val="20"/>
      <w:lang w:val="zh-CN"/>
    </w:rPr>
  </w:style>
  <w:style w:type="character" w:customStyle="1" w:styleId="33">
    <w:name w:val="无间隔 Char"/>
    <w:link w:val="34"/>
    <w:qFormat/>
    <w:uiPriority w:val="1"/>
    <w:rPr>
      <w:rFonts w:ascii="Calibri" w:hAnsi="Calibri"/>
      <w:sz w:val="22"/>
      <w:szCs w:val="22"/>
      <w:lang w:val="en-US" w:eastAsia="zh-CN" w:bidi="ar-SA"/>
    </w:rPr>
  </w:style>
  <w:style w:type="paragraph" w:customStyle="1" w:styleId="34">
    <w:name w:val="无间隔1"/>
    <w:link w:val="33"/>
    <w:qFormat/>
    <w:uiPriority w:val="1"/>
    <w:rPr>
      <w:rFonts w:ascii="Calibri" w:hAnsi="Calibri" w:eastAsia="宋体" w:cs="Times New Roman"/>
      <w:sz w:val="22"/>
      <w:szCs w:val="22"/>
      <w:lang w:val="en-US" w:eastAsia="zh-CN" w:bidi="ar-SA"/>
    </w:rPr>
  </w:style>
  <w:style w:type="character" w:customStyle="1" w:styleId="35">
    <w:name w:val="页眉 字符"/>
    <w:link w:val="13"/>
    <w:qFormat/>
    <w:uiPriority w:val="99"/>
    <w:rPr>
      <w:kern w:val="2"/>
      <w:sz w:val="18"/>
      <w:szCs w:val="18"/>
    </w:rPr>
  </w:style>
  <w:style w:type="character" w:customStyle="1" w:styleId="36">
    <w:name w:val="页脚 字符"/>
    <w:link w:val="12"/>
    <w:qFormat/>
    <w:uiPriority w:val="99"/>
    <w:rPr>
      <w:kern w:val="2"/>
      <w:sz w:val="18"/>
      <w:szCs w:val="18"/>
    </w:rPr>
  </w:style>
  <w:style w:type="paragraph" w:customStyle="1" w:styleId="37">
    <w:name w:val="文件封面"/>
    <w:basedOn w:val="9"/>
    <w:qFormat/>
    <w:uiPriority w:val="0"/>
    <w:rPr>
      <w:b/>
      <w:sz w:val="144"/>
    </w:rPr>
  </w:style>
  <w:style w:type="paragraph" w:customStyle="1" w:styleId="38">
    <w:name w:val="样式1"/>
    <w:basedOn w:val="2"/>
    <w:qFormat/>
    <w:uiPriority w:val="0"/>
    <w:rPr>
      <w:b/>
    </w:rPr>
  </w:style>
  <w:style w:type="paragraph" w:customStyle="1" w:styleId="39">
    <w:name w:val="列出段落1"/>
    <w:basedOn w:val="1"/>
    <w:qFormat/>
    <w:uiPriority w:val="34"/>
    <w:pPr>
      <w:ind w:firstLine="420" w:firstLineChars="200"/>
    </w:pPr>
    <w:rPr>
      <w:rFonts w:ascii="Calibri" w:hAnsi="Calibri"/>
      <w:szCs w:val="22"/>
    </w:rPr>
  </w:style>
  <w:style w:type="paragraph" w:customStyle="1" w:styleId="40">
    <w:name w:val="Char1 Char Char Char"/>
    <w:basedOn w:val="1"/>
    <w:qFormat/>
    <w:uiPriority w:val="0"/>
    <w:rPr>
      <w:rFonts w:ascii="Tahoma" w:hAnsi="Tahoma"/>
      <w:sz w:val="30"/>
      <w:szCs w:val="30"/>
    </w:rPr>
  </w:style>
  <w:style w:type="paragraph" w:customStyle="1" w:styleId="41">
    <w:name w:val="默认段落字体 Para Char Char Char Char"/>
    <w:basedOn w:val="1"/>
    <w:qFormat/>
    <w:uiPriority w:val="0"/>
    <w:pPr>
      <w:autoSpaceDE w:val="0"/>
      <w:autoSpaceDN w:val="0"/>
      <w:adjustRightInd w:val="0"/>
      <w:spacing w:line="360" w:lineRule="auto"/>
    </w:pPr>
    <w:rPr>
      <w:snapToGrid w:val="0"/>
      <w:kern w:val="0"/>
      <w:szCs w:val="21"/>
    </w:rPr>
  </w:style>
  <w:style w:type="paragraph" w:customStyle="1" w:styleId="42">
    <w:name w:val="封面下"/>
    <w:basedOn w:val="1"/>
    <w:qFormat/>
    <w:uiPriority w:val="0"/>
    <w:rPr>
      <w:b/>
      <w:sz w:val="32"/>
    </w:rPr>
  </w:style>
  <w:style w:type="character" w:customStyle="1" w:styleId="43">
    <w:name w:val="批注文字 字符"/>
    <w:basedOn w:val="20"/>
    <w:link w:val="6"/>
    <w:qFormat/>
    <w:uiPriority w:val="0"/>
    <w:rPr>
      <w:kern w:val="2"/>
      <w:sz w:val="21"/>
      <w:szCs w:val="24"/>
    </w:rPr>
  </w:style>
  <w:style w:type="character" w:customStyle="1" w:styleId="44">
    <w:name w:val="批注主题 字符"/>
    <w:basedOn w:val="43"/>
    <w:link w:val="16"/>
    <w:qFormat/>
    <w:uiPriority w:val="0"/>
    <w:rPr>
      <w:b/>
      <w:bCs/>
      <w:kern w:val="2"/>
      <w:sz w:val="21"/>
      <w:szCs w:val="24"/>
    </w:rPr>
  </w:style>
  <w:style w:type="character" w:customStyle="1" w:styleId="45">
    <w:name w:val="正文文本 字符"/>
    <w:basedOn w:val="20"/>
    <w:link w:val="7"/>
    <w:qFormat/>
    <w:uiPriority w:val="0"/>
    <w:rPr>
      <w:kern w:val="2"/>
      <w:sz w:val="21"/>
      <w:szCs w:val="24"/>
    </w:rPr>
  </w:style>
  <w:style w:type="character" w:customStyle="1" w:styleId="46">
    <w:name w:val="正文文本首行缩进 字符"/>
    <w:basedOn w:val="45"/>
    <w:link w:val="17"/>
    <w:qFormat/>
    <w:uiPriority w:val="0"/>
    <w:rPr>
      <w:kern w:val="2"/>
      <w:sz w:val="21"/>
      <w:szCs w:val="24"/>
    </w:rPr>
  </w:style>
  <w:style w:type="paragraph" w:customStyle="1" w:styleId="47">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48">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49">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50">
    <w:name w:val="表格"/>
    <w:basedOn w:val="1"/>
    <w:next w:val="1"/>
    <w:qFormat/>
    <w:uiPriority w:val="0"/>
    <w:rPr>
      <w:rFonts w:hint="eastAsia" w:ascii="宋体" w:hAnsi="宋体" w:cs="宋体"/>
      <w:bCs/>
    </w:rPr>
  </w:style>
  <w:style w:type="paragraph" w:customStyle="1" w:styleId="51">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52">
    <w:name w:val="图例"/>
    <w:basedOn w:val="1"/>
    <w:qFormat/>
    <w:uiPriority w:val="0"/>
    <w:pPr>
      <w:spacing w:before="120" w:after="120" w:line="360" w:lineRule="auto"/>
      <w:jc w:val="center"/>
    </w:pPr>
    <w:rPr>
      <w:rFonts w:eastAsia="仿宋_GB2312"/>
      <w:b/>
      <w:sz w:val="24"/>
      <w:szCs w:val="20"/>
    </w:rPr>
  </w:style>
  <w:style w:type="character" w:customStyle="1" w:styleId="53">
    <w:name w:val="标题 2 字符"/>
    <w:link w:val="3"/>
    <w:qFormat/>
    <w:uiPriority w:val="0"/>
    <w:rPr>
      <w:rFonts w:ascii="Arial" w:hAnsi="Arial" w:eastAsia="黑体"/>
      <w:b/>
      <w:bCs/>
      <w:kern w:val="2"/>
      <w:sz w:val="32"/>
      <w:szCs w:val="32"/>
    </w:rPr>
  </w:style>
  <w:style w:type="character" w:customStyle="1" w:styleId="54">
    <w:name w:val="font122"/>
    <w:qFormat/>
    <w:uiPriority w:val="0"/>
    <w:rPr>
      <w:rFonts w:hint="eastAsia" w:ascii="宋体" w:hAnsi="宋体" w:eastAsia="宋体" w:cs="宋体"/>
      <w:color w:val="FF0000"/>
      <w:sz w:val="19"/>
      <w:szCs w:val="19"/>
      <w:u w:val="none"/>
    </w:rPr>
  </w:style>
  <w:style w:type="paragraph" w:customStyle="1" w:styleId="55">
    <w:name w:val="Revision"/>
    <w:hidden/>
    <w:unhideWhenUsed/>
    <w:qFormat/>
    <w:uiPriority w:val="99"/>
    <w:rPr>
      <w:rFonts w:ascii="Times New Roman" w:hAnsi="Times New Roman" w:eastAsia="宋体" w:cs="Times New Roman"/>
      <w:kern w:val="2"/>
      <w:sz w:val="21"/>
      <w:szCs w:val="24"/>
      <w:lang w:val="en-US" w:eastAsia="zh-CN" w:bidi="ar-SA"/>
    </w:rPr>
  </w:style>
  <w:style w:type="paragraph" w:styleId="56">
    <w:name w:val="List Paragraph"/>
    <w:basedOn w:val="1"/>
    <w:qFormat/>
    <w:uiPriority w:val="99"/>
    <w:pPr>
      <w:ind w:firstLine="420" w:firstLineChars="200"/>
    </w:pPr>
    <w:rPr>
      <w:sz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Pages>
  <Words>578</Words>
  <Characters>648</Characters>
  <Lines>8</Lines>
  <Paragraphs>33</Paragraphs>
  <TotalTime>3</TotalTime>
  <ScaleCrop>false</ScaleCrop>
  <LinksUpToDate>false</LinksUpToDate>
  <CharactersWithSpaces>649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2025-09-02T08:52:00Z</dcterms:created>
  <dc:creator>XiaoZ</dc:creator>
  <cp:lastModifiedBy>招标代理</cp:lastModifiedBy>
  <cp:lastPrinted>2019-12-02T07:02:00Z</cp:lastPrinted>
  <dcterms:modified xsi:type="dcterms:W3CDTF">2026-05-11T03:17:58Z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365AAC79D2894DE585249172FC2DAF09_13</vt:lpwstr>
  </property>
  <property fmtid="{D5CDD505-2E9C-101B-9397-08002B2CF9AE}" pid="4" name="KSOTemplateDocerSaveRecord">
    <vt:lpwstr>eyJoZGlkIjoiYzcyZDNhNDUyZDBhOTAzN2JhYjQ2ZWZmMThmMmYxNjQiLCJ1c2VySWQiOiIxMzE1MDMwNTI2In0=</vt:lpwstr>
  </property>
</Properties>
</file>