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rPr>
          <w:color w:val="auto"/>
          <w:highlight w:val="none"/>
        </w:rPr>
      </w:pPr>
    </w:p>
    <w:p>
      <w:pPr>
        <w:spacing w:line="1600" w:lineRule="exact"/>
        <w:jc w:val="center"/>
        <w:outlineLvl w:val="0"/>
        <w:rPr>
          <w:rFonts w:ascii="宋体" w:hAnsi="宋体" w:cs="宋体"/>
          <w:color w:val="auto"/>
          <w:sz w:val="130"/>
          <w:szCs w:val="130"/>
          <w:highlight w:val="none"/>
        </w:rPr>
      </w:pPr>
    </w:p>
    <w:p>
      <w:pPr>
        <w:spacing w:line="1600" w:lineRule="exact"/>
        <w:jc w:val="center"/>
        <w:outlineLvl w:val="0"/>
        <w:rPr>
          <w:rFonts w:ascii="宋体" w:hAnsi="宋体" w:cs="宋体"/>
          <w:color w:val="auto"/>
          <w:sz w:val="130"/>
          <w:szCs w:val="130"/>
          <w:highlight w:val="none"/>
        </w:rPr>
      </w:pPr>
      <w:r>
        <w:rPr>
          <w:rFonts w:hint="eastAsia" w:ascii="宋体" w:hAnsi="宋体" w:cs="宋体"/>
          <w:color w:val="auto"/>
          <w:sz w:val="130"/>
          <w:szCs w:val="130"/>
          <w:highlight w:val="none"/>
        </w:rPr>
        <w:t>招 标 文 件</w:t>
      </w: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spacing w:line="360" w:lineRule="auto"/>
        <w:ind w:firstLine="2247" w:firstLineChars="746"/>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采购项目编号：CTBU-JZ2023106</w:t>
      </w:r>
    </w:p>
    <w:p>
      <w:pPr>
        <w:spacing w:line="360" w:lineRule="auto"/>
        <w:ind w:left="4192" w:leftChars="800" w:hanging="1952"/>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采购项目名称：重庆工商大学教学质量保障系统</w:t>
      </w: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pStyle w:val="8"/>
        <w:spacing w:line="500" w:lineRule="exact"/>
        <w:ind w:left="0"/>
        <w:jc w:val="center"/>
        <w:rPr>
          <w:rFonts w:ascii="宋体" w:hAnsi="宋体" w:cs="宋体"/>
          <w:color w:val="auto"/>
          <w:sz w:val="32"/>
          <w:highlight w:val="none"/>
        </w:rPr>
      </w:pPr>
    </w:p>
    <w:p>
      <w:pPr>
        <w:spacing w:line="500" w:lineRule="exact"/>
        <w:jc w:val="center"/>
        <w:rPr>
          <w:rFonts w:ascii="宋体" w:hAnsi="宋体" w:cs="宋体"/>
          <w:color w:val="auto"/>
          <w:sz w:val="36"/>
          <w:szCs w:val="36"/>
          <w:highlight w:val="none"/>
        </w:rPr>
      </w:pPr>
    </w:p>
    <w:p>
      <w:pPr>
        <w:spacing w:line="360" w:lineRule="auto"/>
        <w:ind w:firstLine="2520" w:firstLineChars="700"/>
        <w:outlineLvl w:val="0"/>
        <w:rPr>
          <w:rFonts w:ascii="宋体" w:hAnsi="宋体" w:cs="宋体"/>
          <w:color w:val="auto"/>
          <w:sz w:val="36"/>
          <w:szCs w:val="36"/>
          <w:highlight w:val="none"/>
        </w:rPr>
      </w:pPr>
    </w:p>
    <w:p>
      <w:pPr>
        <w:spacing w:line="360" w:lineRule="auto"/>
        <w:ind w:firstLine="2520" w:firstLineChars="700"/>
        <w:outlineLvl w:val="0"/>
        <w:rPr>
          <w:rFonts w:ascii="宋体" w:hAnsi="宋体" w:cs="宋体"/>
          <w:color w:val="auto"/>
          <w:sz w:val="36"/>
          <w:szCs w:val="36"/>
          <w:highlight w:val="none"/>
        </w:rPr>
      </w:pPr>
    </w:p>
    <w:p>
      <w:pPr>
        <w:spacing w:line="360" w:lineRule="auto"/>
        <w:ind w:firstLine="2520" w:firstLineChars="700"/>
        <w:outlineLvl w:val="0"/>
        <w:rPr>
          <w:rFonts w:ascii="宋体" w:hAnsi="宋体" w:cs="宋体"/>
          <w:color w:val="auto"/>
          <w:sz w:val="36"/>
          <w:szCs w:val="36"/>
          <w:highlight w:val="none"/>
        </w:rPr>
      </w:pPr>
      <w:r>
        <w:rPr>
          <w:rFonts w:hint="eastAsia" w:ascii="宋体" w:hAnsi="宋体" w:cs="宋体"/>
          <w:color w:val="auto"/>
          <w:sz w:val="36"/>
          <w:szCs w:val="36"/>
          <w:highlight w:val="none"/>
        </w:rPr>
        <w:t>采  购  人：重庆工商大学</w:t>
      </w:r>
    </w:p>
    <w:p>
      <w:pPr>
        <w:snapToGrid w:val="0"/>
        <w:spacing w:line="500" w:lineRule="exact"/>
        <w:jc w:val="center"/>
        <w:rPr>
          <w:rFonts w:ascii="宋体" w:hAnsi="宋体" w:cs="宋体"/>
          <w:color w:val="auto"/>
          <w:sz w:val="36"/>
          <w:szCs w:val="36"/>
          <w:highlight w:val="none"/>
        </w:rPr>
      </w:pPr>
    </w:p>
    <w:p>
      <w:pPr>
        <w:snapToGrid w:val="0"/>
        <w:spacing w:line="500" w:lineRule="exact"/>
        <w:jc w:val="center"/>
        <w:rPr>
          <w:rFonts w:ascii="宋体" w:hAnsi="宋体" w:cs="宋体"/>
          <w:color w:val="auto"/>
          <w:sz w:val="36"/>
          <w:szCs w:val="36"/>
          <w:highlight w:val="none"/>
        </w:rPr>
      </w:pPr>
      <w:r>
        <w:rPr>
          <w:rFonts w:hint="eastAsia" w:ascii="宋体" w:hAnsi="宋体" w:cs="宋体"/>
          <w:color w:val="auto"/>
          <w:sz w:val="36"/>
          <w:szCs w:val="36"/>
          <w:highlight w:val="none"/>
        </w:rPr>
        <w:t>二〇二三年七月</w:t>
      </w:r>
    </w:p>
    <w:p>
      <w:pPr>
        <w:pStyle w:val="2"/>
        <w:ind w:firstLine="0"/>
        <w:rPr>
          <w:rFonts w:ascii="宋体" w:hAnsi="宋体" w:cs="宋体"/>
          <w:color w:val="auto"/>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pPr>
        <w:snapToGrid w:val="0"/>
        <w:spacing w:line="500" w:lineRule="exact"/>
        <w:jc w:val="center"/>
        <w:rPr>
          <w:rFonts w:ascii="宋体" w:hAnsi="宋体" w:cs="宋体"/>
          <w:color w:val="auto"/>
          <w:sz w:val="44"/>
          <w:highlight w:val="none"/>
        </w:rPr>
      </w:pPr>
      <w:r>
        <w:rPr>
          <w:rFonts w:hint="eastAsia" w:ascii="宋体" w:hAnsi="宋体" w:cs="宋体"/>
          <w:color w:val="auto"/>
          <w:sz w:val="44"/>
          <w:highlight w:val="none"/>
        </w:rPr>
        <w:t>目  录</w:t>
      </w:r>
    </w:p>
    <w:p>
      <w:pPr>
        <w:pStyle w:val="15"/>
        <w:tabs>
          <w:tab w:val="right" w:leader="dot" w:pos="9412"/>
          <w:tab w:val="clear" w:pos="1260"/>
          <w:tab w:val="clear" w:pos="1685"/>
          <w:tab w:val="clear" w:pos="8400"/>
        </w:tabs>
        <w:ind w:firstLine="210"/>
        <w:rPr>
          <w:b/>
          <w:bCs/>
          <w:color w:val="auto"/>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TOC \o "1-2" \h \z </w:instrText>
      </w:r>
      <w:r>
        <w:rPr>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"_Toc393" </w:instrText>
      </w:r>
      <w:r>
        <w:rPr>
          <w:color w:val="auto"/>
          <w:highlight w:val="none"/>
        </w:rPr>
        <w:fldChar w:fldCharType="separate"/>
      </w:r>
      <w:r>
        <w:rPr>
          <w:rFonts w:hint="eastAsia" w:ascii="宋体" w:hAnsi="宋体" w:cs="宋体"/>
          <w:b/>
          <w:bCs/>
          <w:color w:val="auto"/>
          <w:highlight w:val="none"/>
        </w:rPr>
        <w:t>第一篇 投标邀请书</w:t>
      </w:r>
      <w:r>
        <w:rPr>
          <w:b/>
          <w:bCs/>
          <w:color w:val="auto"/>
          <w:highlight w:val="none"/>
        </w:rPr>
        <w:tab/>
      </w:r>
      <w:r>
        <w:rPr>
          <w:b/>
          <w:bCs/>
          <w:color w:val="auto"/>
          <w:highlight w:val="none"/>
        </w:rPr>
        <w:fldChar w:fldCharType="begin"/>
      </w:r>
      <w:r>
        <w:rPr>
          <w:b/>
          <w:bCs/>
          <w:color w:val="auto"/>
          <w:highlight w:val="none"/>
        </w:rPr>
        <w:instrText xml:space="preserve"> PAGEREF _Toc393 \h </w:instrText>
      </w:r>
      <w:r>
        <w:rPr>
          <w:b/>
          <w:bCs/>
          <w:color w:val="auto"/>
          <w:highlight w:val="none"/>
        </w:rPr>
        <w:fldChar w:fldCharType="separate"/>
      </w:r>
      <w:r>
        <w:rPr>
          <w:b/>
          <w:bCs/>
          <w:color w:val="auto"/>
          <w:highlight w:val="none"/>
        </w:rPr>
        <w:t>- 3 -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"_Toc29979" </w:instrText>
      </w:r>
      <w:r>
        <w:rPr>
          <w:color w:val="auto"/>
          <w:highlight w:val="none"/>
        </w:rPr>
        <w:fldChar w:fldCharType="separate"/>
      </w:r>
      <w:r>
        <w:rPr>
          <w:rFonts w:hint="eastAsia" w:cs="宋体"/>
          <w:color w:val="auto"/>
          <w:highlight w:val="none"/>
        </w:rPr>
        <w:t>一、招标项目内容</w:t>
      </w:r>
      <w:r>
        <w:rPr>
          <w:color w:val="auto"/>
          <w:highlight w:val="none"/>
        </w:rPr>
        <w:tab/>
      </w:r>
      <w:r>
        <w:rPr>
          <w:color w:val="auto"/>
          <w:highlight w:val="none"/>
        </w:rPr>
        <w:fldChar w:fldCharType="begin"/>
      </w:r>
      <w:r>
        <w:rPr>
          <w:color w:val="auto"/>
          <w:highlight w:val="none"/>
        </w:rPr>
        <w:instrText xml:space="preserve"> PAGEREF _Toc29979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"_Toc6132" </w:instrText>
      </w:r>
      <w:r>
        <w:rPr>
          <w:color w:val="auto"/>
          <w:highlight w:val="none"/>
        </w:rPr>
        <w:fldChar w:fldCharType="separate"/>
      </w:r>
      <w:r>
        <w:rPr>
          <w:rFonts w:hint="eastAsia" w:cs="宋体"/>
          <w:color w:val="auto"/>
          <w:highlight w:val="none"/>
        </w:rPr>
        <w:t>二、资金来源</w:t>
      </w:r>
      <w:r>
        <w:rPr>
          <w:color w:val="auto"/>
          <w:highlight w:val="none"/>
        </w:rPr>
        <w:tab/>
      </w:r>
      <w:r>
        <w:rPr>
          <w:color w:val="auto"/>
          <w:highlight w:val="none"/>
        </w:rPr>
        <w:fldChar w:fldCharType="begin"/>
      </w:r>
      <w:r>
        <w:rPr>
          <w:color w:val="auto"/>
          <w:highlight w:val="none"/>
        </w:rPr>
        <w:instrText xml:space="preserve"> PAGEREF _Toc6132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"_Toc2927" </w:instrText>
      </w:r>
      <w:r>
        <w:rPr>
          <w:color w:val="auto"/>
          <w:highlight w:val="none"/>
        </w:rPr>
        <w:fldChar w:fldCharType="separate"/>
      </w:r>
      <w:r>
        <w:rPr>
          <w:rFonts w:hint="eastAsia" w:cs="宋体"/>
          <w:color w:val="auto"/>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_Toc2927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"_Toc24279" </w:instrText>
      </w:r>
      <w:r>
        <w:rPr>
          <w:color w:val="auto"/>
          <w:highlight w:val="none"/>
        </w:rPr>
        <w:fldChar w:fldCharType="separate"/>
      </w:r>
      <w:r>
        <w:rPr>
          <w:rFonts w:hint="eastAsia" w:cs="宋体"/>
          <w:color w:val="auto"/>
          <w:highlight w:val="none"/>
        </w:rPr>
        <w:t>四、投标、开标有关说明</w:t>
      </w:r>
      <w:r>
        <w:rPr>
          <w:color w:val="auto"/>
          <w:highlight w:val="none"/>
        </w:rPr>
        <w:tab/>
      </w:r>
      <w:r>
        <w:rPr>
          <w:color w:val="auto"/>
          <w:highlight w:val="none"/>
        </w:rPr>
        <w:fldChar w:fldCharType="begin"/>
      </w:r>
      <w:r>
        <w:rPr>
          <w:color w:val="auto"/>
          <w:highlight w:val="none"/>
        </w:rPr>
        <w:instrText xml:space="preserve"> PAGEREF _Toc24279 \h </w:instrText>
      </w:r>
      <w:r>
        <w:rPr>
          <w:color w:val="auto"/>
          <w:highlight w:val="none"/>
        </w:rPr>
        <w:fldChar w:fldCharType="separate"/>
      </w:r>
      <w:r>
        <w:rPr>
          <w:color w:val="auto"/>
          <w:highlight w:val="none"/>
        </w:rPr>
        <w:t>- 3 -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"_Toc21830" </w:instrText>
      </w:r>
      <w:r>
        <w:rPr>
          <w:color w:val="auto"/>
          <w:highlight w:val="none"/>
        </w:rPr>
        <w:fldChar w:fldCharType="separate"/>
      </w:r>
      <w:r>
        <w:rPr>
          <w:rFonts w:hint="eastAsia" w:cs="宋体"/>
          <w:color w:val="auto"/>
          <w:highlight w:val="none"/>
        </w:rPr>
        <w:t>五、招标文件购买费、投标保证金</w:t>
      </w:r>
      <w:r>
        <w:rPr>
          <w:color w:val="auto"/>
          <w:highlight w:val="none"/>
        </w:rPr>
        <w:tab/>
      </w:r>
      <w:r>
        <w:rPr>
          <w:color w:val="auto"/>
          <w:highlight w:val="none"/>
        </w:rPr>
        <w:fldChar w:fldCharType="begin"/>
      </w:r>
      <w:r>
        <w:rPr>
          <w:color w:val="auto"/>
          <w:highlight w:val="none"/>
        </w:rPr>
        <w:instrText xml:space="preserve"> PAGEREF _Toc21830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"_Toc29047" </w:instrText>
      </w:r>
      <w:r>
        <w:rPr>
          <w:color w:val="auto"/>
          <w:highlight w:val="none"/>
        </w:rPr>
        <w:fldChar w:fldCharType="separate"/>
      </w:r>
      <w:r>
        <w:rPr>
          <w:rFonts w:hint="eastAsia" w:cs="宋体"/>
          <w:color w:val="auto"/>
          <w:highlight w:val="none"/>
        </w:rPr>
        <w:t>六、投标有关规定</w:t>
      </w:r>
      <w:r>
        <w:rPr>
          <w:color w:val="auto"/>
          <w:highlight w:val="none"/>
        </w:rPr>
        <w:tab/>
      </w:r>
      <w:r>
        <w:rPr>
          <w:color w:val="auto"/>
          <w:highlight w:val="none"/>
        </w:rPr>
        <w:fldChar w:fldCharType="begin"/>
      </w:r>
      <w:r>
        <w:rPr>
          <w:color w:val="auto"/>
          <w:highlight w:val="none"/>
        </w:rPr>
        <w:instrText xml:space="preserve"> PAGEREF _Toc29047 \h </w:instrText>
      </w:r>
      <w:r>
        <w:rPr>
          <w:color w:val="auto"/>
          <w:highlight w:val="none"/>
        </w:rPr>
        <w:fldChar w:fldCharType="separate"/>
      </w:r>
      <w:r>
        <w:rPr>
          <w:color w:val="auto"/>
          <w:highlight w:val="none"/>
        </w:rPr>
        <w:t>- 4 -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"_Toc27160" </w:instrText>
      </w:r>
      <w:r>
        <w:rPr>
          <w:color w:val="auto"/>
          <w:highlight w:val="none"/>
        </w:rPr>
        <w:fldChar w:fldCharType="separate"/>
      </w:r>
      <w:r>
        <w:rPr>
          <w:rFonts w:hint="eastAsia" w:cs="宋体"/>
          <w:color w:val="auto"/>
          <w:highlight w:val="none"/>
        </w:rPr>
        <w:t>七、联系方式</w:t>
      </w:r>
      <w:r>
        <w:rPr>
          <w:color w:val="auto"/>
          <w:highlight w:val="none"/>
        </w:rPr>
        <w:tab/>
      </w:r>
      <w:r>
        <w:rPr>
          <w:color w:val="auto"/>
          <w:highlight w:val="none"/>
        </w:rPr>
        <w:fldChar w:fldCharType="begin"/>
      </w:r>
      <w:r>
        <w:rPr>
          <w:color w:val="auto"/>
          <w:highlight w:val="none"/>
        </w:rPr>
        <w:instrText xml:space="preserve"> PAGEREF _Toc27160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"_Toc30092" </w:instrText>
      </w:r>
      <w:r>
        <w:rPr>
          <w:color w:val="auto"/>
          <w:highlight w:val="none"/>
        </w:rPr>
        <w:fldChar w:fldCharType="separate"/>
      </w:r>
      <w:r>
        <w:rPr>
          <w:rFonts w:hint="eastAsia" w:cs="宋体"/>
          <w:color w:val="auto"/>
          <w:highlight w:val="none"/>
        </w:rPr>
        <w:t>八、其他要求</w:t>
      </w:r>
      <w:r>
        <w:rPr>
          <w:color w:val="auto"/>
          <w:highlight w:val="none"/>
        </w:rPr>
        <w:tab/>
      </w:r>
      <w:r>
        <w:rPr>
          <w:color w:val="auto"/>
          <w:highlight w:val="none"/>
        </w:rPr>
        <w:fldChar w:fldCharType="begin"/>
      </w:r>
      <w:r>
        <w:rPr>
          <w:color w:val="auto"/>
          <w:highlight w:val="none"/>
        </w:rPr>
        <w:instrText xml:space="preserve"> PAGEREF _Toc30092 \h </w:instrText>
      </w:r>
      <w:r>
        <w:rPr>
          <w:color w:val="auto"/>
          <w:highlight w:val="none"/>
        </w:rPr>
        <w:fldChar w:fldCharType="separate"/>
      </w:r>
      <w:r>
        <w:rPr>
          <w:color w:val="auto"/>
          <w:highlight w:val="none"/>
        </w:rPr>
        <w:t>- 5 -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"_Toc7254" </w:instrText>
      </w:r>
      <w:r>
        <w:rPr>
          <w:color w:val="auto"/>
          <w:highlight w:val="none"/>
        </w:rPr>
        <w:fldChar w:fldCharType="separate"/>
      </w:r>
      <w:r>
        <w:rPr>
          <w:rFonts w:hint="eastAsia" w:ascii="宋体" w:hAnsi="宋体" w:cs="宋体"/>
          <w:b/>
          <w:bCs/>
          <w:color w:val="auto"/>
          <w:highlight w:val="none"/>
        </w:rPr>
        <w:t>第二篇 项目服务需求</w:t>
      </w:r>
      <w:r>
        <w:rPr>
          <w:b/>
          <w:bCs/>
          <w:color w:val="auto"/>
          <w:highlight w:val="none"/>
        </w:rPr>
        <w:tab/>
      </w:r>
      <w:r>
        <w:rPr>
          <w:b/>
          <w:bCs/>
          <w:color w:val="auto"/>
          <w:highlight w:val="none"/>
        </w:rPr>
        <w:fldChar w:fldCharType="begin"/>
      </w:r>
      <w:r>
        <w:rPr>
          <w:b/>
          <w:bCs/>
          <w:color w:val="auto"/>
          <w:highlight w:val="none"/>
        </w:rPr>
        <w:instrText xml:space="preserve"> PAGEREF _Toc7254 \h </w:instrText>
      </w:r>
      <w:r>
        <w:rPr>
          <w:b/>
          <w:bCs/>
          <w:color w:val="auto"/>
          <w:highlight w:val="none"/>
        </w:rPr>
        <w:fldChar w:fldCharType="separate"/>
      </w:r>
      <w:r>
        <w:rPr>
          <w:b/>
          <w:bCs/>
          <w:color w:val="auto"/>
          <w:highlight w:val="none"/>
        </w:rPr>
        <w:t>- 7 -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"_Toc4340" </w:instrText>
      </w:r>
      <w:r>
        <w:rPr>
          <w:color w:val="auto"/>
          <w:highlight w:val="none"/>
        </w:rPr>
        <w:fldChar w:fldCharType="separate"/>
      </w:r>
      <w:r>
        <w:rPr>
          <w:rFonts w:hint="eastAsia" w:cs="宋体"/>
          <w:color w:val="auto"/>
          <w:szCs w:val="24"/>
          <w:highlight w:val="none"/>
        </w:rPr>
        <w:t>一、招标项目一览表</w:t>
      </w:r>
      <w:r>
        <w:rPr>
          <w:color w:val="auto"/>
          <w:highlight w:val="none"/>
        </w:rPr>
        <w:tab/>
      </w:r>
      <w:r>
        <w:rPr>
          <w:color w:val="auto"/>
          <w:highlight w:val="none"/>
        </w:rPr>
        <w:fldChar w:fldCharType="begin"/>
      </w:r>
      <w:r>
        <w:rPr>
          <w:color w:val="auto"/>
          <w:highlight w:val="none"/>
        </w:rPr>
        <w:instrText xml:space="preserve"> PAGEREF _Toc4340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"_Toc7673" </w:instrText>
      </w:r>
      <w:r>
        <w:rPr>
          <w:color w:val="auto"/>
          <w:highlight w:val="none"/>
        </w:rPr>
        <w:fldChar w:fldCharType="separate"/>
      </w:r>
      <w:r>
        <w:rPr>
          <w:rFonts w:hint="eastAsia" w:cs="宋体"/>
          <w:color w:val="auto"/>
          <w:szCs w:val="24"/>
          <w:highlight w:val="none"/>
        </w:rPr>
        <w:t>二、项目功能和质量要求</w:t>
      </w:r>
      <w:r>
        <w:rPr>
          <w:color w:val="auto"/>
          <w:highlight w:val="none"/>
        </w:rPr>
        <w:tab/>
      </w:r>
      <w:r>
        <w:rPr>
          <w:color w:val="auto"/>
          <w:highlight w:val="none"/>
        </w:rPr>
        <w:fldChar w:fldCharType="begin"/>
      </w:r>
      <w:r>
        <w:rPr>
          <w:color w:val="auto"/>
          <w:highlight w:val="none"/>
        </w:rPr>
        <w:instrText xml:space="preserve"> PAGEREF _Toc7673 \h </w:instrText>
      </w:r>
      <w:r>
        <w:rPr>
          <w:color w:val="auto"/>
          <w:highlight w:val="none"/>
        </w:rPr>
        <w:fldChar w:fldCharType="separate"/>
      </w:r>
      <w:r>
        <w:rPr>
          <w:color w:val="auto"/>
          <w:highlight w:val="none"/>
        </w:rPr>
        <w:t>- 7 -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"_Toc6868" </w:instrText>
      </w:r>
      <w:r>
        <w:rPr>
          <w:color w:val="auto"/>
          <w:highlight w:val="none"/>
        </w:rPr>
        <w:fldChar w:fldCharType="separate"/>
      </w:r>
      <w:r>
        <w:rPr>
          <w:rFonts w:hint="eastAsia" w:cs="宋体"/>
          <w:color w:val="auto"/>
          <w:szCs w:val="24"/>
          <w:highlight w:val="none"/>
        </w:rPr>
        <w:t>三</w:t>
      </w:r>
      <w:r>
        <w:rPr>
          <w:rFonts w:hint="eastAsia" w:cs="宋体"/>
          <w:color w:val="auto"/>
          <w:szCs w:val="24"/>
          <w:highlight w:val="none"/>
          <w:lang w:eastAsia="zh-Hans"/>
        </w:rPr>
        <w:t>、项目服务技术要求</w:t>
      </w:r>
      <w:r>
        <w:rPr>
          <w:color w:val="auto"/>
          <w:highlight w:val="none"/>
        </w:rPr>
        <w:tab/>
      </w:r>
      <w:r>
        <w:rPr>
          <w:color w:val="auto"/>
          <w:highlight w:val="none"/>
        </w:rPr>
        <w:fldChar w:fldCharType="begin"/>
      </w:r>
      <w:r>
        <w:rPr>
          <w:color w:val="auto"/>
          <w:highlight w:val="none"/>
        </w:rPr>
        <w:instrText xml:space="preserve"> PAGEREF _Toc6868 \h </w:instrText>
      </w:r>
      <w:r>
        <w:rPr>
          <w:color w:val="auto"/>
          <w:highlight w:val="none"/>
        </w:rPr>
        <w:fldChar w:fldCharType="separate"/>
      </w:r>
      <w:r>
        <w:rPr>
          <w:color w:val="auto"/>
          <w:highlight w:val="none"/>
        </w:rPr>
        <w:t>- 8 -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"_Toc29182" </w:instrText>
      </w:r>
      <w:r>
        <w:rPr>
          <w:color w:val="auto"/>
          <w:highlight w:val="none"/>
        </w:rPr>
        <w:fldChar w:fldCharType="separate"/>
      </w:r>
      <w:r>
        <w:rPr>
          <w:rFonts w:hint="eastAsia" w:cs="宋体"/>
          <w:bCs/>
          <w:color w:val="auto"/>
          <w:szCs w:val="24"/>
          <w:highlight w:val="none"/>
        </w:rPr>
        <w:t>四</w:t>
      </w:r>
      <w:r>
        <w:rPr>
          <w:rFonts w:hint="eastAsia"/>
          <w:bCs/>
          <w:color w:val="auto"/>
          <w:szCs w:val="24"/>
          <w:highlight w:val="none"/>
        </w:rPr>
        <w:t>、其它技术要求</w:t>
      </w:r>
      <w:r>
        <w:rPr>
          <w:color w:val="auto"/>
          <w:highlight w:val="none"/>
        </w:rPr>
        <w:tab/>
      </w:r>
      <w:r>
        <w:rPr>
          <w:color w:val="auto"/>
          <w:highlight w:val="none"/>
        </w:rPr>
        <w:fldChar w:fldCharType="begin"/>
      </w:r>
      <w:r>
        <w:rPr>
          <w:color w:val="auto"/>
          <w:highlight w:val="none"/>
        </w:rPr>
        <w:instrText xml:space="preserve"> PAGEREF _Toc29182 \h </w:instrText>
      </w:r>
      <w:r>
        <w:rPr>
          <w:color w:val="auto"/>
          <w:highlight w:val="none"/>
        </w:rPr>
        <w:fldChar w:fldCharType="separate"/>
      </w:r>
      <w:r>
        <w:rPr>
          <w:color w:val="auto"/>
          <w:highlight w:val="none"/>
        </w:rPr>
        <w:t>- 15 -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"_Toc30301" </w:instrText>
      </w:r>
      <w:r>
        <w:rPr>
          <w:color w:val="auto"/>
          <w:highlight w:val="none"/>
        </w:rPr>
        <w:fldChar w:fldCharType="separate"/>
      </w:r>
      <w:r>
        <w:rPr>
          <w:rFonts w:hint="eastAsia" w:cs="宋体"/>
          <w:bCs/>
          <w:color w:val="auto"/>
          <w:szCs w:val="24"/>
          <w:highlight w:val="none"/>
        </w:rPr>
        <w:t>五</w:t>
      </w:r>
      <w:r>
        <w:rPr>
          <w:rFonts w:hint="eastAsia"/>
          <w:bCs/>
          <w:color w:val="auto"/>
          <w:szCs w:val="24"/>
          <w:highlight w:val="none"/>
        </w:rPr>
        <w:t>、</w:t>
      </w:r>
      <w:r>
        <w:rPr>
          <w:rFonts w:hint="eastAsia" w:cs="宋体"/>
          <w:bCs/>
          <w:color w:val="auto"/>
          <w:szCs w:val="24"/>
          <w:highlight w:val="none"/>
        </w:rPr>
        <w:t>演示环节</w:t>
      </w:r>
      <w:r>
        <w:rPr>
          <w:color w:val="auto"/>
          <w:highlight w:val="none"/>
        </w:rPr>
        <w:tab/>
      </w:r>
      <w:r>
        <w:rPr>
          <w:color w:val="auto"/>
          <w:highlight w:val="none"/>
        </w:rPr>
        <w:fldChar w:fldCharType="begin"/>
      </w:r>
      <w:r>
        <w:rPr>
          <w:color w:val="auto"/>
          <w:highlight w:val="none"/>
        </w:rPr>
        <w:instrText xml:space="preserve"> PAGEREF _Toc30301 \h </w:instrText>
      </w:r>
      <w:r>
        <w:rPr>
          <w:color w:val="auto"/>
          <w:highlight w:val="none"/>
        </w:rPr>
        <w:fldChar w:fldCharType="separate"/>
      </w:r>
      <w:r>
        <w:rPr>
          <w:color w:val="auto"/>
          <w:highlight w:val="none"/>
        </w:rPr>
        <w:t>- 17 -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"_Toc25309" </w:instrText>
      </w:r>
      <w:r>
        <w:rPr>
          <w:color w:val="auto"/>
          <w:highlight w:val="none"/>
        </w:rPr>
        <w:fldChar w:fldCharType="separate"/>
      </w:r>
      <w:r>
        <w:rPr>
          <w:rFonts w:hint="eastAsia" w:ascii="宋体" w:hAnsi="宋体" w:cs="宋体"/>
          <w:b/>
          <w:bCs/>
          <w:color w:val="auto"/>
          <w:highlight w:val="none"/>
        </w:rPr>
        <w:t>第三篇  项目商务要求</w:t>
      </w:r>
      <w:r>
        <w:rPr>
          <w:b/>
          <w:bCs/>
          <w:color w:val="auto"/>
          <w:highlight w:val="none"/>
        </w:rPr>
        <w:tab/>
      </w:r>
      <w:r>
        <w:rPr>
          <w:b/>
          <w:bCs/>
          <w:color w:val="auto"/>
          <w:highlight w:val="none"/>
        </w:rPr>
        <w:fldChar w:fldCharType="begin"/>
      </w:r>
      <w:r>
        <w:rPr>
          <w:b/>
          <w:bCs/>
          <w:color w:val="auto"/>
          <w:highlight w:val="none"/>
        </w:rPr>
        <w:instrText xml:space="preserve"> PAGEREF _Toc25309 \h </w:instrText>
      </w:r>
      <w:r>
        <w:rPr>
          <w:b/>
          <w:bCs/>
          <w:color w:val="auto"/>
          <w:highlight w:val="none"/>
        </w:rPr>
        <w:fldChar w:fldCharType="separate"/>
      </w:r>
      <w:r>
        <w:rPr>
          <w:b/>
          <w:bCs/>
          <w:color w:val="auto"/>
          <w:highlight w:val="none"/>
        </w:rPr>
        <w:t>- 20 -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"_Toc11001" </w:instrText>
      </w:r>
      <w:r>
        <w:rPr>
          <w:color w:val="auto"/>
          <w:highlight w:val="none"/>
        </w:rPr>
        <w:fldChar w:fldCharType="separate"/>
      </w:r>
      <w:r>
        <w:rPr>
          <w:rFonts w:hint="eastAsia"/>
          <w:color w:val="auto"/>
          <w:highlight w:val="none"/>
        </w:rPr>
        <w:t>一、交付期、交货地点及验收方式</w:t>
      </w:r>
      <w:r>
        <w:rPr>
          <w:color w:val="auto"/>
          <w:highlight w:val="none"/>
        </w:rPr>
        <w:tab/>
      </w:r>
      <w:r>
        <w:rPr>
          <w:color w:val="auto"/>
          <w:highlight w:val="none"/>
        </w:rPr>
        <w:fldChar w:fldCharType="begin"/>
      </w:r>
      <w:r>
        <w:rPr>
          <w:color w:val="auto"/>
          <w:highlight w:val="none"/>
        </w:rPr>
        <w:instrText xml:space="preserve"> PAGEREF _Toc11001 \h </w:instrText>
      </w:r>
      <w:r>
        <w:rPr>
          <w:color w:val="auto"/>
          <w:highlight w:val="none"/>
        </w:rPr>
        <w:fldChar w:fldCharType="separate"/>
      </w:r>
      <w:r>
        <w:rPr>
          <w:color w:val="auto"/>
          <w:highlight w:val="none"/>
        </w:rPr>
        <w:t>- 20 -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"_Toc31359" </w:instrText>
      </w:r>
      <w:r>
        <w:rPr>
          <w:color w:val="auto"/>
          <w:highlight w:val="none"/>
        </w:rPr>
        <w:fldChar w:fldCharType="separate"/>
      </w:r>
      <w:r>
        <w:rPr>
          <w:rFonts w:hint="eastAsia"/>
          <w:color w:val="auto"/>
          <w:szCs w:val="22"/>
          <w:highlight w:val="none"/>
        </w:rPr>
        <w:t>二、报价要求</w:t>
      </w:r>
      <w:r>
        <w:rPr>
          <w:color w:val="auto"/>
          <w:highlight w:val="none"/>
        </w:rPr>
        <w:tab/>
      </w:r>
      <w:r>
        <w:rPr>
          <w:color w:val="auto"/>
          <w:highlight w:val="none"/>
        </w:rPr>
        <w:fldChar w:fldCharType="begin"/>
      </w:r>
      <w:r>
        <w:rPr>
          <w:color w:val="auto"/>
          <w:highlight w:val="none"/>
        </w:rPr>
        <w:instrText xml:space="preserve"> PAGEREF _Toc31359 \h </w:instrText>
      </w:r>
      <w:r>
        <w:rPr>
          <w:color w:val="auto"/>
          <w:highlight w:val="none"/>
        </w:rPr>
        <w:fldChar w:fldCharType="separate"/>
      </w:r>
      <w:r>
        <w:rPr>
          <w:color w:val="auto"/>
          <w:highlight w:val="none"/>
        </w:rPr>
        <w:t>- 21 -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"_Toc25166" </w:instrText>
      </w:r>
      <w:r>
        <w:rPr>
          <w:color w:val="auto"/>
          <w:highlight w:val="none"/>
        </w:rPr>
        <w:fldChar w:fldCharType="separate"/>
      </w:r>
      <w:r>
        <w:rPr>
          <w:rFonts w:hint="eastAsia"/>
          <w:color w:val="auto"/>
          <w:szCs w:val="22"/>
          <w:highlight w:val="none"/>
        </w:rPr>
        <w:t>三、质量保证及售后服务</w:t>
      </w:r>
      <w:r>
        <w:rPr>
          <w:color w:val="auto"/>
          <w:highlight w:val="none"/>
        </w:rPr>
        <w:tab/>
      </w:r>
      <w:r>
        <w:rPr>
          <w:color w:val="auto"/>
          <w:highlight w:val="none"/>
        </w:rPr>
        <w:fldChar w:fldCharType="begin"/>
      </w:r>
      <w:r>
        <w:rPr>
          <w:color w:val="auto"/>
          <w:highlight w:val="none"/>
        </w:rPr>
        <w:instrText xml:space="preserve"> PAGEREF _Toc25166 \h </w:instrText>
      </w:r>
      <w:r>
        <w:rPr>
          <w:color w:val="auto"/>
          <w:highlight w:val="none"/>
        </w:rPr>
        <w:fldChar w:fldCharType="separate"/>
      </w:r>
      <w:r>
        <w:rPr>
          <w:color w:val="auto"/>
          <w:highlight w:val="none"/>
        </w:rPr>
        <w:t>- 21 -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"_Toc32241" </w:instrText>
      </w:r>
      <w:r>
        <w:rPr>
          <w:color w:val="auto"/>
          <w:highlight w:val="none"/>
        </w:rPr>
        <w:fldChar w:fldCharType="separate"/>
      </w:r>
      <w:r>
        <w:rPr>
          <w:color w:val="auto"/>
          <w:highlight w:val="none"/>
        </w:rPr>
        <w:t>四、付款方式</w:t>
      </w:r>
      <w:r>
        <w:rPr>
          <w:color w:val="auto"/>
          <w:highlight w:val="none"/>
        </w:rPr>
        <w:tab/>
      </w:r>
      <w:r>
        <w:rPr>
          <w:color w:val="auto"/>
          <w:highlight w:val="none"/>
        </w:rPr>
        <w:fldChar w:fldCharType="begin"/>
      </w:r>
      <w:r>
        <w:rPr>
          <w:color w:val="auto"/>
          <w:highlight w:val="none"/>
        </w:rPr>
        <w:instrText xml:space="preserve"> PAGEREF _Toc32241 \h </w:instrText>
      </w:r>
      <w:r>
        <w:rPr>
          <w:color w:val="auto"/>
          <w:highlight w:val="none"/>
        </w:rPr>
        <w:fldChar w:fldCharType="separate"/>
      </w:r>
      <w:r>
        <w:rPr>
          <w:color w:val="auto"/>
          <w:highlight w:val="none"/>
        </w:rPr>
        <w:t>- 22 -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"_Toc28484" </w:instrText>
      </w:r>
      <w:r>
        <w:rPr>
          <w:color w:val="auto"/>
          <w:highlight w:val="none"/>
        </w:rPr>
        <w:fldChar w:fldCharType="separate"/>
      </w:r>
      <w:r>
        <w:rPr>
          <w:color w:val="auto"/>
          <w:highlight w:val="none"/>
        </w:rPr>
        <w:t>五、履约保证金</w:t>
      </w:r>
      <w:r>
        <w:rPr>
          <w:color w:val="auto"/>
          <w:highlight w:val="none"/>
        </w:rPr>
        <w:tab/>
      </w:r>
      <w:r>
        <w:rPr>
          <w:color w:val="auto"/>
          <w:highlight w:val="none"/>
        </w:rPr>
        <w:fldChar w:fldCharType="begin"/>
      </w:r>
      <w:r>
        <w:rPr>
          <w:color w:val="auto"/>
          <w:highlight w:val="none"/>
        </w:rPr>
        <w:instrText xml:space="preserve"> PAGEREF _Toc28484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"_Toc22081" </w:instrText>
      </w:r>
      <w:r>
        <w:rPr>
          <w:color w:val="auto"/>
          <w:highlight w:val="none"/>
        </w:rPr>
        <w:fldChar w:fldCharType="separate"/>
      </w:r>
      <w:r>
        <w:rPr>
          <w:color w:val="auto"/>
          <w:highlight w:val="none"/>
        </w:rPr>
        <w:t>六、知识产权</w:t>
      </w:r>
      <w:r>
        <w:rPr>
          <w:color w:val="auto"/>
          <w:highlight w:val="none"/>
        </w:rPr>
        <w:tab/>
      </w:r>
      <w:r>
        <w:rPr>
          <w:color w:val="auto"/>
          <w:highlight w:val="none"/>
        </w:rPr>
        <w:fldChar w:fldCharType="begin"/>
      </w:r>
      <w:r>
        <w:rPr>
          <w:color w:val="auto"/>
          <w:highlight w:val="none"/>
        </w:rPr>
        <w:instrText xml:space="preserve"> PAGEREF _Toc22081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"_Toc6490" </w:instrText>
      </w:r>
      <w:r>
        <w:rPr>
          <w:color w:val="auto"/>
          <w:highlight w:val="none"/>
        </w:rPr>
        <w:fldChar w:fldCharType="separate"/>
      </w:r>
      <w:r>
        <w:rPr>
          <w:rFonts w:hint="eastAsia"/>
          <w:color w:val="auto"/>
          <w:szCs w:val="22"/>
          <w:highlight w:val="none"/>
        </w:rPr>
        <w:t>七、培训及二次开发</w:t>
      </w:r>
      <w:r>
        <w:rPr>
          <w:color w:val="auto"/>
          <w:highlight w:val="none"/>
        </w:rPr>
        <w:tab/>
      </w:r>
      <w:r>
        <w:rPr>
          <w:color w:val="auto"/>
          <w:highlight w:val="none"/>
        </w:rPr>
        <w:fldChar w:fldCharType="begin"/>
      </w:r>
      <w:r>
        <w:rPr>
          <w:color w:val="auto"/>
          <w:highlight w:val="none"/>
        </w:rPr>
        <w:instrText xml:space="preserve"> PAGEREF _Toc6490 \h </w:instrText>
      </w:r>
      <w:r>
        <w:rPr>
          <w:color w:val="auto"/>
          <w:highlight w:val="none"/>
        </w:rPr>
        <w:fldChar w:fldCharType="separate"/>
      </w:r>
      <w:r>
        <w:rPr>
          <w:color w:val="auto"/>
          <w:highlight w:val="none"/>
        </w:rPr>
        <w:t>- 23 -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"_Toc11536" </w:instrText>
      </w:r>
      <w:r>
        <w:rPr>
          <w:color w:val="auto"/>
          <w:highlight w:val="none"/>
        </w:rPr>
        <w:fldChar w:fldCharType="separate"/>
      </w:r>
      <w:r>
        <w:rPr>
          <w:rFonts w:hint="eastAsia"/>
          <w:color w:val="auto"/>
          <w:szCs w:val="22"/>
          <w:highlight w:val="none"/>
        </w:rPr>
        <w:t>八、违约责任</w:t>
      </w:r>
      <w:r>
        <w:rPr>
          <w:color w:val="auto"/>
          <w:highlight w:val="none"/>
        </w:rPr>
        <w:tab/>
      </w:r>
      <w:r>
        <w:rPr>
          <w:color w:val="auto"/>
          <w:highlight w:val="none"/>
        </w:rPr>
        <w:fldChar w:fldCharType="begin"/>
      </w:r>
      <w:r>
        <w:rPr>
          <w:color w:val="auto"/>
          <w:highlight w:val="none"/>
        </w:rPr>
        <w:instrText xml:space="preserve"> PAGEREF _Toc11536 \h </w:instrText>
      </w:r>
      <w:r>
        <w:rPr>
          <w:color w:val="auto"/>
          <w:highlight w:val="none"/>
        </w:rPr>
        <w:fldChar w:fldCharType="separate"/>
      </w:r>
      <w:r>
        <w:rPr>
          <w:color w:val="auto"/>
          <w:highlight w:val="none"/>
        </w:rPr>
        <w:t>- 24 -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"_Toc19291" </w:instrText>
      </w:r>
      <w:r>
        <w:rPr>
          <w:color w:val="auto"/>
          <w:highlight w:val="none"/>
        </w:rPr>
        <w:fldChar w:fldCharType="separate"/>
      </w:r>
      <w:r>
        <w:rPr>
          <w:rFonts w:hint="eastAsia" w:ascii="宋体" w:hAnsi="宋体" w:cs="宋体"/>
          <w:b/>
          <w:bCs/>
          <w:color w:val="auto"/>
          <w:highlight w:val="none"/>
        </w:rPr>
        <w:t>第四篇 资格审查及评标办法</w:t>
      </w:r>
      <w:r>
        <w:rPr>
          <w:b/>
          <w:bCs/>
          <w:color w:val="auto"/>
          <w:highlight w:val="none"/>
        </w:rPr>
        <w:tab/>
      </w:r>
      <w:r>
        <w:rPr>
          <w:b/>
          <w:bCs/>
          <w:color w:val="auto"/>
          <w:highlight w:val="none"/>
        </w:rPr>
        <w:fldChar w:fldCharType="begin"/>
      </w:r>
      <w:r>
        <w:rPr>
          <w:b/>
          <w:bCs/>
          <w:color w:val="auto"/>
          <w:highlight w:val="none"/>
        </w:rPr>
        <w:instrText xml:space="preserve"> PAGEREF _Toc19291 \h </w:instrText>
      </w:r>
      <w:r>
        <w:rPr>
          <w:b/>
          <w:bCs/>
          <w:color w:val="auto"/>
          <w:highlight w:val="none"/>
        </w:rPr>
        <w:fldChar w:fldCharType="separate"/>
      </w:r>
      <w:r>
        <w:rPr>
          <w:b/>
          <w:bCs/>
          <w:color w:val="auto"/>
          <w:highlight w:val="none"/>
        </w:rPr>
        <w:t>- 25 -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"_Toc21223" </w:instrText>
      </w:r>
      <w:r>
        <w:rPr>
          <w:color w:val="auto"/>
          <w:highlight w:val="none"/>
        </w:rPr>
        <w:fldChar w:fldCharType="separate"/>
      </w:r>
      <w:r>
        <w:rPr>
          <w:rFonts w:hint="eastAsia" w:cs="宋体"/>
          <w:color w:val="auto"/>
          <w:szCs w:val="24"/>
          <w:highlight w:val="none"/>
        </w:rPr>
        <w:t>一、资格审查</w:t>
      </w:r>
      <w:r>
        <w:rPr>
          <w:color w:val="auto"/>
          <w:highlight w:val="none"/>
        </w:rPr>
        <w:tab/>
      </w:r>
      <w:r>
        <w:rPr>
          <w:color w:val="auto"/>
          <w:highlight w:val="none"/>
        </w:rPr>
        <w:fldChar w:fldCharType="begin"/>
      </w:r>
      <w:r>
        <w:rPr>
          <w:color w:val="auto"/>
          <w:highlight w:val="none"/>
        </w:rPr>
        <w:instrText xml:space="preserve"> PAGEREF _Toc21223 \h </w:instrText>
      </w:r>
      <w:r>
        <w:rPr>
          <w:color w:val="auto"/>
          <w:highlight w:val="none"/>
        </w:rPr>
        <w:fldChar w:fldCharType="separate"/>
      </w:r>
      <w:r>
        <w:rPr>
          <w:color w:val="auto"/>
          <w:highlight w:val="none"/>
        </w:rPr>
        <w:t>- 25 -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"_Toc2287" </w:instrText>
      </w:r>
      <w:r>
        <w:rPr>
          <w:color w:val="auto"/>
          <w:highlight w:val="none"/>
        </w:rPr>
        <w:fldChar w:fldCharType="separate"/>
      </w:r>
      <w:r>
        <w:rPr>
          <w:rFonts w:hint="eastAsia" w:cs="宋体"/>
          <w:color w:val="auto"/>
          <w:szCs w:val="24"/>
          <w:highlight w:val="none"/>
        </w:rPr>
        <w:t>二、评标方法</w:t>
      </w:r>
      <w:r>
        <w:rPr>
          <w:color w:val="auto"/>
          <w:highlight w:val="none"/>
        </w:rPr>
        <w:tab/>
      </w:r>
      <w:r>
        <w:rPr>
          <w:color w:val="auto"/>
          <w:highlight w:val="none"/>
        </w:rPr>
        <w:fldChar w:fldCharType="begin"/>
      </w:r>
      <w:r>
        <w:rPr>
          <w:color w:val="auto"/>
          <w:highlight w:val="none"/>
        </w:rPr>
        <w:instrText xml:space="preserve"> PAGEREF _Toc2287 \h </w:instrText>
      </w:r>
      <w:r>
        <w:rPr>
          <w:color w:val="auto"/>
          <w:highlight w:val="none"/>
        </w:rPr>
        <w:fldChar w:fldCharType="separate"/>
      </w:r>
      <w:r>
        <w:rPr>
          <w:color w:val="auto"/>
          <w:highlight w:val="none"/>
        </w:rPr>
        <w:t>- 26 -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"_Toc25860" </w:instrText>
      </w:r>
      <w:r>
        <w:rPr>
          <w:color w:val="auto"/>
          <w:highlight w:val="none"/>
        </w:rPr>
        <w:fldChar w:fldCharType="separate"/>
      </w:r>
      <w:r>
        <w:rPr>
          <w:rFonts w:hint="eastAsia" w:cs="宋体"/>
          <w:color w:val="auto"/>
          <w:szCs w:val="24"/>
          <w:highlight w:val="none"/>
        </w:rPr>
        <w:t>三、评标标准</w:t>
      </w:r>
      <w:r>
        <w:rPr>
          <w:color w:val="auto"/>
          <w:highlight w:val="none"/>
        </w:rPr>
        <w:tab/>
      </w:r>
      <w:r>
        <w:rPr>
          <w:color w:val="auto"/>
          <w:highlight w:val="none"/>
        </w:rPr>
        <w:fldChar w:fldCharType="begin"/>
      </w:r>
      <w:r>
        <w:rPr>
          <w:color w:val="auto"/>
          <w:highlight w:val="none"/>
        </w:rPr>
        <w:instrText xml:space="preserve"> PAGEREF _Toc25860 \h </w:instrText>
      </w:r>
      <w:r>
        <w:rPr>
          <w:color w:val="auto"/>
          <w:highlight w:val="none"/>
        </w:rPr>
        <w:fldChar w:fldCharType="separate"/>
      </w:r>
      <w:r>
        <w:rPr>
          <w:color w:val="auto"/>
          <w:highlight w:val="none"/>
        </w:rPr>
        <w:t>- 27 -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"_Toc27049" </w:instrText>
      </w:r>
      <w:r>
        <w:rPr>
          <w:color w:val="auto"/>
          <w:highlight w:val="none"/>
        </w:rPr>
        <w:fldChar w:fldCharType="separate"/>
      </w:r>
      <w:r>
        <w:rPr>
          <w:rFonts w:hint="eastAsia" w:ascii="宋体" w:hAnsi="宋体" w:cs="宋体"/>
          <w:b/>
          <w:bCs/>
          <w:color w:val="auto"/>
          <w:highlight w:val="none"/>
        </w:rPr>
        <w:t>第五篇  投标人须知</w:t>
      </w:r>
      <w:r>
        <w:rPr>
          <w:b/>
          <w:bCs/>
          <w:color w:val="auto"/>
          <w:highlight w:val="none"/>
        </w:rPr>
        <w:tab/>
      </w:r>
      <w:r>
        <w:rPr>
          <w:b/>
          <w:bCs/>
          <w:color w:val="auto"/>
          <w:highlight w:val="none"/>
        </w:rPr>
        <w:fldChar w:fldCharType="begin"/>
      </w:r>
      <w:r>
        <w:rPr>
          <w:b/>
          <w:bCs/>
          <w:color w:val="auto"/>
          <w:highlight w:val="none"/>
        </w:rPr>
        <w:instrText xml:space="preserve"> PAGEREF _Toc27049 \h </w:instrText>
      </w:r>
      <w:r>
        <w:rPr>
          <w:b/>
          <w:bCs/>
          <w:color w:val="auto"/>
          <w:highlight w:val="none"/>
        </w:rPr>
        <w:fldChar w:fldCharType="separate"/>
      </w:r>
      <w:r>
        <w:rPr>
          <w:b/>
          <w:bCs/>
          <w:color w:val="auto"/>
          <w:highlight w:val="none"/>
        </w:rPr>
        <w:t>- 32 -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"_Toc5819" </w:instrText>
      </w:r>
      <w:r>
        <w:rPr>
          <w:color w:val="auto"/>
          <w:highlight w:val="none"/>
        </w:rPr>
        <w:fldChar w:fldCharType="separate"/>
      </w:r>
      <w:r>
        <w:rPr>
          <w:rFonts w:hint="eastAsia" w:cs="宋体"/>
          <w:color w:val="auto"/>
          <w:highlight w:val="none"/>
        </w:rPr>
        <w:t>一、投标人</w:t>
      </w:r>
      <w:r>
        <w:rPr>
          <w:color w:val="auto"/>
          <w:highlight w:val="none"/>
        </w:rPr>
        <w:tab/>
      </w:r>
      <w:r>
        <w:rPr>
          <w:color w:val="auto"/>
          <w:highlight w:val="none"/>
        </w:rPr>
        <w:fldChar w:fldCharType="begin"/>
      </w:r>
      <w:r>
        <w:rPr>
          <w:color w:val="auto"/>
          <w:highlight w:val="none"/>
        </w:rPr>
        <w:instrText xml:space="preserve"> PAGEREF _Toc5819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"_Toc3448" </w:instrText>
      </w:r>
      <w:r>
        <w:rPr>
          <w:color w:val="auto"/>
          <w:highlight w:val="none"/>
        </w:rPr>
        <w:fldChar w:fldCharType="separate"/>
      </w:r>
      <w:r>
        <w:rPr>
          <w:rFonts w:hint="eastAsia"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_Toc3448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"_Toc25239" </w:instrText>
      </w:r>
      <w:r>
        <w:rPr>
          <w:color w:val="auto"/>
          <w:highlight w:val="none"/>
        </w:rPr>
        <w:fldChar w:fldCharType="separate"/>
      </w:r>
      <w:r>
        <w:rPr>
          <w:rFonts w:hint="eastAsia" w:cs="宋体"/>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_Toc25239 \h </w:instrText>
      </w:r>
      <w:r>
        <w:rPr>
          <w:color w:val="auto"/>
          <w:highlight w:val="none"/>
        </w:rPr>
        <w:fldChar w:fldCharType="separate"/>
      </w:r>
      <w:r>
        <w:rPr>
          <w:color w:val="auto"/>
          <w:highlight w:val="none"/>
        </w:rPr>
        <w:t>- 32 -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"_Toc23974" </w:instrText>
      </w:r>
      <w:r>
        <w:rPr>
          <w:color w:val="auto"/>
          <w:highlight w:val="none"/>
        </w:rPr>
        <w:fldChar w:fldCharType="separate"/>
      </w:r>
      <w:r>
        <w:rPr>
          <w:rFonts w:hint="eastAsia" w:cs="宋体"/>
          <w:color w:val="auto"/>
          <w:highlight w:val="none"/>
        </w:rPr>
        <w:t>四、开标</w:t>
      </w:r>
      <w:r>
        <w:rPr>
          <w:color w:val="auto"/>
          <w:highlight w:val="none"/>
        </w:rPr>
        <w:tab/>
      </w:r>
      <w:r>
        <w:rPr>
          <w:color w:val="auto"/>
          <w:highlight w:val="none"/>
        </w:rPr>
        <w:fldChar w:fldCharType="begin"/>
      </w:r>
      <w:r>
        <w:rPr>
          <w:color w:val="auto"/>
          <w:highlight w:val="none"/>
        </w:rPr>
        <w:instrText xml:space="preserve"> PAGEREF _Toc23974 \h </w:instrText>
      </w:r>
      <w:r>
        <w:rPr>
          <w:color w:val="auto"/>
          <w:highlight w:val="none"/>
        </w:rPr>
        <w:fldChar w:fldCharType="separate"/>
      </w:r>
      <w:r>
        <w:rPr>
          <w:color w:val="auto"/>
          <w:highlight w:val="none"/>
        </w:rPr>
        <w:t>- 34 -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"_Toc18919" </w:instrText>
      </w:r>
      <w:r>
        <w:rPr>
          <w:color w:val="auto"/>
          <w:highlight w:val="none"/>
        </w:rPr>
        <w:fldChar w:fldCharType="separate"/>
      </w:r>
      <w:r>
        <w:rPr>
          <w:rFonts w:hint="eastAsia" w:cs="宋体"/>
          <w:color w:val="auto"/>
          <w:highlight w:val="none"/>
        </w:rPr>
        <w:t>五、评标</w:t>
      </w:r>
      <w:r>
        <w:rPr>
          <w:color w:val="auto"/>
          <w:highlight w:val="none"/>
        </w:rPr>
        <w:tab/>
      </w:r>
      <w:r>
        <w:rPr>
          <w:color w:val="auto"/>
          <w:highlight w:val="none"/>
        </w:rPr>
        <w:fldChar w:fldCharType="begin"/>
      </w:r>
      <w:r>
        <w:rPr>
          <w:color w:val="auto"/>
          <w:highlight w:val="none"/>
        </w:rPr>
        <w:instrText xml:space="preserve"> PAGEREF _Toc18919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"_Toc18121" </w:instrText>
      </w:r>
      <w:r>
        <w:rPr>
          <w:color w:val="auto"/>
          <w:highlight w:val="none"/>
        </w:rPr>
        <w:fldChar w:fldCharType="separate"/>
      </w:r>
      <w:r>
        <w:rPr>
          <w:rFonts w:hint="eastAsia" w:cs="宋体"/>
          <w:color w:val="auto"/>
          <w:highlight w:val="none"/>
        </w:rPr>
        <w:t>六、定标</w:t>
      </w:r>
      <w:r>
        <w:rPr>
          <w:color w:val="auto"/>
          <w:highlight w:val="none"/>
        </w:rPr>
        <w:tab/>
      </w:r>
      <w:r>
        <w:rPr>
          <w:color w:val="auto"/>
          <w:highlight w:val="none"/>
        </w:rPr>
        <w:fldChar w:fldCharType="begin"/>
      </w:r>
      <w:r>
        <w:rPr>
          <w:color w:val="auto"/>
          <w:highlight w:val="none"/>
        </w:rPr>
        <w:instrText xml:space="preserve"> PAGEREF _Toc18121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"_Toc15712" </w:instrText>
      </w:r>
      <w:r>
        <w:rPr>
          <w:color w:val="auto"/>
          <w:highlight w:val="none"/>
        </w:rPr>
        <w:fldChar w:fldCharType="separate"/>
      </w:r>
      <w:r>
        <w:rPr>
          <w:rFonts w:hint="eastAsia" w:cs="宋体"/>
          <w:color w:val="auto"/>
          <w:highlight w:val="none"/>
        </w:rPr>
        <w:t>七、中标</w:t>
      </w:r>
      <w:r>
        <w:rPr>
          <w:color w:val="auto"/>
          <w:highlight w:val="none"/>
        </w:rPr>
        <w:tab/>
      </w:r>
      <w:r>
        <w:rPr>
          <w:color w:val="auto"/>
          <w:highlight w:val="none"/>
        </w:rPr>
        <w:fldChar w:fldCharType="begin"/>
      </w:r>
      <w:r>
        <w:rPr>
          <w:color w:val="auto"/>
          <w:highlight w:val="none"/>
        </w:rPr>
        <w:instrText xml:space="preserve"> PAGEREF _Toc15712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"_Toc15192" </w:instrText>
      </w:r>
      <w:r>
        <w:rPr>
          <w:color w:val="auto"/>
          <w:highlight w:val="none"/>
        </w:rPr>
        <w:fldChar w:fldCharType="separate"/>
      </w:r>
      <w:r>
        <w:rPr>
          <w:rFonts w:hint="eastAsia" w:cs="宋体"/>
          <w:color w:val="auto"/>
          <w:highlight w:val="none"/>
        </w:rPr>
        <w:t>八、询问、质疑和投诉</w:t>
      </w:r>
      <w:r>
        <w:rPr>
          <w:color w:val="auto"/>
          <w:highlight w:val="none"/>
        </w:rPr>
        <w:tab/>
      </w:r>
      <w:r>
        <w:rPr>
          <w:color w:val="auto"/>
          <w:highlight w:val="none"/>
        </w:rPr>
        <w:fldChar w:fldCharType="begin"/>
      </w:r>
      <w:r>
        <w:rPr>
          <w:color w:val="auto"/>
          <w:highlight w:val="none"/>
        </w:rPr>
        <w:instrText xml:space="preserve"> PAGEREF _Toc15192 \h </w:instrText>
      </w:r>
      <w:r>
        <w:rPr>
          <w:color w:val="auto"/>
          <w:highlight w:val="none"/>
        </w:rPr>
        <w:fldChar w:fldCharType="separate"/>
      </w:r>
      <w:r>
        <w:rPr>
          <w:color w:val="auto"/>
          <w:highlight w:val="none"/>
        </w:rPr>
        <w:t>- 35 -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"_Toc24553" </w:instrText>
      </w:r>
      <w:r>
        <w:rPr>
          <w:color w:val="auto"/>
          <w:highlight w:val="none"/>
        </w:rPr>
        <w:fldChar w:fldCharType="separate"/>
      </w:r>
      <w:r>
        <w:rPr>
          <w:rFonts w:hint="eastAsia" w:cs="宋体"/>
          <w:color w:val="auto"/>
          <w:highlight w:val="none"/>
        </w:rPr>
        <w:t>九、签订合同</w:t>
      </w:r>
      <w:r>
        <w:rPr>
          <w:color w:val="auto"/>
          <w:highlight w:val="none"/>
        </w:rPr>
        <w:tab/>
      </w:r>
      <w:r>
        <w:rPr>
          <w:color w:val="auto"/>
          <w:highlight w:val="none"/>
        </w:rPr>
        <w:fldChar w:fldCharType="begin"/>
      </w:r>
      <w:r>
        <w:rPr>
          <w:color w:val="auto"/>
          <w:highlight w:val="none"/>
        </w:rPr>
        <w:instrText xml:space="preserve"> PAGEREF _Toc24553 \h </w:instrText>
      </w:r>
      <w:r>
        <w:rPr>
          <w:color w:val="auto"/>
          <w:highlight w:val="none"/>
        </w:rPr>
        <w:fldChar w:fldCharType="separate"/>
      </w:r>
      <w:r>
        <w:rPr>
          <w:color w:val="auto"/>
          <w:highlight w:val="none"/>
        </w:rPr>
        <w:t>- 37 -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"_Toc3005" </w:instrText>
      </w:r>
      <w:r>
        <w:rPr>
          <w:color w:val="auto"/>
          <w:highlight w:val="none"/>
        </w:rPr>
        <w:fldChar w:fldCharType="separate"/>
      </w:r>
      <w:r>
        <w:rPr>
          <w:rFonts w:hint="eastAsia" w:ascii="宋体" w:hAnsi="宋体" w:cs="宋体"/>
          <w:b/>
          <w:bCs/>
          <w:color w:val="auto"/>
          <w:highlight w:val="none"/>
        </w:rPr>
        <w:t>第六篇  合同主要条款和格式合同（样本）</w:t>
      </w:r>
      <w:r>
        <w:rPr>
          <w:b/>
          <w:bCs/>
          <w:color w:val="auto"/>
          <w:highlight w:val="none"/>
        </w:rPr>
        <w:tab/>
      </w:r>
      <w:r>
        <w:rPr>
          <w:b/>
          <w:bCs/>
          <w:color w:val="auto"/>
          <w:highlight w:val="none"/>
        </w:rPr>
        <w:fldChar w:fldCharType="begin"/>
      </w:r>
      <w:r>
        <w:rPr>
          <w:b/>
          <w:bCs/>
          <w:color w:val="auto"/>
          <w:highlight w:val="none"/>
        </w:rPr>
        <w:instrText xml:space="preserve"> PAGEREF _Toc3005 \h </w:instrText>
      </w:r>
      <w:r>
        <w:rPr>
          <w:b/>
          <w:bCs/>
          <w:color w:val="auto"/>
          <w:highlight w:val="none"/>
        </w:rPr>
        <w:fldChar w:fldCharType="separate"/>
      </w:r>
      <w:r>
        <w:rPr>
          <w:b/>
          <w:bCs/>
          <w:color w:val="auto"/>
          <w:highlight w:val="none"/>
        </w:rPr>
        <w:t>- 38 -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"_Toc7388" </w:instrText>
      </w:r>
      <w:r>
        <w:rPr>
          <w:color w:val="auto"/>
          <w:highlight w:val="none"/>
        </w:rPr>
        <w:fldChar w:fldCharType="separate"/>
      </w:r>
      <w:r>
        <w:rPr>
          <w:rFonts w:hint="eastAsia" w:cs="宋体"/>
          <w:color w:val="auto"/>
          <w:highlight w:val="none"/>
        </w:rPr>
        <w:t>一、采购合同（格式）</w:t>
      </w:r>
      <w:r>
        <w:rPr>
          <w:color w:val="auto"/>
          <w:highlight w:val="none"/>
        </w:rPr>
        <w:tab/>
      </w:r>
      <w:r>
        <w:rPr>
          <w:color w:val="auto"/>
          <w:highlight w:val="none"/>
        </w:rPr>
        <w:fldChar w:fldCharType="begin"/>
      </w:r>
      <w:r>
        <w:rPr>
          <w:color w:val="auto"/>
          <w:highlight w:val="none"/>
        </w:rPr>
        <w:instrText xml:space="preserve"> PAGEREF _Toc7388 \h </w:instrText>
      </w:r>
      <w:r>
        <w:rPr>
          <w:color w:val="auto"/>
          <w:highlight w:val="none"/>
        </w:rPr>
        <w:fldChar w:fldCharType="separate"/>
      </w:r>
      <w:r>
        <w:rPr>
          <w:color w:val="auto"/>
          <w:highlight w:val="none"/>
        </w:rPr>
        <w:t>- 38 -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"_Toc18458" </w:instrText>
      </w:r>
      <w:r>
        <w:rPr>
          <w:color w:val="auto"/>
          <w:highlight w:val="none"/>
        </w:rPr>
        <w:fldChar w:fldCharType="separate"/>
      </w:r>
      <w:r>
        <w:rPr>
          <w:rFonts w:hint="eastAsia" w:cs="宋体"/>
          <w:color w:val="auto"/>
          <w:highlight w:val="none"/>
        </w:rPr>
        <w:t>二、采购廉洁协议格式</w:t>
      </w:r>
      <w:r>
        <w:rPr>
          <w:color w:val="auto"/>
          <w:highlight w:val="none"/>
        </w:rPr>
        <w:tab/>
      </w:r>
      <w:r>
        <w:rPr>
          <w:color w:val="auto"/>
          <w:highlight w:val="none"/>
        </w:rPr>
        <w:fldChar w:fldCharType="begin"/>
      </w:r>
      <w:r>
        <w:rPr>
          <w:color w:val="auto"/>
          <w:highlight w:val="none"/>
        </w:rPr>
        <w:instrText xml:space="preserve"> PAGEREF _Toc18458 \h </w:instrText>
      </w:r>
      <w:r>
        <w:rPr>
          <w:color w:val="auto"/>
          <w:highlight w:val="none"/>
        </w:rPr>
        <w:fldChar w:fldCharType="separate"/>
      </w:r>
      <w:r>
        <w:rPr>
          <w:color w:val="auto"/>
          <w:highlight w:val="none"/>
        </w:rPr>
        <w:t>- 40 -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b/>
          <w:bCs/>
          <w:color w:val="auto"/>
          <w:highlight w:val="none"/>
        </w:rPr>
      </w:pPr>
      <w:r>
        <w:rPr>
          <w:color w:val="auto"/>
          <w:highlight w:val="none"/>
        </w:rPr>
        <w:fldChar w:fldCharType="begin"/>
      </w:r>
      <w:r>
        <w:rPr>
          <w:color w:val="auto"/>
          <w:highlight w:val="none"/>
        </w:rPr>
        <w:instrText xml:space="preserve"> HYPERLINK \l "_Toc5441" </w:instrText>
      </w:r>
      <w:r>
        <w:rPr>
          <w:color w:val="auto"/>
          <w:highlight w:val="none"/>
        </w:rPr>
        <w:fldChar w:fldCharType="separate"/>
      </w:r>
      <w:r>
        <w:rPr>
          <w:rFonts w:hint="eastAsia" w:ascii="宋体" w:hAnsi="宋体" w:cs="宋体"/>
          <w:b/>
          <w:bCs/>
          <w:color w:val="auto"/>
          <w:highlight w:val="none"/>
        </w:rPr>
        <w:t>第七篇  投标文件格式</w:t>
      </w:r>
      <w:r>
        <w:rPr>
          <w:b/>
          <w:bCs/>
          <w:color w:val="auto"/>
          <w:highlight w:val="none"/>
        </w:rPr>
        <w:tab/>
      </w:r>
      <w:r>
        <w:rPr>
          <w:b/>
          <w:bCs/>
          <w:color w:val="auto"/>
          <w:highlight w:val="none"/>
        </w:rPr>
        <w:fldChar w:fldCharType="begin"/>
      </w:r>
      <w:r>
        <w:rPr>
          <w:b/>
          <w:bCs/>
          <w:color w:val="auto"/>
          <w:highlight w:val="none"/>
        </w:rPr>
        <w:instrText xml:space="preserve"> PAGEREF _Toc5441 \h </w:instrText>
      </w:r>
      <w:r>
        <w:rPr>
          <w:b/>
          <w:bCs/>
          <w:color w:val="auto"/>
          <w:highlight w:val="none"/>
        </w:rPr>
        <w:fldChar w:fldCharType="separate"/>
      </w:r>
      <w:r>
        <w:rPr>
          <w:b/>
          <w:bCs/>
          <w:color w:val="auto"/>
          <w:highlight w:val="none"/>
        </w:rPr>
        <w:t>- 41 -</w:t>
      </w:r>
      <w:r>
        <w:rPr>
          <w:b/>
          <w:bCs/>
          <w:color w:val="auto"/>
          <w:highlight w:val="none"/>
        </w:rPr>
        <w:fldChar w:fldCharType="end"/>
      </w:r>
      <w:r>
        <w:rPr>
          <w:b/>
          <w:bCs/>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"_Toc16669" </w:instrText>
      </w:r>
      <w:r>
        <w:rPr>
          <w:color w:val="auto"/>
          <w:highlight w:val="none"/>
        </w:rPr>
        <w:fldChar w:fldCharType="separate"/>
      </w:r>
      <w:r>
        <w:rPr>
          <w:rFonts w:hint="eastAsia" w:cs="宋体"/>
          <w:color w:val="auto"/>
          <w:szCs w:val="28"/>
          <w:highlight w:val="none"/>
        </w:rPr>
        <w:t>一、经济文件</w:t>
      </w:r>
      <w:r>
        <w:rPr>
          <w:color w:val="auto"/>
          <w:highlight w:val="none"/>
        </w:rPr>
        <w:tab/>
      </w:r>
      <w:r>
        <w:rPr>
          <w:color w:val="auto"/>
          <w:highlight w:val="none"/>
        </w:rPr>
        <w:fldChar w:fldCharType="begin"/>
      </w:r>
      <w:r>
        <w:rPr>
          <w:color w:val="auto"/>
          <w:highlight w:val="none"/>
        </w:rPr>
        <w:instrText xml:space="preserve"> PAGEREF _Toc16669 \h </w:instrText>
      </w:r>
      <w:r>
        <w:rPr>
          <w:color w:val="auto"/>
          <w:highlight w:val="none"/>
        </w:rPr>
        <w:fldChar w:fldCharType="separate"/>
      </w:r>
      <w:r>
        <w:rPr>
          <w:color w:val="auto"/>
          <w:highlight w:val="none"/>
        </w:rPr>
        <w:t>- 42 -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"_Toc17345" </w:instrText>
      </w:r>
      <w:r>
        <w:rPr>
          <w:color w:val="auto"/>
          <w:highlight w:val="none"/>
        </w:rPr>
        <w:fldChar w:fldCharType="separate"/>
      </w:r>
      <w:r>
        <w:rPr>
          <w:rFonts w:hint="eastAsia" w:cs="宋体"/>
          <w:color w:val="auto"/>
          <w:szCs w:val="28"/>
          <w:highlight w:val="none"/>
        </w:rPr>
        <w:t>二、服务部分</w:t>
      </w:r>
      <w:r>
        <w:rPr>
          <w:color w:val="auto"/>
          <w:highlight w:val="none"/>
        </w:rPr>
        <w:tab/>
      </w:r>
      <w:r>
        <w:rPr>
          <w:color w:val="auto"/>
          <w:highlight w:val="none"/>
        </w:rPr>
        <w:fldChar w:fldCharType="begin"/>
      </w:r>
      <w:r>
        <w:rPr>
          <w:color w:val="auto"/>
          <w:highlight w:val="none"/>
        </w:rPr>
        <w:instrText xml:space="preserve"> PAGEREF _Toc17345 \h </w:instrText>
      </w:r>
      <w:r>
        <w:rPr>
          <w:color w:val="auto"/>
          <w:highlight w:val="none"/>
        </w:rPr>
        <w:fldChar w:fldCharType="separate"/>
      </w:r>
      <w:r>
        <w:rPr>
          <w:color w:val="auto"/>
          <w:highlight w:val="none"/>
        </w:rPr>
        <w:t>- 44 -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"_Toc10396" </w:instrText>
      </w:r>
      <w:r>
        <w:rPr>
          <w:color w:val="auto"/>
          <w:highlight w:val="none"/>
        </w:rPr>
        <w:fldChar w:fldCharType="separate"/>
      </w:r>
      <w:r>
        <w:rPr>
          <w:rFonts w:hint="eastAsia" w:cs="宋体"/>
          <w:color w:val="auto"/>
          <w:szCs w:val="28"/>
          <w:highlight w:val="none"/>
        </w:rPr>
        <w:t>三、商务文件</w:t>
      </w:r>
      <w:r>
        <w:rPr>
          <w:color w:val="auto"/>
          <w:highlight w:val="none"/>
        </w:rPr>
        <w:tab/>
      </w:r>
      <w:r>
        <w:rPr>
          <w:color w:val="auto"/>
          <w:highlight w:val="none"/>
        </w:rPr>
        <w:fldChar w:fldCharType="begin"/>
      </w:r>
      <w:r>
        <w:rPr>
          <w:color w:val="auto"/>
          <w:highlight w:val="none"/>
        </w:rPr>
        <w:instrText xml:space="preserve"> PAGEREF _Toc10396 \h </w:instrText>
      </w:r>
      <w:r>
        <w:rPr>
          <w:color w:val="auto"/>
          <w:highlight w:val="none"/>
        </w:rPr>
        <w:fldChar w:fldCharType="separate"/>
      </w:r>
      <w:r>
        <w:rPr>
          <w:color w:val="auto"/>
          <w:highlight w:val="none"/>
        </w:rPr>
        <w:t>- 46 -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"_Toc30060" </w:instrText>
      </w:r>
      <w:r>
        <w:rPr>
          <w:color w:val="auto"/>
          <w:highlight w:val="none"/>
        </w:rPr>
        <w:fldChar w:fldCharType="separate"/>
      </w:r>
      <w:r>
        <w:rPr>
          <w:rFonts w:hint="eastAsia" w:cs="宋体"/>
          <w:color w:val="auto"/>
          <w:szCs w:val="28"/>
          <w:highlight w:val="none"/>
        </w:rPr>
        <w:t>四、其他</w:t>
      </w:r>
      <w:r>
        <w:rPr>
          <w:color w:val="auto"/>
          <w:highlight w:val="none"/>
        </w:rPr>
        <w:tab/>
      </w:r>
      <w:r>
        <w:rPr>
          <w:color w:val="auto"/>
          <w:highlight w:val="none"/>
        </w:rPr>
        <w:fldChar w:fldCharType="begin"/>
      </w:r>
      <w:r>
        <w:rPr>
          <w:color w:val="auto"/>
          <w:highlight w:val="none"/>
        </w:rPr>
        <w:instrText xml:space="preserve"> PAGEREF _Toc30060 \h </w:instrText>
      </w:r>
      <w:r>
        <w:rPr>
          <w:color w:val="auto"/>
          <w:highlight w:val="none"/>
        </w:rPr>
        <w:fldChar w:fldCharType="separate"/>
      </w:r>
      <w:r>
        <w:rPr>
          <w:color w:val="auto"/>
          <w:highlight w:val="none"/>
        </w:rPr>
        <w:t>- 49 -</w:t>
      </w:r>
      <w:r>
        <w:rPr>
          <w:color w:val="auto"/>
          <w:highlight w:val="none"/>
        </w:rPr>
        <w:fldChar w:fldCharType="end"/>
      </w:r>
      <w:r>
        <w:rPr>
          <w:color w:val="auto"/>
          <w:highlight w:val="none"/>
        </w:rPr>
        <w:fldChar w:fldCharType="end"/>
      </w:r>
    </w:p>
    <w:p>
      <w:pPr>
        <w:pStyle w:val="16"/>
        <w:tabs>
          <w:tab w:val="right" w:leader="dot" w:pos="9412"/>
          <w:tab w:val="clear" w:pos="8400"/>
        </w:tabs>
        <w:ind w:right="-255"/>
        <w:rPr>
          <w:color w:val="auto"/>
          <w:highlight w:val="none"/>
        </w:rPr>
      </w:pPr>
      <w:r>
        <w:rPr>
          <w:color w:val="auto"/>
          <w:highlight w:val="none"/>
        </w:rPr>
        <w:fldChar w:fldCharType="begin"/>
      </w:r>
      <w:r>
        <w:rPr>
          <w:color w:val="auto"/>
          <w:highlight w:val="none"/>
        </w:rPr>
        <w:instrText xml:space="preserve"> HYPERLINK \l "_Toc6084" </w:instrText>
      </w:r>
      <w:r>
        <w:rPr>
          <w:color w:val="auto"/>
          <w:highlight w:val="none"/>
        </w:rPr>
        <w:fldChar w:fldCharType="separate"/>
      </w:r>
      <w:r>
        <w:rPr>
          <w:rFonts w:hint="eastAsia" w:cs="宋体"/>
          <w:color w:val="auto"/>
          <w:szCs w:val="28"/>
          <w:highlight w:val="none"/>
        </w:rPr>
        <w:t>五、资格文件</w:t>
      </w:r>
      <w:r>
        <w:rPr>
          <w:color w:val="auto"/>
          <w:highlight w:val="none"/>
        </w:rPr>
        <w:tab/>
      </w:r>
      <w:r>
        <w:rPr>
          <w:color w:val="auto"/>
          <w:highlight w:val="none"/>
        </w:rPr>
        <w:fldChar w:fldCharType="begin"/>
      </w:r>
      <w:r>
        <w:rPr>
          <w:color w:val="auto"/>
          <w:highlight w:val="none"/>
        </w:rPr>
        <w:instrText xml:space="preserve"> PAGEREF _Toc6084 \h </w:instrText>
      </w:r>
      <w:r>
        <w:rPr>
          <w:color w:val="auto"/>
          <w:highlight w:val="none"/>
        </w:rPr>
        <w:fldChar w:fldCharType="separate"/>
      </w:r>
      <w:r>
        <w:rPr>
          <w:color w:val="auto"/>
          <w:highlight w:val="none"/>
        </w:rPr>
        <w:t>- 50 -</w:t>
      </w:r>
      <w:r>
        <w:rPr>
          <w:color w:val="auto"/>
          <w:highlight w:val="none"/>
        </w:rPr>
        <w:fldChar w:fldCharType="end"/>
      </w:r>
      <w:r>
        <w:rPr>
          <w:color w:val="auto"/>
          <w:highlight w:val="none"/>
        </w:rPr>
        <w:fldChar w:fldCharType="end"/>
      </w:r>
    </w:p>
    <w:p>
      <w:pPr>
        <w:pStyle w:val="15"/>
        <w:tabs>
          <w:tab w:val="right" w:leader="dot" w:pos="9412"/>
          <w:tab w:val="clear" w:pos="1260"/>
          <w:tab w:val="clear" w:pos="1685"/>
          <w:tab w:val="clear" w:pos="8400"/>
        </w:tabs>
        <w:rPr>
          <w:rFonts w:ascii="宋体" w:hAnsi="宋体" w:cs="宋体"/>
          <w:color w:val="auto"/>
          <w:sz w:val="32"/>
          <w:highlight w:val="none"/>
        </w:rPr>
        <w:sectPr>
          <w:pgSz w:w="11907" w:h="16840"/>
          <w:pgMar w:top="1134" w:right="1191" w:bottom="1134" w:left="1304" w:header="964" w:footer="992" w:gutter="0"/>
          <w:pgNumType w:fmt="numberInDash" w:start="1"/>
          <w:cols w:space="720" w:num="1"/>
          <w:docGrid w:linePitch="312" w:charSpace="0"/>
        </w:sectPr>
      </w:pPr>
      <w:r>
        <w:rPr>
          <w:rFonts w:hint="eastAsia" w:ascii="宋体" w:hAnsi="宋体" w:cs="宋体"/>
          <w:color w:val="auto"/>
          <w:szCs w:val="21"/>
          <w:highlight w:val="none"/>
        </w:rPr>
        <w:fldChar w:fldCharType="end"/>
      </w:r>
    </w:p>
    <w:p>
      <w:pPr>
        <w:pStyle w:val="3"/>
        <w:spacing w:before="0" w:beforeLines="0" w:after="0" w:afterLines="0" w:line="360" w:lineRule="auto"/>
        <w:rPr>
          <w:rFonts w:ascii="宋体" w:hAnsi="宋体" w:eastAsia="宋体" w:cs="宋体"/>
          <w:bCs/>
          <w:color w:val="auto"/>
          <w:highlight w:val="none"/>
        </w:rPr>
      </w:pPr>
      <w:bookmarkStart w:id="0" w:name="_Toc393"/>
      <w:r>
        <w:rPr>
          <w:rFonts w:hint="eastAsia" w:ascii="宋体" w:hAnsi="宋体" w:eastAsia="宋体" w:cs="宋体"/>
          <w:bCs/>
          <w:color w:val="auto"/>
          <w:highlight w:val="none"/>
        </w:rPr>
        <w:t>第一篇 投标邀请书</w:t>
      </w:r>
      <w:bookmarkEnd w:id="0"/>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重庆工商大学对重庆工商大学教学质量保障系统项目(采购项目编号：CTBU-JZ2023106)进行公开招标，欢迎有资格的投标人参加投标。</w:t>
      </w:r>
    </w:p>
    <w:p>
      <w:pPr>
        <w:pStyle w:val="4"/>
        <w:ind w:firstLine="482" w:firstLineChars="200"/>
        <w:rPr>
          <w:rFonts w:cs="宋体"/>
          <w:b/>
          <w:color w:val="auto"/>
          <w:sz w:val="24"/>
          <w:highlight w:val="none"/>
        </w:rPr>
      </w:pPr>
      <w:bookmarkStart w:id="1" w:name="_Toc29979"/>
      <w:r>
        <w:rPr>
          <w:rFonts w:hint="eastAsia" w:cs="宋体"/>
          <w:b/>
          <w:color w:val="auto"/>
          <w:sz w:val="24"/>
          <w:highlight w:val="none"/>
        </w:rPr>
        <w:t>一、招标项目内容</w:t>
      </w:r>
      <w:bookmarkEnd w:id="1"/>
    </w:p>
    <w:tbl>
      <w:tblPr>
        <w:tblStyle w:val="19"/>
        <w:tblW w:w="9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1721"/>
        <w:gridCol w:w="1550"/>
        <w:gridCol w:w="1651"/>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2800" w:type="dxa"/>
            <w:vAlign w:val="center"/>
          </w:tcPr>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包号及名称</w:t>
            </w:r>
          </w:p>
        </w:tc>
        <w:tc>
          <w:tcPr>
            <w:tcW w:w="1721" w:type="dxa"/>
            <w:vAlign w:val="center"/>
          </w:tcPr>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最高限价</w:t>
            </w:r>
          </w:p>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（元）</w:t>
            </w:r>
          </w:p>
        </w:tc>
        <w:tc>
          <w:tcPr>
            <w:tcW w:w="1550" w:type="dxa"/>
            <w:vAlign w:val="center"/>
          </w:tcPr>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投标保证金</w:t>
            </w:r>
          </w:p>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（元）</w:t>
            </w:r>
          </w:p>
        </w:tc>
        <w:tc>
          <w:tcPr>
            <w:tcW w:w="1651" w:type="dxa"/>
            <w:vAlign w:val="center"/>
          </w:tcPr>
          <w:p>
            <w:pPr>
              <w:pStyle w:val="8"/>
              <w:spacing w:line="36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中标人数量（名）</w:t>
            </w:r>
          </w:p>
        </w:tc>
        <w:tc>
          <w:tcPr>
            <w:tcW w:w="2268" w:type="dxa"/>
            <w:vAlign w:val="center"/>
          </w:tcPr>
          <w:p>
            <w:pPr>
              <w:pStyle w:val="8"/>
              <w:spacing w:line="36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2800" w:type="dxa"/>
            <w:vAlign w:val="center"/>
          </w:tcPr>
          <w:p>
            <w:pPr>
              <w:pStyle w:val="2"/>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重庆工商大学教学质量保障系统</w:t>
            </w:r>
            <w:r>
              <w:rPr>
                <w:rFonts w:ascii="宋体" w:hAnsi="宋体" w:cs="宋体"/>
                <w:color w:val="auto"/>
                <w:szCs w:val="24"/>
                <w:highlight w:val="none"/>
              </w:rPr>
              <w:t>项目</w:t>
            </w:r>
          </w:p>
        </w:tc>
        <w:tc>
          <w:tcPr>
            <w:tcW w:w="1721" w:type="dxa"/>
            <w:vAlign w:val="center"/>
          </w:tcPr>
          <w:p>
            <w:pPr>
              <w:pStyle w:val="8"/>
              <w:spacing w:line="36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490000</w:t>
            </w:r>
          </w:p>
        </w:tc>
        <w:tc>
          <w:tcPr>
            <w:tcW w:w="1550" w:type="dxa"/>
            <w:vAlign w:val="center"/>
          </w:tcPr>
          <w:p>
            <w:pPr>
              <w:pStyle w:val="2"/>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9800</w:t>
            </w:r>
          </w:p>
        </w:tc>
        <w:tc>
          <w:tcPr>
            <w:tcW w:w="1651" w:type="dxa"/>
            <w:vAlign w:val="center"/>
          </w:tcPr>
          <w:p>
            <w:pPr>
              <w:pStyle w:val="2"/>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1</w:t>
            </w:r>
          </w:p>
        </w:tc>
        <w:tc>
          <w:tcPr>
            <w:tcW w:w="2268" w:type="dxa"/>
            <w:vAlign w:val="center"/>
          </w:tcPr>
          <w:p>
            <w:pPr>
              <w:pStyle w:val="8"/>
              <w:spacing w:line="36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所供货物必须为中国关境内生产或服务须为关境内提供</w:t>
            </w:r>
          </w:p>
        </w:tc>
      </w:tr>
    </w:tbl>
    <w:p>
      <w:pPr>
        <w:pStyle w:val="4"/>
        <w:ind w:firstLine="482" w:firstLineChars="200"/>
        <w:rPr>
          <w:rFonts w:cs="宋体"/>
          <w:b/>
          <w:color w:val="auto"/>
          <w:sz w:val="24"/>
          <w:highlight w:val="none"/>
        </w:rPr>
      </w:pPr>
      <w:bookmarkStart w:id="2" w:name="_Toc6132"/>
      <w:r>
        <w:rPr>
          <w:rFonts w:hint="eastAsia" w:cs="宋体"/>
          <w:b/>
          <w:color w:val="auto"/>
          <w:sz w:val="24"/>
          <w:highlight w:val="none"/>
        </w:rPr>
        <w:t>二、资金来源</w:t>
      </w:r>
      <w:bookmarkEnd w:id="2"/>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单位自筹资金，预算金额为490000元。</w:t>
      </w:r>
    </w:p>
    <w:p>
      <w:pPr>
        <w:pStyle w:val="4"/>
        <w:ind w:firstLine="482" w:firstLineChars="200"/>
        <w:rPr>
          <w:rFonts w:cs="宋体"/>
          <w:b/>
          <w:color w:val="auto"/>
          <w:sz w:val="24"/>
          <w:highlight w:val="none"/>
        </w:rPr>
      </w:pPr>
      <w:bookmarkStart w:id="3" w:name="_Toc2927"/>
      <w:r>
        <w:rPr>
          <w:rFonts w:hint="eastAsia" w:cs="宋体"/>
          <w:b/>
          <w:color w:val="auto"/>
          <w:sz w:val="24"/>
          <w:highlight w:val="none"/>
        </w:rPr>
        <w:t>三、投标人资格要求</w:t>
      </w:r>
      <w:bookmarkEnd w:id="3"/>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（一）满足《中华人民共和国政府采购法》第二十二条规定；</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（二）落实政府采购政策需满足的资格要求：无。</w:t>
      </w:r>
    </w:p>
    <w:p>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（三）本项目的特定资格要求：无</w:t>
      </w:r>
      <w:r>
        <w:rPr>
          <w:rFonts w:hint="eastAsia" w:ascii="宋体" w:hAnsi="宋体"/>
          <w:color w:val="auto"/>
          <w:sz w:val="24"/>
          <w:szCs w:val="24"/>
          <w:highlight w:val="none"/>
          <w:lang w:eastAsia="zh-CN"/>
        </w:rPr>
        <w:t>。</w:t>
      </w:r>
    </w:p>
    <w:p>
      <w:pPr>
        <w:pStyle w:val="4"/>
        <w:ind w:firstLine="482" w:firstLineChars="200"/>
        <w:rPr>
          <w:rFonts w:cs="宋体"/>
          <w:b/>
          <w:color w:val="auto"/>
          <w:sz w:val="24"/>
          <w:highlight w:val="none"/>
        </w:rPr>
      </w:pPr>
      <w:bookmarkStart w:id="4" w:name="_Toc24279"/>
      <w:r>
        <w:rPr>
          <w:rFonts w:hint="eastAsia" w:cs="宋体"/>
          <w:b/>
          <w:color w:val="auto"/>
          <w:sz w:val="24"/>
          <w:highlight w:val="none"/>
        </w:rPr>
        <w:t>四、投标、开标有关说明</w:t>
      </w:r>
      <w:bookmarkEnd w:id="4"/>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凡有意参加投标的投标人，请在“行采家”或“重庆工商大学招投标信息网”网上下载本项目招标文件以及图纸、澄清等开标前公布的所有项目资料，无论投标人领取或下载与否，均视为已知晓所有招标内容。</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（二）招标文件公告期限：自采购公告发布之日（2023年7月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日）起五个工作日。</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（三）招标文件提供期限：2023年7月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日至2023年7月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（四）投标人应承担其编制与递交投标文件所涉及的一切费用，无论投标结果如何，采购人对上述费用概不负责，均由投标人承担。</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（五）投标人须满足以下两种要件，其投标才被接受：</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1、按时递交了投标文件；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bookmarkStart w:id="5" w:name="OLE_LINK7"/>
      <w:r>
        <w:rPr>
          <w:rFonts w:hint="eastAsia" w:ascii="宋体" w:hAnsi="宋体" w:cs="宋体"/>
          <w:color w:val="auto"/>
          <w:sz w:val="24"/>
          <w:szCs w:val="24"/>
          <w:highlight w:val="none"/>
        </w:rPr>
        <w:t>缴纳了招标文件购买费和投标保证金。</w:t>
      </w:r>
      <w:r>
        <w:rPr>
          <w:rFonts w:hint="eastAsia" w:ascii="宋体" w:hAnsi="宋体" w:cs="宋体"/>
          <w:b/>
          <w:color w:val="auto"/>
          <w:sz w:val="24"/>
          <w:szCs w:val="24"/>
          <w:highlight w:val="none"/>
        </w:rPr>
        <w:t>（</w:t>
      </w:r>
      <w:bookmarkStart w:id="6" w:name="OLE_LINK3"/>
      <w:r>
        <w:rPr>
          <w:rFonts w:hint="eastAsia" w:ascii="宋体" w:hAnsi="宋体" w:cs="宋体"/>
          <w:b/>
          <w:color w:val="auto"/>
          <w:sz w:val="24"/>
          <w:szCs w:val="24"/>
          <w:highlight w:val="none"/>
        </w:rPr>
        <w:t>递交投标文件时提供缴费凭证并加盖鲜章</w:t>
      </w:r>
      <w:bookmarkEnd w:id="6"/>
      <w:r>
        <w:rPr>
          <w:rFonts w:hint="eastAsia" w:ascii="宋体" w:hAnsi="宋体" w:cs="宋体"/>
          <w:b/>
          <w:color w:val="auto"/>
          <w:sz w:val="24"/>
          <w:szCs w:val="24"/>
          <w:highlight w:val="none"/>
        </w:rPr>
        <w:t>）</w:t>
      </w:r>
      <w:bookmarkEnd w:id="5"/>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（六）响应文件递交地点：重庆工商大学南岸校区厚德楼8002室</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（七）提交投标文件开始时间：2023年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日09:</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（八）提交投标文件截止时间：2023年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w:t>
      </w:r>
      <w:bookmarkStart w:id="151" w:name="_GoBack"/>
      <w:bookmarkEnd w:id="151"/>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（九）开标时间：2023年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日09:30</w:t>
      </w:r>
    </w:p>
    <w:p>
      <w:pPr>
        <w:pStyle w:val="2"/>
        <w:rPr>
          <w:color w:val="auto"/>
          <w:highlight w:val="none"/>
        </w:rPr>
      </w:pPr>
      <w:r>
        <w:rPr>
          <w:rFonts w:hint="eastAsia"/>
          <w:color w:val="auto"/>
          <w:highlight w:val="none"/>
        </w:rPr>
        <w:t>（十）开标地点：同投标地点</w:t>
      </w:r>
    </w:p>
    <w:p>
      <w:pPr>
        <w:pStyle w:val="4"/>
        <w:ind w:firstLine="482" w:firstLineChars="200"/>
        <w:rPr>
          <w:rFonts w:cs="宋体"/>
          <w:b/>
          <w:color w:val="auto"/>
          <w:sz w:val="24"/>
          <w:highlight w:val="none"/>
        </w:rPr>
      </w:pPr>
      <w:bookmarkStart w:id="7" w:name="_Toc75448067"/>
      <w:bookmarkStart w:id="8" w:name="_Toc21830"/>
      <w:r>
        <w:rPr>
          <w:rFonts w:hint="eastAsia" w:cs="宋体"/>
          <w:b/>
          <w:color w:val="auto"/>
          <w:sz w:val="24"/>
          <w:highlight w:val="none"/>
        </w:rPr>
        <w:t>五、</w:t>
      </w:r>
      <w:bookmarkStart w:id="9" w:name="_Hlk67925870"/>
      <w:r>
        <w:rPr>
          <w:rFonts w:hint="eastAsia" w:cs="宋体"/>
          <w:b/>
          <w:color w:val="auto"/>
          <w:sz w:val="24"/>
          <w:highlight w:val="none"/>
        </w:rPr>
        <w:t>招标文件购买费</w:t>
      </w:r>
      <w:bookmarkEnd w:id="9"/>
      <w:r>
        <w:rPr>
          <w:rFonts w:hint="eastAsia" w:cs="宋体"/>
          <w:b/>
          <w:color w:val="auto"/>
          <w:sz w:val="24"/>
          <w:highlight w:val="none"/>
        </w:rPr>
        <w:t>、投标保证金</w:t>
      </w:r>
      <w:bookmarkEnd w:id="7"/>
      <w:bookmarkEnd w:id="8"/>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（一）缴纳方式</w:t>
      </w:r>
    </w:p>
    <w:p>
      <w:pPr>
        <w:snapToGri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投标人须按本项目规定的招标文件购买费（200元）、投标保证金（9800元）进行缴纳，由投标人从其基本账户将招标文件购买费、投标保证金汇至以下账户，到账截止时间为开标时间。</w:t>
      </w:r>
      <w:r>
        <w:rPr>
          <w:rFonts w:hint="eastAsia" w:ascii="宋体" w:hAnsi="宋体" w:cs="宋体"/>
          <w:b/>
          <w:bCs/>
          <w:color w:val="auto"/>
          <w:sz w:val="24"/>
          <w:szCs w:val="24"/>
          <w:highlight w:val="none"/>
        </w:rPr>
        <w:t>已缴纳招标文件购买费、投标保证金的投标人无需重复缴纳。</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（二）重庆工商大学招标文件购买费、投标保证金账户</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户  名：重庆工商大学</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  号：9558853100753300080</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开户行：工行重庆南岸学府支行</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汇款的投标人须在付款凭证摘要/用途中填写“CTBU-JZ2023106”，并在投标文件中附纸质的转账凭证复印件。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2.投标人在缴纳招标文件购买费和投标保证金时，到款账户为上述指定的专用账户，来款账户必须为本公司基本账户。</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3.投标人在银行转账（电汇）时，须充分考虑银行转账（电汇）的时间差风险，如同城转账、异地转账或汇款、跨行转账或电汇的时间要求。</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（三）投标保证金退还方式</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1.投标人递交投标文件时须另外提供基本账户信息（单独手持），包括投标人名称、投标人开户银行、开户行账号，加盖投标人鲜章，以便采购人顺利退还投标保证金。</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2.未中标投标人的投标保证金，在成交通知书发放后，采购</w:t>
      </w:r>
      <w:r>
        <w:rPr>
          <w:rFonts w:hint="eastAsia" w:ascii="宋体" w:hAnsi="宋体" w:cs="宋体"/>
          <w:color w:val="auto"/>
          <w:sz w:val="24"/>
          <w:szCs w:val="24"/>
          <w:highlight w:val="none"/>
          <w:lang w:eastAsia="zh-CN"/>
        </w:rPr>
        <w:t>人</w:t>
      </w:r>
      <w:r>
        <w:rPr>
          <w:rFonts w:hint="eastAsia" w:ascii="宋体" w:hAnsi="宋体" w:cs="宋体"/>
          <w:color w:val="auto"/>
          <w:sz w:val="24"/>
          <w:szCs w:val="24"/>
          <w:highlight w:val="none"/>
        </w:rPr>
        <w:t>在五个工作日内按来款渠道全额无息直接退还。</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3.中标人的投标保证金，在中标人与采购人签订合同后，采购</w:t>
      </w:r>
      <w:r>
        <w:rPr>
          <w:rFonts w:hint="eastAsia" w:ascii="宋体" w:hAnsi="宋体" w:cs="宋体"/>
          <w:color w:val="auto"/>
          <w:sz w:val="24"/>
          <w:szCs w:val="24"/>
          <w:highlight w:val="none"/>
          <w:lang w:eastAsia="zh-CN"/>
        </w:rPr>
        <w:t>人</w:t>
      </w:r>
      <w:r>
        <w:rPr>
          <w:rFonts w:hint="eastAsia" w:ascii="宋体" w:hAnsi="宋体" w:cs="宋体"/>
          <w:color w:val="auto"/>
          <w:sz w:val="24"/>
          <w:szCs w:val="24"/>
          <w:highlight w:val="none"/>
        </w:rPr>
        <w:t>在五个工作日内按资金来款渠道全额无息直接退还。</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注：如遇寒暑假或国家重大事件，则顺延至开学或条件允许后退还。</w:t>
      </w:r>
    </w:p>
    <w:p>
      <w:pPr>
        <w:pStyle w:val="4"/>
        <w:ind w:firstLine="482" w:firstLineChars="200"/>
        <w:rPr>
          <w:rFonts w:cs="宋体"/>
          <w:b/>
          <w:color w:val="auto"/>
          <w:sz w:val="24"/>
          <w:highlight w:val="none"/>
        </w:rPr>
      </w:pPr>
      <w:bookmarkStart w:id="10" w:name="_Toc29047"/>
      <w:r>
        <w:rPr>
          <w:rFonts w:hint="eastAsia" w:cs="宋体"/>
          <w:b/>
          <w:color w:val="auto"/>
          <w:sz w:val="24"/>
          <w:highlight w:val="none"/>
        </w:rPr>
        <w:t>六、投标有关规定</w:t>
      </w:r>
      <w:bookmarkEnd w:id="10"/>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（一）单位负责人为同一人或者存在直接控股、管理关系的不同投标人，不得参加同一合同项（包）下的政府采购活动。</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（二）为采购项目提供整体设计、规范编制或者项目管理、监理、检测等服务的投标人，不得再参加该采购项目的其他采购活动。</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（三）本项目若有澄清文件一律在行采家网（https://www.gec123.com/）或重庆工商大学招投标信息网（</w:t>
      </w:r>
      <w:r>
        <w:rPr>
          <w:color w:val="auto"/>
          <w:highlight w:val="none"/>
        </w:rPr>
        <w:fldChar w:fldCharType="begin"/>
      </w:r>
      <w:r>
        <w:rPr>
          <w:color w:val="auto"/>
          <w:highlight w:val="none"/>
        </w:rPr>
        <w:instrText xml:space="preserve"> HYPERLINK "https://zbcg.ctbu.edu.cn/" </w:instrText>
      </w:r>
      <w:r>
        <w:rPr>
          <w:color w:val="auto"/>
          <w:highlight w:val="none"/>
        </w:rPr>
        <w:fldChar w:fldCharType="separate"/>
      </w:r>
      <w:r>
        <w:rPr>
          <w:rFonts w:hint="eastAsia" w:ascii="宋体" w:hAnsi="宋体" w:cs="宋体"/>
          <w:color w:val="auto"/>
          <w:sz w:val="24"/>
          <w:szCs w:val="24"/>
          <w:highlight w:val="none"/>
        </w:rPr>
        <w:t>https://zbcg.ctbu.edu.cn/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）上发布，请各投标人注意下载；无论投标人下载或领取与否，均视同投标人已知晓本项目澄清文件的内容。</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（四）同一合同项（包）下为单一品目的货物采购中，同一品牌产品有多家投标人参加投标的，只能按照一家投标人计算。</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（五）超过投标截止时间递交的投标文件，恕不接收。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（六）投标费用：无论投标结果如何，投标人参与本项目投标的所有费用均应由投标人自行承担。</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w:t>
      </w:r>
      <w:r>
        <w:rPr>
          <w:rFonts w:hint="eastAsia" w:ascii="宋体" w:hAnsi="宋体" w:cs="宋体"/>
          <w:b/>
          <w:color w:val="auto"/>
          <w:sz w:val="24"/>
          <w:szCs w:val="24"/>
          <w:highlight w:val="none"/>
        </w:rPr>
        <w:t>本项目不接受联合体参与投标。</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w:t>
      </w:r>
      <w:r>
        <w:rPr>
          <w:rFonts w:hint="eastAsia" w:ascii="宋体" w:hAnsi="宋体" w:cs="宋体"/>
          <w:b/>
          <w:color w:val="auto"/>
          <w:sz w:val="24"/>
          <w:szCs w:val="24"/>
          <w:highlight w:val="none"/>
        </w:rPr>
        <w:t>本项目不接受合同分包。</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w:t>
      </w:r>
      <w:bookmarkStart w:id="11" w:name="OLE_LINK2"/>
      <w:bookmarkStart w:id="12" w:name="OLE_LINK1"/>
      <w:r>
        <w:rPr>
          <w:rFonts w:hint="eastAsia" w:ascii="宋体" w:hAnsi="宋体" w:cs="宋体"/>
          <w:color w:val="auto"/>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1"/>
      <w:bookmarkEnd w:id="12"/>
      <w:r>
        <w:rPr>
          <w:rFonts w:hint="eastAsia" w:ascii="宋体" w:hAnsi="宋体" w:cs="宋体"/>
          <w:color w:val="auto"/>
          <w:sz w:val="24"/>
          <w:szCs w:val="24"/>
          <w:highlight w:val="none"/>
        </w:rPr>
        <w:t>投标人，将拒绝其参与政府采购活动。</w:t>
      </w:r>
    </w:p>
    <w:p>
      <w:pPr>
        <w:pStyle w:val="4"/>
        <w:ind w:firstLine="482" w:firstLineChars="200"/>
        <w:rPr>
          <w:rFonts w:cs="宋体"/>
          <w:b/>
          <w:color w:val="auto"/>
          <w:sz w:val="24"/>
          <w:highlight w:val="none"/>
        </w:rPr>
      </w:pPr>
      <w:bookmarkStart w:id="13" w:name="_Toc27160"/>
      <w:r>
        <w:rPr>
          <w:rFonts w:hint="eastAsia" w:cs="宋体"/>
          <w:b/>
          <w:color w:val="auto"/>
          <w:sz w:val="24"/>
          <w:highlight w:val="none"/>
        </w:rPr>
        <w:t>七、联系方式</w:t>
      </w:r>
      <w:bookmarkEnd w:id="13"/>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（一）采购人：重庆工商大学 </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联系人：阎老师</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话：023-62769774</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传  真：023-62769774</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  址：重庆市南岸区学府大道19号</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二</w:t>
      </w:r>
      <w:r>
        <w:rPr>
          <w:rFonts w:hint="eastAsia" w:ascii="宋体" w:hAnsi="宋体" w:cs="宋体"/>
          <w:color w:val="auto"/>
          <w:sz w:val="24"/>
          <w:szCs w:val="24"/>
          <w:highlight w:val="none"/>
        </w:rPr>
        <w:t>）技术咨询/现场勘查</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联系人：白老师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w:t>
      </w:r>
      <w:r>
        <w:rPr>
          <w:rFonts w:hint="eastAsia"/>
          <w:color w:val="auto"/>
          <w:sz w:val="24"/>
          <w:szCs w:val="24"/>
          <w:highlight w:val="none"/>
          <w:lang w:val="en-US" w:eastAsia="zh-CN"/>
        </w:rPr>
        <w:t>023-62768449</w:t>
      </w:r>
    </w:p>
    <w:p>
      <w:pPr>
        <w:pStyle w:val="4"/>
        <w:ind w:firstLine="482" w:firstLineChars="200"/>
        <w:rPr>
          <w:rFonts w:cs="宋体"/>
          <w:b/>
          <w:color w:val="auto"/>
          <w:sz w:val="24"/>
          <w:highlight w:val="none"/>
        </w:rPr>
      </w:pPr>
      <w:bookmarkStart w:id="14" w:name="_Toc22207"/>
      <w:bookmarkStart w:id="15" w:name="_Toc30092"/>
      <w:r>
        <w:rPr>
          <w:rFonts w:hint="eastAsia" w:cs="宋体"/>
          <w:b/>
          <w:color w:val="auto"/>
          <w:sz w:val="24"/>
          <w:highlight w:val="none"/>
        </w:rPr>
        <w:t>八、</w:t>
      </w:r>
      <w:bookmarkEnd w:id="14"/>
      <w:bookmarkStart w:id="16" w:name="_Toc60577153"/>
      <w:bookmarkStart w:id="17" w:name="_Toc25141"/>
      <w:bookmarkStart w:id="18" w:name="_Toc16530"/>
      <w:r>
        <w:rPr>
          <w:rFonts w:hint="eastAsia" w:cs="宋体"/>
          <w:b/>
          <w:color w:val="auto"/>
          <w:sz w:val="24"/>
          <w:highlight w:val="none"/>
        </w:rPr>
        <w:t>其他要求</w:t>
      </w:r>
      <w:bookmarkEnd w:id="15"/>
      <w:bookmarkEnd w:id="16"/>
      <w:bookmarkEnd w:id="17"/>
      <w:bookmarkEnd w:id="18"/>
    </w:p>
    <w:p>
      <w:pPr>
        <w:snapToGrid w:val="0"/>
        <w:spacing w:line="360" w:lineRule="auto"/>
        <w:ind w:firstLine="480" w:firstLineChars="200"/>
        <w:rPr>
          <w:color w:val="auto"/>
          <w:sz w:val="24"/>
          <w:szCs w:val="24"/>
          <w:highlight w:val="none"/>
        </w:rPr>
      </w:pPr>
      <w:r>
        <w:rPr>
          <w:rFonts w:hint="eastAsia"/>
          <w:color w:val="auto"/>
          <w:sz w:val="24"/>
          <w:szCs w:val="24"/>
          <w:highlight w:val="none"/>
        </w:rPr>
        <w:t>投标人请在提交投标文件的规定时段从重庆工商大学南岸校区（西门）（重庆市南岸区学府大道19号）进入，请主动向门卫出示本人有效身份证件，同时请及时向门卫通报采购项目名称（同时出示投标文件等证明材料），以便门卫核查报备信息。投标文件提交结束后，请投标人及时离校，不停留不逗留（注：投标人来校人数原则上不超过2人）。</w:t>
      </w:r>
    </w:p>
    <w:p>
      <w:pPr>
        <w:tabs>
          <w:tab w:val="left" w:pos="3360"/>
        </w:tabs>
        <w:spacing w:line="360" w:lineRule="auto"/>
        <w:ind w:firstLine="480" w:firstLineChars="200"/>
        <w:jc w:val="left"/>
        <w:outlineLvl w:val="0"/>
        <w:rPr>
          <w:rFonts w:ascii="宋体" w:hAnsi="宋体" w:cs="宋体"/>
          <w:color w:val="auto"/>
          <w:szCs w:val="24"/>
          <w:highlight w:val="none"/>
        </w:rPr>
      </w:pPr>
      <w:r>
        <w:rPr>
          <w:rFonts w:hint="eastAsia"/>
          <w:color w:val="auto"/>
          <w:sz w:val="24"/>
          <w:szCs w:val="24"/>
          <w:highlight w:val="none"/>
        </w:rPr>
        <w:t>若未按上述要求操作，造成提交投标文件时间延误的，后果自负。若因此扰乱采购人正常疫情防控秩序的，由投标人承担全部责任。</w:t>
      </w:r>
      <w:bookmarkStart w:id="19" w:name="_Toc63431456"/>
    </w:p>
    <w:p>
      <w:pPr>
        <w:rPr>
          <w:rFonts w:ascii="宋体" w:hAnsi="宋体" w:cs="宋体"/>
          <w:color w:val="auto"/>
          <w:szCs w:val="24"/>
          <w:highlight w:val="none"/>
        </w:rPr>
      </w:pPr>
      <w:r>
        <w:rPr>
          <w:rFonts w:hint="eastAsia" w:ascii="宋体" w:hAnsi="宋体" w:cs="宋体"/>
          <w:color w:val="auto"/>
          <w:szCs w:val="24"/>
          <w:highlight w:val="none"/>
        </w:rPr>
        <w:br w:type="page"/>
      </w:r>
    </w:p>
    <w:p>
      <w:pPr>
        <w:pStyle w:val="3"/>
        <w:spacing w:before="0" w:beforeLines="0" w:after="0" w:afterLines="0" w:line="360" w:lineRule="auto"/>
        <w:rPr>
          <w:rFonts w:ascii="宋体" w:hAnsi="宋体" w:eastAsia="宋体" w:cs="宋体"/>
          <w:bCs/>
          <w:color w:val="auto"/>
          <w:highlight w:val="none"/>
        </w:rPr>
      </w:pPr>
      <w:bookmarkStart w:id="20" w:name="_Toc7254"/>
      <w:r>
        <w:rPr>
          <w:rFonts w:hint="eastAsia" w:ascii="宋体" w:hAnsi="宋体" w:eastAsia="宋体" w:cs="宋体"/>
          <w:bCs/>
          <w:color w:val="auto"/>
          <w:highlight w:val="none"/>
        </w:rPr>
        <w:t>第二篇 项目服务需求</w:t>
      </w:r>
      <w:bookmarkEnd w:id="19"/>
      <w:bookmarkEnd w:id="20"/>
    </w:p>
    <w:p>
      <w:pPr>
        <w:spacing w:line="500" w:lineRule="exact"/>
        <w:ind w:firstLine="480" w:firstLineChars="200"/>
        <w:rPr>
          <w:rFonts w:ascii="宋体" w:hAnsi="宋体" w:cs="宋体"/>
          <w:bCs/>
          <w:color w:val="auto"/>
          <w:sz w:val="24"/>
          <w:szCs w:val="24"/>
          <w:highlight w:val="none"/>
          <w:lang w:eastAsia="zh-Hans"/>
        </w:rPr>
      </w:pPr>
      <w:bookmarkStart w:id="21" w:name="_Toc63431457"/>
      <w:r>
        <w:rPr>
          <w:rFonts w:hint="eastAsia" w:ascii="宋体" w:hAnsi="宋体" w:cs="宋体"/>
          <w:bCs/>
          <w:color w:val="auto"/>
          <w:sz w:val="24"/>
          <w:szCs w:val="24"/>
          <w:highlight w:val="none"/>
          <w:lang w:eastAsia="zh-Hans"/>
        </w:rPr>
        <w:t>“*”标注的技术需求为重要技术需求，若不满足将按照评标因素中相关规定处理。</w:t>
      </w:r>
    </w:p>
    <w:p>
      <w:pPr>
        <w:spacing w:line="500" w:lineRule="exact"/>
        <w:ind w:firstLine="480" w:firstLineChars="200"/>
        <w:rPr>
          <w:rFonts w:ascii="宋体" w:hAnsi="宋体" w:cs="宋体"/>
          <w:b/>
          <w:color w:val="auto"/>
          <w:sz w:val="24"/>
          <w:szCs w:val="24"/>
          <w:highlight w:val="none"/>
        </w:rPr>
      </w:pPr>
      <w:r>
        <w:rPr>
          <w:rFonts w:hint="eastAsia" w:ascii="宋体" w:hAnsi="宋体" w:cs="宋体"/>
          <w:bCs/>
          <w:color w:val="auto"/>
          <w:sz w:val="24"/>
          <w:szCs w:val="24"/>
          <w:highlight w:val="none"/>
          <w:lang w:eastAsia="zh-Hans"/>
        </w:rPr>
        <w:t>“※”标注的技术需求为符合性审查中的实质性要求，若不满足按无效投标处理。</w:t>
      </w:r>
    </w:p>
    <w:p>
      <w:pPr>
        <w:pStyle w:val="4"/>
        <w:spacing w:line="500" w:lineRule="exact"/>
        <w:ind w:firstLine="482" w:firstLineChars="200"/>
        <w:rPr>
          <w:rFonts w:cs="宋体"/>
          <w:b/>
          <w:color w:val="auto"/>
          <w:sz w:val="24"/>
          <w:szCs w:val="24"/>
          <w:highlight w:val="none"/>
        </w:rPr>
      </w:pPr>
      <w:bookmarkStart w:id="22" w:name="_Toc4340"/>
      <w:r>
        <w:rPr>
          <w:rFonts w:hint="eastAsia" w:cs="宋体"/>
          <w:b/>
          <w:color w:val="auto"/>
          <w:sz w:val="24"/>
          <w:szCs w:val="24"/>
          <w:highlight w:val="none"/>
        </w:rPr>
        <w:t>一、招标项目一览表</w:t>
      </w:r>
      <w:bookmarkEnd w:id="21"/>
      <w:bookmarkEnd w:id="22"/>
    </w:p>
    <w:tbl>
      <w:tblPr>
        <w:tblStyle w:val="19"/>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0"/>
        <w:gridCol w:w="3524"/>
        <w:gridCol w:w="2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3891" w:type="dxa"/>
            <w:vAlign w:val="center"/>
          </w:tcPr>
          <w:p>
            <w:pPr>
              <w:pStyle w:val="8"/>
              <w:spacing w:line="240" w:lineRule="auto"/>
              <w:ind w:left="0"/>
              <w:jc w:val="center"/>
              <w:outlineLvl w:val="0"/>
              <w:rPr>
                <w:rFonts w:ascii="宋体" w:hAnsi="宋体" w:cs="宋体"/>
                <w:b/>
                <w:color w:val="auto"/>
                <w:sz w:val="24"/>
                <w:szCs w:val="24"/>
                <w:highlight w:val="none"/>
              </w:rPr>
            </w:pPr>
            <w:bookmarkStart w:id="23" w:name="_Toc63431458"/>
            <w:bookmarkStart w:id="24" w:name="_Toc7673"/>
            <w:r>
              <w:rPr>
                <w:rFonts w:hint="eastAsia" w:ascii="宋体" w:hAnsi="宋体" w:cs="宋体"/>
                <w:b/>
                <w:color w:val="auto"/>
                <w:sz w:val="24"/>
                <w:szCs w:val="24"/>
                <w:highlight w:val="none"/>
              </w:rPr>
              <w:t>系统模块</w:t>
            </w:r>
          </w:p>
        </w:tc>
        <w:tc>
          <w:tcPr>
            <w:tcW w:w="3524" w:type="dxa"/>
            <w:vAlign w:val="center"/>
          </w:tcPr>
          <w:p>
            <w:pPr>
              <w:pStyle w:val="8"/>
              <w:spacing w:line="24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模块功能</w:t>
            </w:r>
          </w:p>
        </w:tc>
        <w:tc>
          <w:tcPr>
            <w:tcW w:w="2073" w:type="dxa"/>
            <w:vAlign w:val="center"/>
          </w:tcPr>
          <w:p>
            <w:pPr>
              <w:pStyle w:val="8"/>
              <w:spacing w:line="240" w:lineRule="auto"/>
              <w:ind w:left="0"/>
              <w:jc w:val="center"/>
              <w:outlineLvl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restart"/>
            <w:vAlign w:val="center"/>
          </w:tcPr>
          <w:p>
            <w:pPr>
              <w:pStyle w:val="2"/>
              <w:spacing w:line="240" w:lineRule="auto"/>
              <w:ind w:firstLine="0"/>
              <w:jc w:val="center"/>
              <w:outlineLvl w:val="0"/>
              <w:rPr>
                <w:rFonts w:ascii="宋体" w:hAnsi="宋体" w:cs="宋体"/>
                <w:color w:val="auto"/>
                <w:szCs w:val="24"/>
                <w:highlight w:val="none"/>
              </w:rPr>
            </w:pPr>
            <w:r>
              <w:rPr>
                <w:rFonts w:hint="eastAsia" w:ascii="宋体" w:hAnsi="宋体" w:cs="宋体"/>
                <w:color w:val="auto"/>
                <w:szCs w:val="24"/>
                <w:highlight w:val="none"/>
              </w:rPr>
              <w:t>评价业务模块</w:t>
            </w: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olor w:val="auto"/>
                <w:sz w:val="24"/>
                <w:szCs w:val="24"/>
                <w:highlight w:val="none"/>
              </w:rPr>
              <w:t>课堂</w:t>
            </w:r>
            <w:r>
              <w:rPr>
                <w:rFonts w:hint="eastAsia" w:ascii="宋体" w:hAnsi="宋体"/>
                <w:color w:val="auto"/>
                <w:sz w:val="24"/>
                <w:szCs w:val="24"/>
                <w:highlight w:val="none"/>
                <w:lang w:eastAsia="zh-Hans"/>
              </w:rPr>
              <w:t>评教</w:t>
            </w:r>
          </w:p>
        </w:tc>
        <w:tc>
          <w:tcPr>
            <w:tcW w:w="2073" w:type="dxa"/>
            <w:vAlign w:val="center"/>
          </w:tcPr>
          <w:p>
            <w:pPr>
              <w:pStyle w:val="2"/>
              <w:spacing w:line="240" w:lineRule="auto"/>
              <w:ind w:firstLine="0"/>
              <w:outlineLvl w:val="0"/>
              <w:rPr>
                <w:rFonts w:ascii="宋体" w:hAnsi="宋体" w:cs="宋体"/>
                <w:color w:val="auto"/>
                <w:szCs w:val="24"/>
                <w:highlight w:val="none"/>
              </w:rPr>
            </w:pPr>
            <w:r>
              <w:rPr>
                <w:rFonts w:hint="eastAsia" w:ascii="宋体" w:hAnsi="宋体"/>
                <w:color w:val="auto"/>
                <w:szCs w:val="24"/>
                <w:highlight w:val="none"/>
              </w:rPr>
              <w:t>包括督导、学生、教学考核等评价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教师评学</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教师自评</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学生信息员管理</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课程评价</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专业评价</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专项评价</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教学巡察</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rPr>
              <w:t>各类问卷调查</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3891" w:type="dxa"/>
            <w:vMerge w:val="restart"/>
            <w:vAlign w:val="center"/>
          </w:tcPr>
          <w:p>
            <w:pPr>
              <w:pStyle w:val="2"/>
              <w:spacing w:line="240" w:lineRule="auto"/>
              <w:ind w:firstLine="0"/>
              <w:jc w:val="center"/>
              <w:outlineLvl w:val="0"/>
              <w:rPr>
                <w:rFonts w:ascii="宋体" w:hAnsi="宋体" w:cs="宋体"/>
                <w:color w:val="auto"/>
                <w:szCs w:val="24"/>
                <w:highlight w:val="none"/>
              </w:rPr>
            </w:pPr>
            <w:r>
              <w:rPr>
                <w:rFonts w:hint="eastAsia" w:ascii="宋体" w:hAnsi="宋体" w:cs="宋体"/>
                <w:color w:val="auto"/>
                <w:szCs w:val="24"/>
                <w:highlight w:val="none"/>
                <w:lang w:eastAsia="zh-Hans"/>
              </w:rPr>
              <w:t>教学质量统计分析</w:t>
            </w:r>
            <w:r>
              <w:rPr>
                <w:rFonts w:hint="eastAsia" w:ascii="宋体" w:hAnsi="宋体" w:cs="宋体"/>
                <w:color w:val="auto"/>
                <w:szCs w:val="24"/>
                <w:highlight w:val="none"/>
              </w:rPr>
              <w:t>模块</w:t>
            </w: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cs="仿宋" w:asciiTheme="minorEastAsia" w:hAnsiTheme="minorEastAsia" w:eastAsiaTheme="minorEastAsia"/>
                <w:color w:val="auto"/>
                <w:sz w:val="24"/>
                <w:highlight w:val="none"/>
              </w:rPr>
              <w:t>评教分析</w:t>
            </w:r>
          </w:p>
        </w:tc>
        <w:tc>
          <w:tcPr>
            <w:tcW w:w="2073" w:type="dxa"/>
            <w:vAlign w:val="center"/>
          </w:tcPr>
          <w:p>
            <w:pPr>
              <w:pStyle w:val="2"/>
              <w:spacing w:line="240" w:lineRule="auto"/>
              <w:ind w:firstLine="0"/>
              <w:outlineLvl w:val="0"/>
              <w:rPr>
                <w:rFonts w:ascii="宋体" w:hAnsi="宋体" w:cs="宋体"/>
                <w:color w:val="auto"/>
                <w:szCs w:val="24"/>
                <w:highlight w:val="none"/>
              </w:rPr>
            </w:pPr>
            <w:r>
              <w:rPr>
                <w:rFonts w:hint="eastAsia" w:cs="仿宋" w:asciiTheme="minorEastAsia" w:hAnsiTheme="minorEastAsia" w:eastAsiaTheme="minorEastAsia"/>
                <w:color w:val="auto"/>
                <w:highlight w:val="none"/>
              </w:rPr>
              <w:t>包括学生、督导、同行等评教分析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lang w:eastAsia="zh-Hans"/>
              </w:rPr>
            </w:pP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cs="仿宋" w:asciiTheme="minorEastAsia" w:hAnsiTheme="minorEastAsia" w:eastAsiaTheme="minorEastAsia"/>
                <w:color w:val="auto"/>
                <w:sz w:val="24"/>
                <w:highlight w:val="none"/>
              </w:rPr>
              <w:t>综合分析</w:t>
            </w:r>
          </w:p>
        </w:tc>
        <w:tc>
          <w:tcPr>
            <w:tcW w:w="2073" w:type="dxa"/>
            <w:vAlign w:val="center"/>
          </w:tcPr>
          <w:p>
            <w:pPr>
              <w:pStyle w:val="2"/>
              <w:spacing w:line="240" w:lineRule="auto"/>
              <w:ind w:firstLine="0"/>
              <w:outlineLvl w:val="0"/>
              <w:rPr>
                <w:rFonts w:ascii="宋体" w:hAnsi="宋体" w:cs="宋体"/>
                <w:color w:val="auto"/>
                <w:szCs w:val="24"/>
                <w:highlight w:val="none"/>
              </w:rPr>
            </w:pPr>
            <w:r>
              <w:rPr>
                <w:rFonts w:hint="eastAsia" w:cs="仿宋" w:asciiTheme="minorEastAsia" w:hAnsiTheme="minorEastAsia" w:eastAsiaTheme="minorEastAsia"/>
                <w:color w:val="auto"/>
                <w:highlight w:val="none"/>
              </w:rPr>
              <w:t>学院、专业、课程、教师和学生等多维度</w:t>
            </w:r>
            <w:r>
              <w:rPr>
                <w:rFonts w:cs="仿宋" w:asciiTheme="minorEastAsia" w:hAnsiTheme="minorEastAsia" w:eastAsiaTheme="minorEastAsia"/>
                <w:color w:val="auto"/>
                <w:highlight w:val="none"/>
              </w:rPr>
              <w:t>关联对比分析</w:t>
            </w:r>
            <w:r>
              <w:rPr>
                <w:rFonts w:hint="eastAsia" w:cs="仿宋" w:asciiTheme="minorEastAsia" w:hAnsiTheme="minorEastAsia" w:eastAsiaTheme="minorEastAsia"/>
                <w:color w:val="auto"/>
                <w:highlight w:val="none"/>
              </w:rPr>
              <w:t>、</w:t>
            </w:r>
            <w:r>
              <w:rPr>
                <w:rFonts w:cs="仿宋" w:asciiTheme="minorEastAsia" w:hAnsiTheme="minorEastAsia" w:eastAsiaTheme="minorEastAsia"/>
                <w:color w:val="auto"/>
                <w:highlight w:val="none"/>
              </w:rPr>
              <w:t>问卷调查分析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lang w:eastAsia="zh-Hans"/>
              </w:rPr>
            </w:pPr>
          </w:p>
        </w:tc>
        <w:tc>
          <w:tcPr>
            <w:tcW w:w="3524" w:type="dxa"/>
            <w:vAlign w:val="center"/>
          </w:tcPr>
          <w:p>
            <w:pPr>
              <w:pStyle w:val="8"/>
              <w:spacing w:line="240" w:lineRule="auto"/>
              <w:ind w:left="0"/>
              <w:jc w:val="center"/>
              <w:outlineLvl w:val="0"/>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szCs w:val="24"/>
                <w:highlight w:val="none"/>
              </w:rPr>
              <w:t>可视化</w:t>
            </w:r>
            <w:r>
              <w:rPr>
                <w:rFonts w:cs="仿宋" w:asciiTheme="minorEastAsia" w:hAnsiTheme="minorEastAsia" w:eastAsiaTheme="minorEastAsia"/>
                <w:color w:val="auto"/>
                <w:sz w:val="24"/>
                <w:szCs w:val="24"/>
                <w:highlight w:val="none"/>
              </w:rPr>
              <w:t>展示</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Merge w:val="continue"/>
            <w:vAlign w:val="center"/>
          </w:tcPr>
          <w:p>
            <w:pPr>
              <w:pStyle w:val="2"/>
              <w:spacing w:line="240" w:lineRule="auto"/>
              <w:ind w:firstLine="0"/>
              <w:jc w:val="center"/>
              <w:outlineLvl w:val="0"/>
              <w:rPr>
                <w:rFonts w:ascii="宋体" w:hAnsi="宋体" w:cs="宋体"/>
                <w:color w:val="auto"/>
                <w:szCs w:val="24"/>
                <w:highlight w:val="none"/>
                <w:lang w:eastAsia="zh-Hans"/>
              </w:rPr>
            </w:pPr>
          </w:p>
        </w:tc>
        <w:tc>
          <w:tcPr>
            <w:tcW w:w="3524" w:type="dxa"/>
            <w:vAlign w:val="center"/>
          </w:tcPr>
          <w:p>
            <w:pPr>
              <w:pStyle w:val="8"/>
              <w:spacing w:line="240" w:lineRule="auto"/>
              <w:ind w:left="0" w:firstLine="1200" w:firstLineChars="500"/>
              <w:outlineLvl w:val="0"/>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分析报告</w:t>
            </w:r>
          </w:p>
        </w:tc>
        <w:tc>
          <w:tcPr>
            <w:tcW w:w="2073" w:type="dxa"/>
            <w:vAlign w:val="center"/>
          </w:tcPr>
          <w:p>
            <w:pPr>
              <w:pStyle w:val="2"/>
              <w:spacing w:line="240" w:lineRule="auto"/>
              <w:ind w:firstLine="0"/>
              <w:outlineLvl w:val="0"/>
              <w:rPr>
                <w:rFonts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891" w:type="dxa"/>
            <w:vAlign w:val="center"/>
          </w:tcPr>
          <w:p>
            <w:pPr>
              <w:pStyle w:val="2"/>
              <w:spacing w:line="240" w:lineRule="auto"/>
              <w:ind w:firstLine="0"/>
              <w:jc w:val="center"/>
              <w:outlineLvl w:val="0"/>
              <w:rPr>
                <w:rFonts w:ascii="宋体" w:hAnsi="宋体" w:cs="宋体"/>
                <w:color w:val="auto"/>
                <w:szCs w:val="24"/>
                <w:highlight w:val="none"/>
              </w:rPr>
            </w:pPr>
            <w:r>
              <w:rPr>
                <w:rFonts w:hint="eastAsia" w:ascii="宋体" w:hAnsi="宋体" w:cs="宋体"/>
                <w:color w:val="auto"/>
                <w:szCs w:val="24"/>
                <w:highlight w:val="none"/>
                <w:lang w:eastAsia="zh-Hans"/>
              </w:rPr>
              <w:t>移动终端</w:t>
            </w:r>
            <w:r>
              <w:rPr>
                <w:rFonts w:hint="eastAsia" w:ascii="宋体" w:hAnsi="宋体" w:cs="宋体"/>
                <w:color w:val="auto"/>
                <w:szCs w:val="24"/>
                <w:highlight w:val="none"/>
              </w:rPr>
              <w:t>模块</w:t>
            </w:r>
          </w:p>
        </w:tc>
        <w:tc>
          <w:tcPr>
            <w:tcW w:w="3524" w:type="dxa"/>
            <w:vAlign w:val="center"/>
          </w:tcPr>
          <w:p>
            <w:pPr>
              <w:pStyle w:val="8"/>
              <w:spacing w:line="240" w:lineRule="auto"/>
              <w:ind w:left="0"/>
              <w:jc w:val="center"/>
              <w:outlineLvl w:val="0"/>
              <w:rPr>
                <w:rFonts w:ascii="宋体" w:hAnsi="宋体" w:cs="宋体"/>
                <w:color w:val="auto"/>
                <w:sz w:val="24"/>
                <w:szCs w:val="24"/>
                <w:highlight w:val="none"/>
              </w:rPr>
            </w:pPr>
            <w:r>
              <w:rPr>
                <w:rFonts w:hint="eastAsia" w:ascii="宋体" w:hAnsi="宋体" w:cs="宋体"/>
                <w:color w:val="auto"/>
                <w:sz w:val="24"/>
                <w:szCs w:val="24"/>
                <w:highlight w:val="none"/>
                <w:lang w:eastAsia="zh-Hans"/>
              </w:rPr>
              <w:t>移动终端</w:t>
            </w:r>
          </w:p>
        </w:tc>
        <w:tc>
          <w:tcPr>
            <w:tcW w:w="2073" w:type="dxa"/>
            <w:vAlign w:val="center"/>
          </w:tcPr>
          <w:p>
            <w:pPr>
              <w:pStyle w:val="2"/>
              <w:spacing w:line="240" w:lineRule="auto"/>
              <w:ind w:firstLine="0"/>
              <w:outlineLvl w:val="0"/>
              <w:rPr>
                <w:rFonts w:ascii="宋体" w:hAnsi="宋体" w:cs="宋体"/>
                <w:color w:val="auto"/>
                <w:szCs w:val="24"/>
                <w:highlight w:val="none"/>
              </w:rPr>
            </w:pPr>
          </w:p>
        </w:tc>
      </w:tr>
    </w:tbl>
    <w:p>
      <w:pPr>
        <w:pStyle w:val="4"/>
        <w:spacing w:line="400" w:lineRule="exact"/>
        <w:ind w:firstLine="480" w:firstLineChars="200"/>
        <w:rPr>
          <w:rFonts w:cs="宋体"/>
          <w:color w:val="auto"/>
          <w:sz w:val="24"/>
          <w:szCs w:val="24"/>
          <w:highlight w:val="none"/>
          <w:lang w:eastAsia="zh-Hans"/>
        </w:rPr>
      </w:pPr>
      <w:r>
        <w:rPr>
          <w:rFonts w:hint="eastAsia" w:cs="宋体"/>
          <w:color w:val="auto"/>
          <w:sz w:val="24"/>
          <w:szCs w:val="24"/>
          <w:highlight w:val="none"/>
        </w:rPr>
        <w:t>※</w:t>
      </w:r>
      <w:r>
        <w:rPr>
          <w:rFonts w:hint="eastAsia" w:cs="宋体"/>
          <w:b/>
          <w:color w:val="auto"/>
          <w:sz w:val="24"/>
          <w:szCs w:val="24"/>
          <w:highlight w:val="none"/>
        </w:rPr>
        <w:t>二、</w:t>
      </w:r>
      <w:bookmarkEnd w:id="23"/>
      <w:r>
        <w:rPr>
          <w:rFonts w:hint="eastAsia" w:cs="宋体"/>
          <w:b/>
          <w:color w:val="auto"/>
          <w:sz w:val="24"/>
          <w:szCs w:val="24"/>
          <w:highlight w:val="none"/>
        </w:rPr>
        <w:t>项目功能和质量要求</w:t>
      </w:r>
      <w:bookmarkEnd w:id="24"/>
    </w:p>
    <w:p>
      <w:pPr>
        <w:adjustRightInd w:val="0"/>
        <w:snapToGrid w:val="0"/>
        <w:spacing w:line="400" w:lineRule="exact"/>
        <w:ind w:firstLine="480" w:firstLineChars="200"/>
        <w:rPr>
          <w:rFonts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本项目是为满足我校本科教学质量监督与评估各项业务工作需要而建立的一套信息化管理系统。系统主要实现督导队伍管理、各类听课任务、学生评教、教师评学、课程评价、专业评价、试卷检查、毕业论文（设计）检查、实践教学检查、教研活动检查、学生教学信息员管理等功能。借助该信息系统提高工作效率、完成人工操作难以完成的工作，实现学校各项督导评价、学生评价、教学相关监督等日常例行工作、专项评估以及管理手段的信息化，实现各类评估结果及时反馈、可持续改进落实跟踪机制、促进信息化过程跟踪、评价统计数据对比关联分析等；构建高质量人才培养质量保障体系的重要保障，充分发挥日常监督、定期监督的作用，进一步提升学校本科教学质量保障能力水平，以保证教学质量监控、分析和改进工作的有效实施，为学校各项教育教学改革提供决策依据</w:t>
      </w:r>
      <w:r>
        <w:rPr>
          <w:rFonts w:ascii="宋体" w:hAnsi="宋体" w:cs="宋体"/>
          <w:color w:val="auto"/>
          <w:sz w:val="24"/>
          <w:szCs w:val="24"/>
          <w:highlight w:val="none"/>
          <w:lang w:eastAsia="zh-Hans"/>
        </w:rPr>
        <w:t>。</w:t>
      </w:r>
    </w:p>
    <w:p>
      <w:pPr>
        <w:pStyle w:val="4"/>
        <w:spacing w:line="400" w:lineRule="exact"/>
        <w:ind w:firstLine="482" w:firstLineChars="200"/>
        <w:rPr>
          <w:rFonts w:cs="宋体"/>
          <w:b/>
          <w:color w:val="auto"/>
          <w:sz w:val="24"/>
          <w:szCs w:val="24"/>
          <w:highlight w:val="none"/>
        </w:rPr>
      </w:pPr>
      <w:bookmarkStart w:id="25" w:name="_Toc6868"/>
      <w:r>
        <w:rPr>
          <w:rFonts w:hint="eastAsia" w:cs="宋体"/>
          <w:b/>
          <w:color w:val="auto"/>
          <w:sz w:val="24"/>
          <w:szCs w:val="24"/>
          <w:highlight w:val="none"/>
        </w:rPr>
        <w:t>三</w:t>
      </w:r>
      <w:r>
        <w:rPr>
          <w:rFonts w:hint="eastAsia" w:cs="宋体"/>
          <w:b/>
          <w:color w:val="auto"/>
          <w:sz w:val="24"/>
          <w:szCs w:val="24"/>
          <w:highlight w:val="none"/>
          <w:lang w:eastAsia="zh-Hans"/>
        </w:rPr>
        <w:t>、项目服务技术要求</w:t>
      </w:r>
      <w:bookmarkEnd w:id="25"/>
    </w:p>
    <w:p>
      <w:pPr>
        <w:spacing w:line="400" w:lineRule="exact"/>
        <w:ind w:firstLine="482" w:firstLineChars="200"/>
        <w:rPr>
          <w:rFonts w:ascii="宋体" w:hAnsi="宋体"/>
          <w:b/>
          <w:bCs/>
          <w:color w:val="auto"/>
          <w:sz w:val="24"/>
          <w:szCs w:val="24"/>
          <w:highlight w:val="none"/>
          <w:lang w:eastAsia="zh-Hans"/>
        </w:rPr>
      </w:pPr>
      <w:r>
        <w:rPr>
          <w:rFonts w:hint="eastAsia" w:ascii="宋体" w:hAnsi="宋体"/>
          <w:b/>
          <w:bCs/>
          <w:color w:val="auto"/>
          <w:sz w:val="24"/>
          <w:szCs w:val="24"/>
          <w:highlight w:val="none"/>
          <w:lang w:eastAsia="zh-Hans"/>
        </w:rPr>
        <w:t>（一）系统基础功能需求</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1.系统整体要求</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系统遵从学校技术规范和标准体系，接入学校统一身份认证系统，并自动对接学校组织机构和师生人员信息</w:t>
      </w:r>
      <w:r>
        <w:rPr>
          <w:rFonts w:hint="eastAsia" w:ascii="宋体" w:hAnsi="宋体"/>
          <w:color w:val="auto"/>
          <w:sz w:val="24"/>
          <w:szCs w:val="24"/>
          <w:highlight w:val="none"/>
        </w:rPr>
        <w:t>.</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系统能够实现与教务管理系统等系统的数据对接、自动同步更新和模块衔接工作。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安全性。保证数据在传输过程的安全性；严格的权限管理授权方式，防止恶意破坏数据。</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可操作性。人机交互友好，操作简单，支持Edge，Chrome，Firefox，360等多种浏览器进行访问，支持移动端业务操作，移动端须嵌入学校企业微信。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灵活性。支持用户权限、评价指标、表格和部分工作流程的自定义。</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（6）</w:t>
      </w:r>
      <w:r>
        <w:rPr>
          <w:rFonts w:hint="eastAsia" w:ascii="宋体" w:hAnsi="宋体"/>
          <w:color w:val="auto"/>
          <w:sz w:val="24"/>
          <w:szCs w:val="24"/>
          <w:highlight w:val="none"/>
          <w:lang w:eastAsia="zh-Hans"/>
        </w:rPr>
        <w:t>开放性及可扩展性。系统设计遵循国家相关规范和标准，确保系统安全互联互通、信息共享，具有高扩展性，以适应将来功能扩展的需求。</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2.系统</w:t>
      </w:r>
      <w:r>
        <w:rPr>
          <w:rFonts w:hint="eastAsia" w:ascii="宋体" w:hAnsi="宋体"/>
          <w:color w:val="auto"/>
          <w:sz w:val="24"/>
          <w:szCs w:val="24"/>
          <w:highlight w:val="none"/>
        </w:rPr>
        <w:t>级</w:t>
      </w:r>
      <w:r>
        <w:rPr>
          <w:rFonts w:hint="eastAsia" w:ascii="宋体" w:hAnsi="宋体"/>
          <w:color w:val="auto"/>
          <w:sz w:val="24"/>
          <w:szCs w:val="24"/>
          <w:highlight w:val="none"/>
          <w:lang w:eastAsia="zh-Hans"/>
        </w:rPr>
        <w:t>管理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菜单管理：支持对已有功能菜单进行修改、删除、隐藏等操作；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权限管理：支持设置校级管理员、院级管理员角色，并授权可访问菜单，可以对不同的用户组配置可监控的院系数据权限和监控维度权限。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用户管理：管理员、教师、学生、专家的用户信息进行权限设置；根据具体情况对用户进行新增、编辑操作，支持批量导入和导出用户数据；</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操作日志：用户的登录日志、操作日志等信息，支持按条件查询。</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消息通知及提醒功能：</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① 评价任务消息提醒方式：在用户端（PC端和移动端）首页设置通知栏，通知提醒各类人员（包括督导、专家、教师、学生、领导干部、院级管理员等）及时领取任务、查看未完成任务，并在任务到期前规定时间提醒各类人员任务完成进度，督促尽快完成。通知提醒时间、频次等可灵活配置。</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②主要包括但不限于以下功能模块：</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预约听课：支持督导、领导、同行听课前，对课程进行预约制定听课计划，系统通过消息在预约时间提醒预约人按时听课。</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申请听课通知：教师申请被听课，先由管理员安排确认，通过消息推送给院级管理员或校级管理员进行处理。申请听课信息作为代办事项提示给管理员。</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评教通知：对学生和各类听评课人员进行评教进度的提醒，督促没有完成评价的学生和各类听评课人员完成评教。</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评学通知：对教师评学的完成度进行提醒，督促教师及时完成对授课班级的评学工作。</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3.评价指标体系及模板管理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可建立“指标库”将主观指标、客观指标库管理，在开展各类评价或专项检查活动（听评课，学生评教，教师评学等）时可以根据不同任务进行引用指标体系，也可引用不同指标体系中的单项指标进行组合创建。</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创建各类专项评价表（评价项目或评价模块），可灵活设置评价指标，评价内容，实现数据统计分析，支持学校后期扩展增加其他专项检查。</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评价标准支持多层级指标管理，指标得分支持权重计算和分值计算两种方式。</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评价标准有历史指标和当前指标，可按照课程属性、对应角色设置标准，如听评课指标体系可分为实践课、理论课、术科课等，也可复制指标创建副本，进行修改形成新指标。</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指标体系新建时支持按不同评价范围、不同评价角色、不同课程类型设置不同的评价指标生成表单。可选择开始学期、截至学期，课程类型，面向角色，是否生效。能够自由设置题型，打分方式、权重、发布状态等等。</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（6）</w:t>
      </w:r>
      <w:r>
        <w:rPr>
          <w:rFonts w:hint="eastAsia" w:ascii="宋体" w:hAnsi="宋体"/>
          <w:color w:val="auto"/>
          <w:sz w:val="24"/>
          <w:szCs w:val="24"/>
          <w:highlight w:val="none"/>
          <w:lang w:eastAsia="zh-Hans"/>
        </w:rPr>
        <w:t>可对设定的指标进行预览，系统能够自动根据已有指标分项计算提示总分分值，也可按照关键字检索指标内容。</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（7）</w:t>
      </w:r>
      <w:r>
        <w:rPr>
          <w:rFonts w:hint="eastAsia" w:ascii="宋体" w:hAnsi="宋体"/>
          <w:color w:val="auto"/>
          <w:sz w:val="24"/>
          <w:szCs w:val="24"/>
          <w:highlight w:val="none"/>
          <w:lang w:eastAsia="zh-Hans"/>
        </w:rPr>
        <w:t>支持指标的版本管理，各类指标都可以设置有效学期及适用类型，指标的变更不影响历史数据的展示及统计分析。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（8）</w:t>
      </w:r>
      <w:r>
        <w:rPr>
          <w:rFonts w:hint="eastAsia" w:ascii="宋体" w:hAnsi="宋体"/>
          <w:color w:val="auto"/>
          <w:sz w:val="24"/>
          <w:szCs w:val="24"/>
          <w:highlight w:val="none"/>
          <w:lang w:eastAsia="zh-Hans"/>
        </w:rPr>
        <w:t>支持通过复制模板快速生成新的评价表单或专项评价任务。</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4.任务计划及管理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任务管理模式：支持设置校级和院级任务安排；评审任务创建可实现权限二级管理：即校级管理员（一级管理）可对任务进行初次分配至二级管理人员，再由二级管理员细化任务分配。校级管理员也可直接分配并细化任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评价范围管理：发布各类评价任务能够自定义设置编辑内容，选择时间、课程范围、接收对象，填写对应说明等；支持按不同的评价项目设置不同的被评价课程，被评价教师以及参评的督导、领导、同行和学生；支持按课程类型、课程名称、课程教师灵活设置创建任务；支持按不同的评教角色设置任务；支持设置提交时限、修改限制；支持设置全选最低分或最高分（等无效数据）不能提交。</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管理员可以制定学期的任务计划，设置各阶段开展的听课或评教任务，查看历史学期听课任务内容，及时了解各阶段工作的情况。对于已经发布暂未开始的任务可以取消，已经完成的任务点击统计分析可以直接跳转至相应分析界面；</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管理员在一个学期，可以分阶段设置多类评价任务（督导听课，学生评教，教师评学，专项评价，各类临时专项评价、调查问卷等），各个评价任务时间，适用范围（课程，教学班，教师，督导，学生）、评价人及评价的指标体系；</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（4）评价任务结果查询及自定义灵活展示：支持对教师查看评教分数设置展示为实际分数或等级等多种方式；支持设置不展示客观指标得分；支持设置不展示主观指标内容；支持设置评价人姓名匿名或实名；</w:t>
      </w:r>
    </w:p>
    <w:p>
      <w:pPr>
        <w:spacing w:line="400" w:lineRule="exact"/>
        <w:ind w:firstLine="482" w:firstLineChars="200"/>
        <w:rPr>
          <w:rFonts w:ascii="宋体" w:hAnsi="宋体"/>
          <w:b/>
          <w:bCs/>
          <w:color w:val="auto"/>
          <w:sz w:val="24"/>
          <w:szCs w:val="24"/>
          <w:highlight w:val="none"/>
          <w:lang w:eastAsia="zh-Hans"/>
        </w:rPr>
      </w:pPr>
      <w:r>
        <w:rPr>
          <w:rFonts w:hint="eastAsia" w:ascii="宋体" w:hAnsi="宋体"/>
          <w:b/>
          <w:bCs/>
          <w:color w:val="auto"/>
          <w:sz w:val="24"/>
          <w:szCs w:val="24"/>
          <w:highlight w:val="none"/>
          <w:lang w:eastAsia="zh-Hans"/>
        </w:rPr>
        <w:t>（二）各类评价业务功能模块</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1.督导评教</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管理员可设置听课人和听课对象，督导、同行、领导等听课人也可自行筛选需要听的课程，在线进行听课评课，填写评价意见。评审任务创建可实现权限二级管理，校级管理员可对任务进行初次分配至二级管理人员，再由二级管理员细化任务分配；校级管理员也可直接分配并细化任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具体具备以下功能：</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可通过PC端和移动端进行听课评价，选择评价人身份、周次、总分，填写评价内容。已被评价的课程不能被删除，评价内容可以暂存，可以通过PC端和移动端提交课堂照片（或视频）等进行材料佐证；</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可在线预览导出听课表，任课教师、学院、上课地点、时间等基础信息系统自动识别显示，听课人只需要按照要求评价打分即可；</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系统可根据学院、课程、周次、节次、教学楼等基础条件筛选待听课程，也可通过特定条件筛选，可通过分值区间（或等级）筛选出相应的课程或老师等其他维度。</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被评课人可按照学期查看某门课程的被评价情况，评课专家可查询自己以前对某位老师，某门课程的评价历史，使得在下次评价时更加客观；</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可在线设置跟踪对象，可通过与所在院系平均分差、与其他评价综合分差、评价排名、综合得分排名等维度设置一个或多个规则筛选出需要重点关注的教师或课程，系统能够显示课程、跟踪人、被跟踪人基本情况，并对于跟踪评价的结果进行反馈及对比。可查看评价记录，设置跟踪权限，被听课人能够在线填写教学改进报告；</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（6）</w:t>
      </w:r>
      <w:r>
        <w:rPr>
          <w:rFonts w:hint="eastAsia" w:ascii="宋体" w:hAnsi="宋体"/>
          <w:color w:val="auto"/>
          <w:sz w:val="24"/>
          <w:szCs w:val="24"/>
          <w:highlight w:val="none"/>
          <w:lang w:eastAsia="zh-Hans"/>
        </w:rPr>
        <w:t>可设置督导、同行、领导等相关人员本学期计划该听的课程数量，且有工作进度监控功能，管理员可以实时了解当前学期的听课活动开展情况，及时了解督导工作量完成情况，以及对被听课老师的评价情况；</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（7）</w:t>
      </w:r>
      <w:r>
        <w:rPr>
          <w:rFonts w:hint="eastAsia" w:ascii="宋体" w:hAnsi="宋体"/>
          <w:color w:val="auto"/>
          <w:sz w:val="24"/>
          <w:szCs w:val="24"/>
          <w:highlight w:val="none"/>
          <w:lang w:eastAsia="zh-Hans"/>
        </w:rPr>
        <w:t>教师可以查看自己所授课程的听课评价信息，以及各分项指标的得分情况，可以和学校、学院、同类课程及同类分项指标进行对比。</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（8）</w:t>
      </w:r>
      <w:r>
        <w:rPr>
          <w:rFonts w:hint="eastAsia" w:ascii="宋体" w:hAnsi="宋体"/>
          <w:color w:val="auto"/>
          <w:sz w:val="24"/>
          <w:szCs w:val="24"/>
          <w:highlight w:val="none"/>
          <w:lang w:eastAsia="zh-Hans"/>
        </w:rPr>
        <w:t>系统能够按照任务完成、评价指标、评价对象多个维度进行评价数据统计分析，汇总形成同等听课数据分析报告。</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（9）</w:t>
      </w:r>
      <w:r>
        <w:rPr>
          <w:rFonts w:hint="eastAsia" w:ascii="宋体" w:hAnsi="宋体"/>
          <w:color w:val="auto"/>
          <w:sz w:val="24"/>
          <w:szCs w:val="24"/>
          <w:highlight w:val="none"/>
          <w:lang w:eastAsia="zh-Hans"/>
        </w:rPr>
        <w:t>评价结果查询展示设置：支持对教师查看评教分数设置展示为实际分数或等级；支持设置教师不能查看评价总分；支持设置不展示客观指标得分；支持设置不展示主观指标内容；支持设置评价人姓名匿名或实名；支持设置不展示任何评价结果；支持按过程性评价、终结性评价、督导评价、领导评价、同行评价对展示内容进行设置。</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（10）</w:t>
      </w:r>
      <w:r>
        <w:rPr>
          <w:rFonts w:hint="eastAsia" w:ascii="宋体" w:hAnsi="宋体"/>
          <w:color w:val="auto"/>
          <w:sz w:val="24"/>
          <w:szCs w:val="24"/>
          <w:highlight w:val="none"/>
          <w:lang w:eastAsia="zh-Hans"/>
        </w:rPr>
        <w:t>可通过教室的音视频系统实现线上听课评价任务，支持教室音视频系统接口对接连通，≥2路音视频信号，≥1路电脑信号。</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（11）</w:t>
      </w:r>
      <w:r>
        <w:rPr>
          <w:rFonts w:hint="eastAsia" w:ascii="宋体" w:hAnsi="宋体"/>
          <w:color w:val="auto"/>
          <w:sz w:val="24"/>
          <w:szCs w:val="24"/>
          <w:highlight w:val="none"/>
          <w:lang w:eastAsia="zh-Hans"/>
        </w:rPr>
        <w:t>基于教学质量保障系统界面，能够通过课程表等信息跳转到学校课程资源中心调阅查看课堂课程视频等资源，并依托于教学质量保障系统实现远程终端的线上督导评价功能。</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2.学生评教</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管理员可以设置终结性评价和过程性随堂评价任务，可设置评价的时间段，参评课程，学生，指标体系和打分方式等。过程性评价为随堂听课形式，可用两种模式：</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由教师主动发布随堂评教任务，可设置评价次数限制区间；</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由学生主动发起课程或者课堂教学反馈，可设置评价次数限制区间。</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系统支持按指定学期课表进行评教，可设定需要评价的课程类别，可对参评状态和进度进行实时监控。</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校级管理员对对接或采集过来的开课信息进行进一步核对和处理。（课程数据同步失败需提供预警机制，同步成功需人工审核对存疑数据进行添加、删除等处理）。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（6）</w:t>
      </w:r>
      <w:r>
        <w:rPr>
          <w:rFonts w:hint="eastAsia" w:ascii="宋体" w:hAnsi="宋体"/>
          <w:color w:val="auto"/>
          <w:sz w:val="24"/>
          <w:szCs w:val="24"/>
          <w:highlight w:val="none"/>
          <w:lang w:eastAsia="zh-Hans"/>
        </w:rPr>
        <w:t>任课教师可按照学校相关规定设置不能参评学生。</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（7）</w:t>
      </w:r>
      <w:r>
        <w:rPr>
          <w:rFonts w:hint="eastAsia" w:ascii="宋体" w:hAnsi="宋体"/>
          <w:color w:val="auto"/>
          <w:sz w:val="24"/>
          <w:szCs w:val="24"/>
          <w:highlight w:val="none"/>
          <w:lang w:eastAsia="zh-Hans"/>
        </w:rPr>
        <w:t>可直接导出学生评教进度表、未评教学生名单等。</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（8）</w:t>
      </w:r>
      <w:r>
        <w:rPr>
          <w:rFonts w:hint="eastAsia" w:ascii="宋体" w:hAnsi="宋体"/>
          <w:color w:val="auto"/>
          <w:sz w:val="24"/>
          <w:szCs w:val="24"/>
          <w:highlight w:val="none"/>
          <w:lang w:eastAsia="zh-Hans"/>
        </w:rPr>
        <w:t>学生评教结束后，管理员可查询、导出评教明细，学校可以根据校情对评教数据进行有效性处理。可自定义数据处理条件，如去掉前后百分之五等。系统可按照“教师”、“课程”进行多种评价结果统计，并可查看数据处理前后结果对比情况。</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（9）</w:t>
      </w:r>
      <w:r>
        <w:rPr>
          <w:rFonts w:hint="eastAsia" w:ascii="宋体" w:hAnsi="宋体"/>
          <w:color w:val="auto"/>
          <w:sz w:val="24"/>
          <w:szCs w:val="24"/>
          <w:highlight w:val="none"/>
          <w:lang w:eastAsia="zh-Hans"/>
        </w:rPr>
        <w:t>数据处理后可查看数据处理前后结果对比情况，对处理过滤掉的数据进行汇总，并且系统可设置敏感词库，对于设置的敏感词汇将不能成功提交。</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（10）</w:t>
      </w:r>
      <w:r>
        <w:rPr>
          <w:rFonts w:hint="eastAsia" w:ascii="宋体" w:hAnsi="宋体"/>
          <w:color w:val="auto"/>
          <w:sz w:val="24"/>
          <w:szCs w:val="24"/>
          <w:highlight w:val="none"/>
          <w:lang w:eastAsia="zh-Hans"/>
        </w:rPr>
        <w:t>学生评教成绩展示限制：支持设置实际参评率低于一定比例的教学班评教成绩无效，不展示。</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（11）</w:t>
      </w:r>
      <w:r>
        <w:rPr>
          <w:rFonts w:hint="eastAsia" w:ascii="宋体" w:hAnsi="宋体"/>
          <w:color w:val="auto"/>
          <w:sz w:val="24"/>
          <w:szCs w:val="24"/>
          <w:highlight w:val="none"/>
          <w:lang w:eastAsia="zh-Hans"/>
        </w:rPr>
        <w:t>支持学生身份能够在移动端实现全流程的评价任务。</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3.教师评学</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可实现教师对所教授教学班学生学习状况的评价。系统能够根据学生所在学院、课程类型、教师参评率等进行分类统计并生成报表。</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支持教师按课程对不同的教学班的学生学习情况进行评价。</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支持按次数评价和按课表进行评价。</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支持教师身份能够在移动端实现全流程的评价任务。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可实现基础信息维护（设置并维护评价指标体系，筛选设置评学课程类型）、评学指标管理，评学任务管理（创建评学任务，发布评教任务，查询，进度查看与汇总）。</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4.教师自评</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管理员可以创建教师自评任务，设置评价指标，实现教师对自身在当前阶段的教学情况的多维度自我评价。</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5.学生信息员管理</w:t>
      </w:r>
    </w:p>
    <w:p>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Hans"/>
        </w:rPr>
        <w:t>可实现学生教学信息员的人员管理，学生教学信息员网上提交教学信息，管理员审核并分类，再通过系统发送至各相关单位（同时在企业微信发送任务提示信息），各相关单位负责人回复处理意见。（工作流程：信息员提交教学信息---&gt;管理员审核分类---&gt;各相关单位负责人回复处理意见---&gt;管理员反馈处理结果至信息员）</w:t>
      </w:r>
      <w:r>
        <w:rPr>
          <w:rFonts w:hint="eastAsia" w:ascii="宋体" w:hAnsi="宋体"/>
          <w:color w:val="auto"/>
          <w:sz w:val="24"/>
          <w:szCs w:val="24"/>
          <w:highlight w:val="none"/>
        </w:rPr>
        <w:t>。</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 xml:space="preserve">管理员可以按学院或班级设置信息员，可手动设置，也可通过Excel模板批量设置，信息员可以用文字、图片、文件、小视频等方式填写或上传反馈给相关部门； </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 xml:space="preserve">信息员反馈内容主要分为课堂意见反馈和其他意见反馈，能够实时展示反馈状态如处理状态、紧急程度等。 </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可以统计和汇总信息员工作量及反馈处理问题情况并支持按学院、专业、班级等条件查看。</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支持学生信息员身份能够在移动端实现全流程的信息反馈处理任务。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6.课程评价</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可灵活定义设置课程评价范围和评价内容，创建新的指标体系，根据评价项目和评价内容要求进行评价；支持内置课程评估指标体系（按课程类型）。可设置多种评价主体（领导、中层干部、校内外专家、教师、学生等），针对课程全要素：课程内容、教学大纲等，对照量表进行评分、填写评价意见。</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按照校内课程评估指标，完成课程评估，并对结果进行数据分析；评估过程由自我评估、院系审核、专家评估、总结改进、评估总结报告等环节组成，支持手工指定待评估课程或随机抽取设定比例的待评估课程。</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（2）指标库管理：评估指标管理，支持新建、编辑、修改、复制指标信息。支持多级指标体系，观测点支持定性、定量两种类型；定性类型支持等级制、打分制的打分类型；定量类型支持等级计分。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材料管理：对课程评估过程中上传的材料附件进行统一查看，支持按照评估指标体系的结构来查看相关材料，可设置材料是否允许被下载。</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自评模板管理：可以新增、修改、删除自评模板内容。</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课程评估：支持发布课程评估任务，设置评价课程范围、专家和指标权限，支持课程自评、学院审核。</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支持专家进行在线课程评估打分、意见建议。支持专家组长对专家课程评估进行审核。</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评估结果统计分析：可进行多级指标分数统计、指标间比对统计、同一指标跨年度比对统计等。统计结果及分析报告支持导出。</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7.专业评价</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（1）基本功能和评价流程与“课程评价”相同。可实现专业信息、专业评估指标体系等基础信息维护。可灵活定义设置专业评价范围和评价内容，根据评价项目和评价内容要求进行评价；支持内置</w:t>
      </w:r>
      <w:r>
        <w:rPr>
          <w:rFonts w:hint="eastAsia" w:ascii="宋体" w:hAnsi="宋体"/>
          <w:color w:val="auto"/>
          <w:sz w:val="24"/>
          <w:szCs w:val="24"/>
          <w:highlight w:val="none"/>
        </w:rPr>
        <w:t>专业</w:t>
      </w:r>
      <w:r>
        <w:rPr>
          <w:rFonts w:hint="eastAsia" w:ascii="宋体" w:hAnsi="宋体"/>
          <w:color w:val="auto"/>
          <w:sz w:val="24"/>
          <w:szCs w:val="24"/>
          <w:highlight w:val="none"/>
          <w:lang w:eastAsia="zh-Hans"/>
        </w:rPr>
        <w:t>评估指标体系。可设置多种评价主体（领导、中层干部、校内外专家、教师、学生等），对照指标量表进行评分、填写评价意见。</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按照校内专业评估指标，完成专业评估，并对结果进行数据分析；评估过程由自我评估、院系审核、专家评估、总结改进、评估总结报告等环节组成。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（2）评估指标体系管理</w:t>
      </w:r>
      <w:r>
        <w:rPr>
          <w:rFonts w:hint="eastAsia" w:ascii="宋体" w:hAnsi="宋体"/>
          <w:color w:val="auto"/>
          <w:sz w:val="24"/>
          <w:szCs w:val="24"/>
          <w:highlight w:val="none"/>
        </w:rPr>
        <w:t>：</w:t>
      </w:r>
      <w:r>
        <w:rPr>
          <w:rFonts w:hint="eastAsia" w:ascii="宋体" w:hAnsi="宋体"/>
          <w:color w:val="auto"/>
          <w:sz w:val="24"/>
          <w:szCs w:val="24"/>
          <w:highlight w:val="none"/>
          <w:lang w:eastAsia="zh-Hans"/>
        </w:rPr>
        <w:t>支持评估指标体系的自定义，可由管理员灵活的增、删、改，支持多支持多套评估指标体系。</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专业评估任务管理：可实现发起任务，可选择专业自评报告模板、专业评估指标体系，关联数据采集任务等。专业管理身份可管理本专业专家库，分配任务，自评报告编制，支撑材料上传，校级评估指标体系设置等。督导专家可实现查阅专业自评报告及相关佐证材料，完成在线评价，专家组长对专业建设情况做出客观评价，形成专家（组）评价意见。</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结果统计分析：提供专业评估结果统计分析的功能，实现科学分析专业教学质量。</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8.专项评价</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可开展试卷检查、毕业论文（设计）检查、实践教学检查、教研活动检查等专项督导评价，实现督导任务管理（任务指派、任务状态查看、任务相关材料查看下载、在线评价等），创建各类专项评价表（项目模块），可灵活设置评价指标，实现数据统计分析，支持学校后期扩展增加其他专项检查。</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评审任务创建可实现权限二级管理，校级管理员可对任务进行初次分配至二级管理人员，再由二级管理员细化任务分配；校级管理员也可直接分配并细化任务。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可自由设置论文评审涉及的表结构，选择依赖表和定制页面，填写对应的说明。对设置好的评价表可以自由修改删除，进行字段设计和依赖校验。</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可实现二级单位材料上传收集功能。</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支持评估指标体系的自定义，可由管理员灵活的增、删、改，支持多套评阅指标体系，但已发布的任务不可编辑。</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设置专家评审任务时可选择指定抽样和随机抽样两种，指定抽样可按照学院、专业、论文成绩、学生年级、是否评审等条件进行筛选。</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（6）</w:t>
      </w:r>
      <w:r>
        <w:rPr>
          <w:rFonts w:hint="eastAsia" w:ascii="宋体" w:hAnsi="宋体"/>
          <w:color w:val="auto"/>
          <w:sz w:val="24"/>
          <w:szCs w:val="24"/>
          <w:highlight w:val="none"/>
          <w:lang w:eastAsia="zh-Hans"/>
        </w:rPr>
        <w:t>专家在任务时间周期内可多次修改提交评审结果；提交周期结束后，若需要修改专家评审结果，可由校级管理员进行修改。</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（7）</w:t>
      </w:r>
      <w:r>
        <w:rPr>
          <w:rFonts w:hint="eastAsia" w:ascii="宋体" w:hAnsi="宋体"/>
          <w:color w:val="auto"/>
          <w:sz w:val="24"/>
          <w:szCs w:val="24"/>
          <w:highlight w:val="none"/>
          <w:lang w:eastAsia="zh-Hans"/>
        </w:rPr>
        <w:t>根据权限分配及任务分配，各类人员可方便查阅论文评阅结果，可在线浏览，并可按照专家姓名、论文名称、作者、学院、评估状态等条件进行筛选查询。</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（8）</w:t>
      </w:r>
      <w:r>
        <w:rPr>
          <w:rFonts w:hint="eastAsia" w:ascii="宋体" w:hAnsi="宋体"/>
          <w:color w:val="auto"/>
          <w:sz w:val="24"/>
          <w:szCs w:val="24"/>
          <w:highlight w:val="none"/>
          <w:lang w:eastAsia="zh-Hans"/>
        </w:rPr>
        <w:t>对于评审结果能够自动生成对应的数据分析结果，如各学院的抽查比例，论文成绩分布、按关键字段（包括一级指标、二级指标等）排序。</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（9）</w:t>
      </w:r>
      <w:r>
        <w:rPr>
          <w:rFonts w:hint="eastAsia" w:ascii="宋体" w:hAnsi="宋体"/>
          <w:color w:val="auto"/>
          <w:sz w:val="24"/>
          <w:szCs w:val="24"/>
          <w:highlight w:val="none"/>
          <w:lang w:eastAsia="zh-Hans"/>
        </w:rPr>
        <w:t>可查看督导完成的任务情况，实现统计汇总。</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（10）</w:t>
      </w:r>
      <w:r>
        <w:rPr>
          <w:rFonts w:hint="eastAsia" w:ascii="宋体" w:hAnsi="宋体"/>
          <w:color w:val="auto"/>
          <w:sz w:val="24"/>
          <w:szCs w:val="24"/>
          <w:highlight w:val="none"/>
          <w:lang w:eastAsia="zh-Hans"/>
        </w:rPr>
        <w:t>系统自动将本次评完后的优秀或者较差的指导教师形成数据池，方便进行质量跟踪。</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（11）</w:t>
      </w:r>
      <w:r>
        <w:rPr>
          <w:rFonts w:hint="eastAsia" w:ascii="宋体" w:hAnsi="宋体"/>
          <w:color w:val="auto"/>
          <w:sz w:val="24"/>
          <w:szCs w:val="24"/>
          <w:highlight w:val="none"/>
          <w:lang w:eastAsia="zh-Hans"/>
        </w:rPr>
        <w:t>支持专家身份能够在移动端提交、查看评价结果。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9.教学巡查</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支持督导等巡查人员身份能够在移动端实现全流程的信息反馈。</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能够按教学地点和教学时段列出教学任务清单(支持按教室编号排序），实现教学巡查人员在巡查教室的过程中可随时通过移动端对巡查情况进行记录。系统可以对巡查数据进行统计。可按巡查周次、教师所在部门等查询巡查记录。</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10.考核听课</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可实现对未进入教务系统排课的其他课程开展考核听课和教师教学评价。管理员可通过人工导入评价任务清单的方式开展评价工作。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可发起临时考核听课任务和考核评价任务，评价完成后，对评价结果进行统计，支持由校级管理员手动选择评价结果内容反馈给教师。（业务流程操作与督导评教模块相同）。</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评审任务创建可实现权限二级管理，校级管理员可对任务进行初次分配至二级管理人员，再由二级管理员细化任务分配；校级管理员也可直接分配并细化任务。可通过PC端和移动端进行听课评价，填写评价内容，并可通过PC端和移动端提交课堂照片（或视频）等进行材料佐证；</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申请被听课管理：教师主动申请听课，管理员对教师的听课申请进行核实处理，并安排督导专家进行评价，最后回复处理结果。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11.各类问卷调查</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主要应用于各项评估工作中的跟踪评价，对改进教学管理、提升教学质量有非常重要的意义。可自主创建问卷，并实时发布。内置及指标体系，可自定义指标库、问卷模板。可对问卷调查任务进行查看任务状态、统计结果、查看历史记录等管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支持自定义新建校、院、个人多级问卷，可选择问卷、调研、报名等类型，能够设置是否匿名和数据开放权限等内容。能够对问卷进行预览，查看问卷信息；</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具有问卷模板库和回收站，发布问卷时可自行创建问卷，引用模板库 或使用历史问卷模板，题型可选择单选题、多选题、问答题等，且支持对创建好的模板进行编辑或删除等操作；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教师发布问卷时系统能够自动生成二维码或链接供学生和老师填写，完成问卷后能够生成对应的统计分析报告，并支持导出；</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（4）</w:t>
      </w:r>
      <w:r>
        <w:rPr>
          <w:rFonts w:hint="eastAsia" w:ascii="宋体" w:hAnsi="宋体"/>
          <w:color w:val="auto"/>
          <w:sz w:val="24"/>
          <w:szCs w:val="24"/>
          <w:highlight w:val="none"/>
          <w:lang w:eastAsia="zh-Hans"/>
        </w:rPr>
        <w:t>教师可同时在PC端和移动端发布各类问卷，发布可自行编辑新的问卷内容，发布后的问卷在历史模板库中保存，在下次发布问卷时可以引用，也可引用模板库模板和其他老师分享的问卷，在此基础上进行编辑调整发布。</w:t>
      </w:r>
    </w:p>
    <w:p>
      <w:pPr>
        <w:spacing w:line="400" w:lineRule="exact"/>
        <w:ind w:firstLine="482" w:firstLineChars="200"/>
        <w:rPr>
          <w:rFonts w:ascii="宋体" w:hAnsi="宋体"/>
          <w:b/>
          <w:bCs/>
          <w:color w:val="auto"/>
          <w:sz w:val="24"/>
          <w:szCs w:val="24"/>
          <w:highlight w:val="none"/>
          <w:lang w:eastAsia="zh-Hans"/>
        </w:rPr>
      </w:pPr>
      <w:r>
        <w:rPr>
          <w:rFonts w:hint="eastAsia" w:ascii="宋体" w:hAnsi="宋体"/>
          <w:b/>
          <w:bCs/>
          <w:color w:val="auto"/>
          <w:sz w:val="24"/>
          <w:szCs w:val="24"/>
          <w:highlight w:val="none"/>
          <w:lang w:eastAsia="zh-Hans"/>
        </w:rPr>
        <w:t>（三）教学质量统计分析需求</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学生评教分析：支持统计学生评教各学院、各专业、各课程、各行政班、各教学班多种维度的参评率；支持按单个指标对比分析学生评教教师得分；支持按教师类型统计各教师学生评价得分和主观评价内容；支持按课程类型统计各课程学生评教得分。</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2．督导评教分析：支持监控各督导听课进度；支持按课程类型统计各课程督导评教得分；支持统计各教师督导评价得分；支持按督导所在部门、督导层级、被评价课程名称、上课地点查询督导听课记录。支持督导工作量完成情况过程监控、督导工作量统计（可按照学期等设置多个统计节点）。</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3．同行评教分析：支持监控各同行听评课进度；支持按课程类型统计各课程同行评教得分；支持统计各教师同行评价得分；支持按同行所在部门、被评价课程名称、上课地点查询同行听评课记录。</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4．教师评学分析：支持教师评学参评率分析、教师评学班级得分分析、教师评学成绩分布，支持按教学班和行政班两种得分统计方式。</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5．外部评价分析：支持对实习生评价企业等进行数据统计和分析。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6．关联对比分析</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（1）教师纵向对比：系统支持教师历年综合分对比，历年个人同课程对比，历年个人单个指标对比分析。</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（2）教师关联分析：系统支持对同一教师教授不同课程类型关联分析，评价班级对其他教师评价情况关联分析，评价班级对该教师其他课程评价情况关联分析。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（3）课程关联对比：系统支持同课程不同教师得分对比分析。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（4）教师职称关联分析：系统支持不同职称教师得分对比分析。</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（5）学生纵向分析：系统支持学生评价（对所有教师的评价指标评价选项一样）数据导出，数据有效性分析，支持同一届学生历年打分趋势分析（同一届学生每学期评价的平均分对比）。</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6）学生关联分析：系统支持不同学院学生打分情况分析，支持不同课程学生打分情况分析，支持不同专业学生打分情况分析，支持不同年级学生打分情况分析，学生主观评价内容词云展示（按主观指标提取词云、雷达图显示等）。</w:t>
      </w:r>
    </w:p>
    <w:p>
      <w:pPr>
        <w:spacing w:line="400" w:lineRule="exact"/>
        <w:ind w:firstLine="560" w:firstLineChars="200"/>
        <w:rPr>
          <w:rFonts w:ascii="宋体" w:hAnsi="宋体"/>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color w:val="auto"/>
          <w:sz w:val="24"/>
          <w:szCs w:val="24"/>
          <w:highlight w:val="none"/>
          <w:lang w:eastAsia="zh-Hans"/>
        </w:rPr>
        <w:t>（7）学院、专业、课程关联分析：系统支持以学院、专业、课程等维度进行各类指标的统计分析。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7．统计分析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（1）</w:t>
      </w:r>
      <w:r>
        <w:rPr>
          <w:rFonts w:hint="eastAsia" w:ascii="宋体" w:hAnsi="宋体"/>
          <w:color w:val="auto"/>
          <w:sz w:val="24"/>
          <w:szCs w:val="24"/>
          <w:highlight w:val="none"/>
          <w:lang w:eastAsia="zh-Hans"/>
        </w:rPr>
        <w:t>支持设置学生、督导、领导、同行评价得分所占比例（权重），并能根据不同的部门或单个教师设置不同权重，自动计算并统计出教师课堂教学综合评价成绩。</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（2）</w:t>
      </w:r>
      <w:r>
        <w:rPr>
          <w:rFonts w:hint="eastAsia" w:ascii="宋体" w:hAnsi="宋体"/>
          <w:color w:val="auto"/>
          <w:sz w:val="24"/>
          <w:szCs w:val="24"/>
          <w:highlight w:val="none"/>
          <w:lang w:eastAsia="zh-Hans"/>
        </w:rPr>
        <w:t>支持汇总统计各类评价人员人数和参评次数，直接导出应用于教学动态数据填报。</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（3）</w:t>
      </w:r>
      <w:r>
        <w:rPr>
          <w:rFonts w:hint="eastAsia" w:ascii="宋体" w:hAnsi="宋体"/>
          <w:color w:val="auto"/>
          <w:sz w:val="24"/>
          <w:szCs w:val="24"/>
          <w:highlight w:val="none"/>
          <w:lang w:eastAsia="zh-Hans"/>
        </w:rPr>
        <w:t>支持分析各学年学期学生评教，督导评教、领导评教、同行评教（各部门、各课程类型、各教师类型）得分分布情况。</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w:t>
      </w:r>
      <w:r>
        <w:rPr>
          <w:rFonts w:hint="eastAsia" w:ascii="宋体" w:hAnsi="宋体"/>
          <w:color w:val="auto"/>
          <w:sz w:val="24"/>
          <w:szCs w:val="24"/>
          <w:highlight w:val="none"/>
          <w:lang w:eastAsia="zh-Hans"/>
        </w:rPr>
        <w:t>支持进行多个学期各类评价得分分布对比分析；支持进行多个学期各类评价课程得分对比分析，教师得分对比分析。</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rPr>
        <w:t>（5）</w:t>
      </w:r>
      <w:r>
        <w:rPr>
          <w:rFonts w:hint="eastAsia" w:ascii="宋体" w:hAnsi="宋体"/>
          <w:color w:val="auto"/>
          <w:sz w:val="24"/>
          <w:szCs w:val="24"/>
          <w:highlight w:val="none"/>
          <w:lang w:eastAsia="zh-Hans"/>
        </w:rPr>
        <w:t>支持教学巡查记录统计分析，支持历史评价数据导入、查询。</w:t>
      </w:r>
    </w:p>
    <w:p>
      <w:pPr>
        <w:spacing w:line="400" w:lineRule="exact"/>
        <w:ind w:firstLine="560" w:firstLineChars="200"/>
        <w:rPr>
          <w:rFonts w:ascii="宋体" w:hAnsi="宋体"/>
          <w:b/>
          <w:bCs/>
          <w:color w:val="auto"/>
          <w:sz w:val="24"/>
          <w:szCs w:val="24"/>
          <w:highlight w:val="none"/>
          <w:lang w:eastAsia="zh-Hans"/>
        </w:rPr>
      </w:pPr>
      <w:r>
        <w:rPr>
          <w:rFonts w:hint="eastAsia" w:asciiTheme="minorEastAsia" w:hAnsiTheme="minorEastAsia" w:eastAsiaTheme="minorEastAsia"/>
          <w:color w:val="auto"/>
          <w:highlight w:val="none"/>
        </w:rPr>
        <w:t>※</w:t>
      </w:r>
      <w:r>
        <w:rPr>
          <w:rFonts w:hint="eastAsia" w:ascii="宋体" w:hAnsi="宋体"/>
          <w:b/>
          <w:bCs/>
          <w:color w:val="auto"/>
          <w:sz w:val="24"/>
          <w:szCs w:val="24"/>
          <w:highlight w:val="none"/>
          <w:lang w:eastAsia="zh-Hans"/>
        </w:rPr>
        <w:t>（四）移动终端功能需求</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能够通过H5自适应页面或小程序将移动端集成到学校企业微信工作台，增强移动端易用性增强，接入学校统一消息平台，保障校领导、督导、同行、教师、学生可在移动端完成查看任务，在线填写评价。督导听课、学生评教、学生信息员管理等业务功能模块可通过PC端和移动端查看任务信息、筛选信息、提交信息等。具体要求见各功能模块详细描述。</w:t>
      </w:r>
    </w:p>
    <w:p>
      <w:pPr>
        <w:pStyle w:val="4"/>
        <w:spacing w:line="400" w:lineRule="exact"/>
        <w:ind w:firstLine="482" w:firstLineChars="200"/>
        <w:jc w:val="left"/>
        <w:rPr>
          <w:b/>
          <w:bCs/>
          <w:color w:val="auto"/>
          <w:sz w:val="24"/>
          <w:szCs w:val="24"/>
          <w:highlight w:val="none"/>
        </w:rPr>
      </w:pPr>
      <w:bookmarkStart w:id="26" w:name="_Toc8279"/>
      <w:bookmarkStart w:id="27" w:name="_Toc30837"/>
      <w:bookmarkStart w:id="28" w:name="_Toc29182"/>
      <w:r>
        <w:rPr>
          <w:rFonts w:hint="eastAsia" w:cs="宋体"/>
          <w:b/>
          <w:bCs/>
          <w:color w:val="auto"/>
          <w:sz w:val="24"/>
          <w:szCs w:val="24"/>
          <w:highlight w:val="none"/>
        </w:rPr>
        <w:t>※四</w:t>
      </w:r>
      <w:r>
        <w:rPr>
          <w:rFonts w:hint="eastAsia"/>
          <w:b/>
          <w:bCs/>
          <w:color w:val="auto"/>
          <w:sz w:val="24"/>
          <w:szCs w:val="24"/>
          <w:highlight w:val="none"/>
        </w:rPr>
        <w:t>、其它</w:t>
      </w:r>
      <w:bookmarkEnd w:id="26"/>
      <w:bookmarkEnd w:id="27"/>
      <w:r>
        <w:rPr>
          <w:rFonts w:hint="eastAsia"/>
          <w:b/>
          <w:bCs/>
          <w:color w:val="auto"/>
          <w:sz w:val="24"/>
          <w:szCs w:val="24"/>
          <w:highlight w:val="none"/>
        </w:rPr>
        <w:t>技术要求</w:t>
      </w:r>
      <w:bookmarkEnd w:id="28"/>
    </w:p>
    <w:p>
      <w:pPr>
        <w:spacing w:line="400" w:lineRule="exact"/>
        <w:ind w:firstLine="480" w:firstLineChars="200"/>
        <w:rPr>
          <w:rFonts w:ascii="宋体" w:hAnsi="宋体"/>
          <w:color w:val="auto"/>
          <w:sz w:val="24"/>
          <w:szCs w:val="24"/>
          <w:highlight w:val="none"/>
          <w:lang w:eastAsia="zh-Hans"/>
        </w:rPr>
      </w:pPr>
      <w:bookmarkStart w:id="29" w:name="_Toc27313"/>
      <w:bookmarkStart w:id="30" w:name="_Toc15535"/>
      <w:bookmarkStart w:id="31" w:name="_Toc12105"/>
      <w:bookmarkStart w:id="32" w:name="_Toc3691"/>
      <w:bookmarkStart w:id="33" w:name="_Toc26414"/>
      <w:bookmarkStart w:id="34" w:name="_Toc13851"/>
      <w:bookmarkStart w:id="35" w:name="_Toc24629"/>
      <w:r>
        <w:rPr>
          <w:rFonts w:hint="eastAsia" w:ascii="宋体" w:hAnsi="宋体"/>
          <w:color w:val="auto"/>
          <w:sz w:val="24"/>
          <w:szCs w:val="24"/>
          <w:highlight w:val="none"/>
          <w:lang w:eastAsia="zh-Hans"/>
        </w:rPr>
        <w:t>1.根据采购人数据共享和开放的要求，供应商须提供系统所有数据字典</w:t>
      </w:r>
      <w:r>
        <w:rPr>
          <w:rFonts w:hint="eastAsia" w:ascii="宋体" w:hAnsi="宋体"/>
          <w:color w:val="auto"/>
          <w:sz w:val="24"/>
          <w:szCs w:val="24"/>
          <w:highlight w:val="none"/>
        </w:rPr>
        <w:t>；能</w:t>
      </w:r>
      <w:r>
        <w:rPr>
          <w:rFonts w:hint="eastAsia" w:ascii="宋体" w:hAnsi="宋体"/>
          <w:color w:val="auto"/>
          <w:sz w:val="24"/>
          <w:szCs w:val="24"/>
          <w:highlight w:val="none"/>
          <w:lang w:eastAsia="zh-Hans"/>
        </w:rPr>
        <w:t>实现与采购人其他相关系统对接，并配合采购人完成数据采集。</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2.供应商在质保期内、外都应当免费提供系统数据接口。</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3.</w:t>
      </w:r>
      <w:r>
        <w:rPr>
          <w:rFonts w:hint="eastAsia" w:ascii="宋体" w:hAnsi="宋体"/>
          <w:color w:val="auto"/>
          <w:sz w:val="24"/>
          <w:szCs w:val="24"/>
          <w:highlight w:val="none"/>
        </w:rPr>
        <w:t>教学质量保障系统参照</w:t>
      </w:r>
      <w:r>
        <w:rPr>
          <w:rFonts w:hint="eastAsia" w:ascii="宋体" w:hAnsi="宋体"/>
          <w:color w:val="auto"/>
          <w:sz w:val="24"/>
          <w:szCs w:val="24"/>
          <w:highlight w:val="none"/>
          <w:lang w:eastAsia="zh-Hans"/>
        </w:rPr>
        <w:t>等保二级</w:t>
      </w:r>
      <w:r>
        <w:rPr>
          <w:rFonts w:hint="eastAsia" w:ascii="宋体" w:hAnsi="宋体"/>
          <w:color w:val="auto"/>
          <w:sz w:val="24"/>
          <w:szCs w:val="24"/>
          <w:highlight w:val="none"/>
        </w:rPr>
        <w:t>规范建设</w:t>
      </w:r>
      <w:r>
        <w:rPr>
          <w:rFonts w:hint="eastAsia" w:ascii="宋体" w:hAnsi="宋体"/>
          <w:color w:val="auto"/>
          <w:sz w:val="24"/>
          <w:szCs w:val="24"/>
          <w:highlight w:val="none"/>
          <w:lang w:eastAsia="zh-Hans"/>
        </w:rPr>
        <w:t>，未来如果确定为二级，应参照等保二级技术及管理规范；根据采购人确定的系统信息安全保护等级，供应商配合采购人完成信息系统安全等级保护备案、测评和整改工作。</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4.落实网络安全法、个人信息保护法等，按照“谁主管、谁负责，谁使用、谁负责，谁运维、谁负责”原则，完善网络安全保护措施，执行系统运行相关管理制度；不得在服务器上存放、安装与业务无关的任何文件、软件；在软件及相关组件的任何环节，不得使用弱口令，系统中所有身份角色用户登录页面应具备防暴力破解口令、口令强度校验功能；软件系统应具备完善的日志记录功能；不得安装任何远程控制软件，系统运维应通过采购人VPN、堡垒机进行；不得禁用操作系统防火墙、杀毒软件及其他安全软件。</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5.供应商不得通过硬件加密狗提供软件授权。</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6.项目所投产品必须能在中国境内合法销售、与软件无冲突、与采购人现有智慧校园系统无兼容性问题并能提供相应服务。为保证系统的安全性和保密性，平台或软件系统原则上须独立部署于采购人指定的校园网络环境中（信息办数据中心机房IT环境）；如只能提供云账号访问的，云端系统产生的数据所有权归采购人所有，供应商无条件提供数据下载、数据共享等服务。</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7.为保证系统的安全性和保密性，要求平台必须独立部署于采购人指定的校园网络环境中（信息办数据中心机房IT环境），项目产生数据需存储于采购人本地服务器。</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8.</w:t>
      </w:r>
      <w:r>
        <w:rPr>
          <w:rFonts w:hint="eastAsia" w:ascii="宋体" w:hAnsi="宋体"/>
          <w:color w:val="auto"/>
          <w:sz w:val="24"/>
          <w:szCs w:val="24"/>
          <w:highlight w:val="none"/>
        </w:rPr>
        <w:t>投标人</w:t>
      </w:r>
      <w:r>
        <w:rPr>
          <w:rFonts w:hint="eastAsia" w:ascii="宋体" w:hAnsi="宋体"/>
          <w:color w:val="auto"/>
          <w:sz w:val="24"/>
          <w:szCs w:val="24"/>
          <w:highlight w:val="none"/>
          <w:lang w:eastAsia="zh-Hans"/>
        </w:rPr>
        <w:t>须完全同意并遵守《重庆工商大学信息系统项目建设通用技术规范》。</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9.</w:t>
      </w:r>
      <w:r>
        <w:rPr>
          <w:rFonts w:hint="eastAsia" w:ascii="宋体" w:hAnsi="宋体"/>
          <w:color w:val="auto"/>
          <w:sz w:val="24"/>
          <w:szCs w:val="24"/>
          <w:highlight w:val="none"/>
        </w:rPr>
        <w:t>按技术要求实现</w:t>
      </w:r>
      <w:r>
        <w:rPr>
          <w:rFonts w:hint="eastAsia" w:ascii="宋体" w:hAnsi="宋体"/>
          <w:color w:val="auto"/>
          <w:sz w:val="24"/>
          <w:szCs w:val="24"/>
          <w:highlight w:val="none"/>
          <w:lang w:eastAsia="zh-Hans"/>
        </w:rPr>
        <w:t>与其他平台对接，</w:t>
      </w:r>
      <w:r>
        <w:rPr>
          <w:rFonts w:hint="eastAsia" w:ascii="宋体" w:hAnsi="宋体"/>
          <w:color w:val="auto"/>
          <w:sz w:val="24"/>
          <w:szCs w:val="24"/>
          <w:highlight w:val="none"/>
        </w:rPr>
        <w:t>实现数据上报和数据交换。</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10.版权与知识保护</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（1）数据产权归采购人所有，供应商不得泄露采购人内部数据，也不得将采购人内部数据用于商业用途。</w:t>
      </w:r>
    </w:p>
    <w:p>
      <w:pPr>
        <w:spacing w:line="400" w:lineRule="exact"/>
        <w:ind w:firstLine="480" w:firstLineChars="200"/>
        <w:rPr>
          <w:rFonts w:ascii="宋体" w:hAnsi="宋体"/>
          <w:color w:val="auto"/>
          <w:sz w:val="24"/>
          <w:szCs w:val="24"/>
          <w:highlight w:val="none"/>
          <w:lang w:eastAsia="zh-Hans"/>
        </w:rPr>
      </w:pPr>
      <w:r>
        <w:rPr>
          <w:rFonts w:hint="eastAsia" w:ascii="宋体" w:hAnsi="宋体"/>
          <w:color w:val="auto"/>
          <w:sz w:val="24"/>
          <w:szCs w:val="24"/>
          <w:highlight w:val="none"/>
          <w:lang w:eastAsia="zh-Hans"/>
        </w:rPr>
        <w:t>（2）供应商需郑重承诺并保证在世界范围的任何法域内使用、销售、许诺销售、进口、出口合同产品不会侵犯任何第三方知识产权，供应商需保证不存在任何悬而未决的或潜在的关于合同产品可能侵犯第三方知识产权的诉讼、警示通知或纠纷程序。</w:t>
      </w:r>
    </w:p>
    <w:p>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11.</w:t>
      </w:r>
      <w:r>
        <w:rPr>
          <w:rFonts w:ascii="宋体" w:hAnsi="宋体" w:cs="宋体"/>
          <w:color w:val="auto"/>
          <w:sz w:val="24"/>
          <w:highlight w:val="none"/>
        </w:rPr>
        <w:t>系统安全：网络安全和数据安全达到国家安全技术标准；</w:t>
      </w:r>
      <w:r>
        <w:rPr>
          <w:rFonts w:hint="eastAsia" w:ascii="宋体" w:hAnsi="宋体" w:cs="宋体"/>
          <w:color w:val="auto"/>
          <w:sz w:val="24"/>
          <w:highlight w:val="none"/>
        </w:rPr>
        <w:t>供应商依照合同为采购人定制开发的功能产品（包括源码、程序、文件、文档资料等），其所有权和版权属采购人，需完整交付与采购人。未经采购人许可，供应商不得公布相关数据、文件、源码，不得复制、传播、反编译、出售、出租或者许可他人使用其相关的程序、文件、源码和反编译等；所提供的的软件产品均不存在收集或泄露甲方保密信息（包括但不限于：采购人信息、重要资料等）的行为，不以任何目的（包括学习或研究等目的），以任何方式和媒介复制、利用或供第三方使用采购人数据库中数据。</w:t>
      </w:r>
    </w:p>
    <w:p>
      <w:pPr>
        <w:pStyle w:val="4"/>
        <w:spacing w:line="400" w:lineRule="exact"/>
        <w:ind w:firstLine="482" w:firstLineChars="200"/>
        <w:rPr>
          <w:rFonts w:cs="宋体"/>
          <w:color w:val="auto"/>
          <w:sz w:val="24"/>
          <w:szCs w:val="24"/>
          <w:highlight w:val="none"/>
        </w:rPr>
      </w:pPr>
      <w:bookmarkStart w:id="36" w:name="_Toc30301"/>
      <w:r>
        <w:rPr>
          <w:rFonts w:hint="eastAsia" w:cs="宋体"/>
          <w:b/>
          <w:bCs/>
          <w:color w:val="auto"/>
          <w:sz w:val="24"/>
          <w:szCs w:val="24"/>
          <w:highlight w:val="none"/>
        </w:rPr>
        <w:t>※五</w:t>
      </w:r>
      <w:r>
        <w:rPr>
          <w:rFonts w:hint="eastAsia"/>
          <w:b/>
          <w:bCs/>
          <w:color w:val="auto"/>
          <w:sz w:val="24"/>
          <w:szCs w:val="24"/>
          <w:highlight w:val="none"/>
        </w:rPr>
        <w:t>、</w:t>
      </w:r>
      <w:r>
        <w:rPr>
          <w:rFonts w:hint="eastAsia" w:cs="宋体"/>
          <w:b/>
          <w:bCs/>
          <w:color w:val="auto"/>
          <w:sz w:val="24"/>
          <w:szCs w:val="24"/>
          <w:highlight w:val="none"/>
        </w:rPr>
        <w:t>演示环节</w:t>
      </w:r>
      <w:bookmarkEnd w:id="36"/>
    </w:p>
    <w:p>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演示环节属于符合性审查环节，供应商须对所投产品进行实际运行的功能演示，可进行线上远程演示或现场演示，采用线上远程演示的供应商应须提供演示人员姓名、身份证号、电话号码等信息（格式自定），</w:t>
      </w:r>
      <w:r>
        <w:rPr>
          <w:rFonts w:hint="eastAsia" w:ascii="宋体" w:hAnsi="宋体" w:cs="宋体"/>
          <w:b/>
          <w:bCs/>
          <w:color w:val="auto"/>
          <w:sz w:val="24"/>
          <w:highlight w:val="none"/>
        </w:rPr>
        <w:t>未进行演示的或演示内容不齐全的或提供演示视频或PPT演示的供应商，其符合性检查不予通过。</w:t>
      </w:r>
      <w:r>
        <w:rPr>
          <w:rFonts w:hint="eastAsia" w:ascii="宋体" w:hAnsi="宋体" w:cs="宋体"/>
          <w:color w:val="auto"/>
          <w:sz w:val="24"/>
          <w:highlight w:val="none"/>
        </w:rPr>
        <w:t>演示时间10分钟以内。项目所有演示环节所需电脑等硬件设备由投标人自备，请投标人提前准备好演示平台、必要的环境数据。</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rPr>
        <w:t>1、用户</w:t>
      </w:r>
      <w:r>
        <w:rPr>
          <w:rFonts w:hint="eastAsia" w:ascii="宋体" w:hAnsi="宋体" w:cs="宋体"/>
          <w:color w:val="auto"/>
          <w:sz w:val="24"/>
          <w:highlight w:val="none"/>
          <w:lang w:eastAsia="zh-Hans"/>
        </w:rPr>
        <w:t>权限演示</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lang w:eastAsia="zh-Hans"/>
        </w:rPr>
        <w:t>需演示</w:t>
      </w:r>
      <w:r>
        <w:rPr>
          <w:rFonts w:hint="eastAsia" w:ascii="宋体" w:hAnsi="宋体" w:cs="宋体"/>
          <w:color w:val="auto"/>
          <w:sz w:val="24"/>
          <w:highlight w:val="none"/>
        </w:rPr>
        <w:t>实现不同权限管理和系统角色管理，用户登录后，可根据工作需要授权不同身份的人员相应权限。一级管理员可以对全校评价任务、用户权限信息等进行管理维护，二级管理员登陆后可以对二级单位内部的评价任务、用户权限信息等进行管理维护。</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rPr>
        <w:t>2、督导评课功能全流程演示</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rPr>
        <w:t>评价指标设置——评价任务自定义创建（可设置评课对象、评价任务时间）——评价任务分配——填写评价结果并提交——评价数据统计分析。</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rPr>
        <w:t>3、学生评教功能全流程演示</w:t>
      </w:r>
    </w:p>
    <w:p>
      <w:pPr>
        <w:spacing w:line="400" w:lineRule="exact"/>
        <w:ind w:left="14" w:leftChars="5" w:firstLine="535" w:firstLineChars="223"/>
        <w:rPr>
          <w:rFonts w:ascii="宋体" w:hAnsi="宋体" w:cs="宋体"/>
          <w:color w:val="auto"/>
          <w:sz w:val="24"/>
          <w:highlight w:val="none"/>
        </w:rPr>
      </w:pPr>
      <w:r>
        <w:rPr>
          <w:rFonts w:hint="eastAsia" w:ascii="宋体" w:hAnsi="宋体" w:cs="宋体"/>
          <w:color w:val="auto"/>
          <w:sz w:val="24"/>
          <w:highlight w:val="none"/>
        </w:rPr>
        <w:t>设置评价指标——评价任务自定义创建（可设置评价任务时间，参评课程，参评学生）——学生填写评价结果并提交——评价数据统计分析。并可对学生参评状态和进度进行实时监控并可导出相关数据。</w:t>
      </w:r>
    </w:p>
    <w:p>
      <w:pPr>
        <w:rPr>
          <w:rFonts w:ascii="宋体" w:hAnsi="宋体" w:cs="宋体"/>
          <w:color w:val="auto"/>
          <w:sz w:val="24"/>
          <w:highlight w:val="none"/>
        </w:rPr>
      </w:pPr>
      <w:r>
        <w:rPr>
          <w:rFonts w:hint="eastAsia" w:ascii="宋体" w:hAnsi="宋体" w:cs="宋体"/>
          <w:color w:val="auto"/>
          <w:sz w:val="24"/>
          <w:highlight w:val="none"/>
        </w:rPr>
        <w:br w:type="page"/>
      </w:r>
    </w:p>
    <w:p>
      <w:pPr>
        <w:pStyle w:val="2"/>
        <w:jc w:val="center"/>
        <w:rPr>
          <w:b/>
          <w:color w:val="auto"/>
          <w:highlight w:val="none"/>
        </w:rPr>
      </w:pPr>
      <w:r>
        <w:rPr>
          <w:b/>
          <w:color w:val="auto"/>
          <w:highlight w:val="none"/>
        </w:rPr>
        <w:t>重庆工商大学信息系统项目建设通用技术规范</w:t>
      </w:r>
    </w:p>
    <w:p>
      <w:pPr>
        <w:pStyle w:val="2"/>
        <w:rPr>
          <w:color w:val="auto"/>
          <w:highlight w:val="none"/>
        </w:rPr>
      </w:pPr>
      <w:r>
        <w:rPr>
          <w:color w:val="auto"/>
          <w:highlight w:val="none"/>
        </w:rPr>
        <w:t>信息系统项目建设谈判文件和合同除包含项目本身的建设内容外，还应包括以下通用技术规范：</w:t>
      </w:r>
    </w:p>
    <w:p>
      <w:pPr>
        <w:pStyle w:val="2"/>
        <w:rPr>
          <w:color w:val="auto"/>
          <w:highlight w:val="none"/>
        </w:rPr>
      </w:pPr>
      <w:r>
        <w:rPr>
          <w:color w:val="auto"/>
          <w:highlight w:val="none"/>
        </w:rPr>
        <w:t>第一条 标准与规范。信息系统建设必须严格遵循学校相关信息化标准与规范。</w:t>
      </w:r>
    </w:p>
    <w:p>
      <w:pPr>
        <w:pStyle w:val="2"/>
        <w:rPr>
          <w:color w:val="auto"/>
          <w:highlight w:val="none"/>
        </w:rPr>
      </w:pPr>
      <w:r>
        <w:rPr>
          <w:color w:val="auto"/>
          <w:highlight w:val="none"/>
        </w:rPr>
        <w:t>第二条 数据管理。信息系统产生的数据所有权归校方所有，项目竣工交付时，其所涉及的数据库系统 、平台的管理权以及所生产数据的访问权必须提供给学校，如有加密等处理，则必须同时提供解密算法和解密秘钥。</w:t>
      </w:r>
    </w:p>
    <w:p>
      <w:pPr>
        <w:pStyle w:val="2"/>
        <w:rPr>
          <w:color w:val="auto"/>
          <w:highlight w:val="none"/>
        </w:rPr>
      </w:pPr>
      <w:r>
        <w:rPr>
          <w:color w:val="auto"/>
          <w:highlight w:val="none"/>
        </w:rPr>
        <w:t>信息系统必须提供用于数据采集和数据交换的对外接口。接口通过前置库或API方式提供，其内容、数据更新频率由学校提出，校方可永久免费使用该接口，无附加条件。信息系统对接口的字段定义必须符合学校数据标准，由成交供应商负责完成从系统内到接口之间的数据映射、转换并保证其正确性、有效性，当软件发生升级调整时，须同步进行映射转换规则的更新。信息系统竣工交付时，成交供应商必须同时提供完整、正确、规范的数据字典和代码表，当软件发生升级、调整时，须提供更新的版本。</w:t>
      </w:r>
    </w:p>
    <w:p>
      <w:pPr>
        <w:pStyle w:val="2"/>
        <w:rPr>
          <w:color w:val="auto"/>
          <w:highlight w:val="none"/>
        </w:rPr>
      </w:pPr>
      <w:r>
        <w:rPr>
          <w:color w:val="auto"/>
          <w:highlight w:val="none"/>
        </w:rPr>
        <w:t>完成与学校数据中心的数据对接，包含但不限于以下内容：（1）业务系统所需的组织架构、师生基本信息、课程和专业基本信息等基础数据，需从数据中心同步获取。（2）业务系统产生的数据，根据需要同步到数据中心。</w:t>
      </w:r>
    </w:p>
    <w:p>
      <w:pPr>
        <w:pStyle w:val="2"/>
        <w:rPr>
          <w:color w:val="auto"/>
          <w:highlight w:val="none"/>
        </w:rPr>
      </w:pPr>
      <w:r>
        <w:rPr>
          <w:color w:val="auto"/>
          <w:highlight w:val="none"/>
        </w:rPr>
        <w:t>新建系统须遵循“一数一源”原则采集数据，凡属于数据资源目录中可以获得的数据，可通过统一数据开放平台共享使用，不可重复采集。</w:t>
      </w:r>
    </w:p>
    <w:p>
      <w:pPr>
        <w:pStyle w:val="2"/>
        <w:rPr>
          <w:color w:val="auto"/>
          <w:highlight w:val="none"/>
        </w:rPr>
      </w:pPr>
      <w:r>
        <w:rPr>
          <w:color w:val="auto"/>
          <w:highlight w:val="none"/>
        </w:rPr>
        <w:t>第三条 统一认证。信息系统涉及的用户信息认证必须采用学校统一身份认证服务做为用户唯一认证方式，须完成与学校单点登录系统的对接并作为校内唯一登录方式。原则上，业务系统不再提供单独登录入口，对有特殊原因确需保留单独登录入口的系统，需经信息化办公室的批准并具备以下安全策略：</w:t>
      </w:r>
    </w:p>
    <w:p>
      <w:pPr>
        <w:pStyle w:val="2"/>
        <w:rPr>
          <w:color w:val="auto"/>
          <w:highlight w:val="none"/>
        </w:rPr>
      </w:pPr>
      <w:r>
        <w:rPr>
          <w:color w:val="auto"/>
          <w:highlight w:val="none"/>
        </w:rPr>
        <w:t>（1）具备弱密码检测功能，并强制用户使用强密码。</w:t>
      </w:r>
    </w:p>
    <w:p>
      <w:pPr>
        <w:pStyle w:val="2"/>
        <w:rPr>
          <w:color w:val="auto"/>
          <w:highlight w:val="none"/>
        </w:rPr>
      </w:pPr>
      <w:r>
        <w:rPr>
          <w:color w:val="auto"/>
          <w:highlight w:val="none"/>
        </w:rPr>
        <w:t>（2）定时提醒并要求用户修改密码。</w:t>
      </w:r>
    </w:p>
    <w:p>
      <w:pPr>
        <w:pStyle w:val="2"/>
        <w:rPr>
          <w:color w:val="auto"/>
          <w:highlight w:val="none"/>
        </w:rPr>
      </w:pPr>
      <w:r>
        <w:rPr>
          <w:color w:val="auto"/>
          <w:highlight w:val="none"/>
        </w:rPr>
        <w:t>（3）系统密码必须加密存储和传输，能防范常见网络安全攻击。</w:t>
      </w:r>
    </w:p>
    <w:p>
      <w:pPr>
        <w:pStyle w:val="2"/>
        <w:rPr>
          <w:color w:val="auto"/>
          <w:highlight w:val="none"/>
        </w:rPr>
      </w:pPr>
      <w:r>
        <w:rPr>
          <w:color w:val="auto"/>
          <w:highlight w:val="none"/>
        </w:rPr>
        <w:t>第四条 系统集成。信息系统建设须将师生常用功能以轻、微应用的方式对接到学校企业微信，翠湖智办（一网通办平台），方便师生使用。信息系统原则上应同时建设移动端应用，按学校规范提供接口，供学校翠湖智办、企业微信调用，接入统一消息中心。接入融合门户待办已办工作流，并按重庆工商大学数据规范要求，实现数据与学校统一数据开放平台对接、交换。</w:t>
      </w:r>
    </w:p>
    <w:p>
      <w:pPr>
        <w:pStyle w:val="2"/>
        <w:rPr>
          <w:color w:val="auto"/>
          <w:highlight w:val="none"/>
        </w:rPr>
      </w:pPr>
      <w:r>
        <w:rPr>
          <w:color w:val="auto"/>
          <w:highlight w:val="none"/>
        </w:rPr>
        <w:t>第五条 系统与数据安全。系统应加装学校统一购买的SSL证书，采用HTTPS协议进行访问，保障信息传输安全。</w:t>
      </w:r>
    </w:p>
    <w:p>
      <w:pPr>
        <w:pStyle w:val="2"/>
        <w:rPr>
          <w:color w:val="auto"/>
          <w:highlight w:val="none"/>
        </w:rPr>
      </w:pPr>
      <w:r>
        <w:rPr>
          <w:color w:val="auto"/>
          <w:highlight w:val="none"/>
        </w:rPr>
        <w:t>系统存在使用学校隐私数据时，应与成交供应商签订信息安全保密协议，保障学校数据的安全。</w:t>
      </w:r>
    </w:p>
    <w:p>
      <w:pPr>
        <w:pStyle w:val="2"/>
        <w:rPr>
          <w:color w:val="auto"/>
          <w:highlight w:val="none"/>
        </w:rPr>
      </w:pPr>
      <w:r>
        <w:rPr>
          <w:color w:val="auto"/>
          <w:highlight w:val="none"/>
        </w:rPr>
        <w:t>信息系统应具备基本的身份认证、访问控制、日志记录、数据备份等安全机制。敏感数据在网上传输时，须先加密后传输。原则上不得在系统中留存身份证号、手机号、银行卡号等敏感隐私信息。</w:t>
      </w:r>
    </w:p>
    <w:p>
      <w:pPr>
        <w:pStyle w:val="2"/>
        <w:rPr>
          <w:color w:val="auto"/>
          <w:highlight w:val="none"/>
        </w:rPr>
      </w:pPr>
      <w:r>
        <w:rPr>
          <w:color w:val="auto"/>
          <w:highlight w:val="none"/>
        </w:rPr>
        <w:t>第六条 信息系统安全保护等级测评。对于提供互联网服务的信息系统应通过2级及以上的安全保护等级测评。对于只提供校内服务的信息系统，要通过1级及以上的安全保护等级测评。系统的安全保护等级以公安机关认定为准。</w:t>
      </w:r>
    </w:p>
    <w:p>
      <w:pPr>
        <w:pStyle w:val="2"/>
        <w:rPr>
          <w:color w:val="auto"/>
          <w:highlight w:val="none"/>
        </w:rPr>
      </w:pPr>
      <w:r>
        <w:rPr>
          <w:color w:val="auto"/>
          <w:highlight w:val="none"/>
        </w:rPr>
        <w:t>第七条 提交完备的建设资料。包括项目需求文档、实施方案、设计方案、使用手册、安装部署文档、数据字典、接口文档、二次开发手册等。</w:t>
      </w:r>
    </w:p>
    <w:bookmarkEnd w:id="29"/>
    <w:bookmarkEnd w:id="30"/>
    <w:bookmarkEnd w:id="31"/>
    <w:bookmarkEnd w:id="32"/>
    <w:bookmarkEnd w:id="33"/>
    <w:bookmarkEnd w:id="34"/>
    <w:bookmarkEnd w:id="35"/>
    <w:p>
      <w:pPr>
        <w:rPr>
          <w:rFonts w:ascii="宋体" w:hAnsi="宋体" w:cs="宋体"/>
          <w:b/>
          <w:color w:val="auto"/>
          <w:highlight w:val="none"/>
        </w:rPr>
      </w:pPr>
      <w:r>
        <w:rPr>
          <w:rFonts w:hint="eastAsia" w:ascii="宋体" w:hAnsi="宋体" w:cs="宋体"/>
          <w:b/>
          <w:color w:val="auto"/>
          <w:highlight w:val="none"/>
        </w:rPr>
        <w:br w:type="page"/>
      </w:r>
    </w:p>
    <w:p>
      <w:pPr>
        <w:pStyle w:val="3"/>
        <w:spacing w:before="0" w:beforeLines="0" w:after="0" w:afterLines="0" w:line="360" w:lineRule="auto"/>
        <w:rPr>
          <w:rFonts w:ascii="宋体" w:hAnsi="宋体" w:eastAsia="宋体" w:cs="宋体"/>
          <w:bCs/>
          <w:color w:val="auto"/>
          <w:highlight w:val="none"/>
        </w:rPr>
      </w:pPr>
      <w:bookmarkStart w:id="37" w:name="_Toc25309"/>
      <w:r>
        <w:rPr>
          <w:rFonts w:hint="eastAsia" w:ascii="宋体" w:hAnsi="宋体" w:eastAsia="宋体" w:cs="宋体"/>
          <w:bCs/>
          <w:color w:val="auto"/>
          <w:highlight w:val="none"/>
        </w:rPr>
        <w:t>第三篇  项目商务要求</w:t>
      </w:r>
      <w:bookmarkEnd w:id="37"/>
    </w:p>
    <w:p>
      <w:pPr>
        <w:snapToGrid w:val="0"/>
        <w:spacing w:line="360" w:lineRule="auto"/>
        <w:ind w:firstLine="480" w:firstLineChars="200"/>
        <w:rPr>
          <w:rFonts w:ascii="宋体" w:hAnsi="宋体" w:cs="宋体"/>
          <w:color w:val="auto"/>
          <w:kern w:val="0"/>
          <w:sz w:val="24"/>
          <w:szCs w:val="24"/>
          <w:highlight w:val="none"/>
        </w:rPr>
      </w:pPr>
      <w:bookmarkStart w:id="38" w:name="_Toc267320049"/>
      <w:r>
        <w:rPr>
          <w:rFonts w:hint="eastAsia" w:ascii="宋体" w:hAnsi="宋体" w:cs="宋体"/>
          <w:color w:val="auto"/>
          <w:sz w:val="24"/>
          <w:szCs w:val="28"/>
          <w:highlight w:val="none"/>
        </w:rPr>
        <w:t>“</w:t>
      </w:r>
      <w:r>
        <w:rPr>
          <w:rFonts w:hint="eastAsia" w:ascii="宋体" w:hAnsi="宋体" w:cs="宋体"/>
          <w:color w:val="auto"/>
          <w:kern w:val="0"/>
          <w:sz w:val="21"/>
          <w:szCs w:val="21"/>
          <w:highlight w:val="none"/>
        </w:rPr>
        <w:t>※</w:t>
      </w:r>
      <w:r>
        <w:rPr>
          <w:rFonts w:hint="eastAsia" w:ascii="宋体" w:hAnsi="宋体" w:cs="宋体"/>
          <w:color w:val="auto"/>
          <w:sz w:val="24"/>
          <w:szCs w:val="28"/>
          <w:highlight w:val="none"/>
        </w:rPr>
        <w:t>”标注的商务要求为符合性审查中的实质性要求，若不满足按无效投标处理。</w:t>
      </w:r>
      <w:bookmarkEnd w:id="38"/>
    </w:p>
    <w:p>
      <w:pPr>
        <w:pStyle w:val="4"/>
        <w:spacing w:line="500" w:lineRule="exact"/>
        <w:ind w:firstLine="482" w:firstLineChars="200"/>
        <w:rPr>
          <w:b/>
          <w:color w:val="auto"/>
          <w:sz w:val="24"/>
          <w:highlight w:val="none"/>
        </w:rPr>
      </w:pPr>
      <w:bookmarkStart w:id="39" w:name="_Toc1610"/>
      <w:bookmarkStart w:id="40" w:name="_Toc29610"/>
      <w:bookmarkStart w:id="41" w:name="_Toc11001"/>
      <w:bookmarkStart w:id="42" w:name="_Toc23961"/>
      <w:bookmarkStart w:id="43" w:name="_Toc23551"/>
      <w:bookmarkStart w:id="44" w:name="_Toc5018"/>
      <w:bookmarkStart w:id="45" w:name="_Toc8752"/>
      <w:bookmarkStart w:id="46" w:name="_Toc267320050"/>
      <w:r>
        <w:rPr>
          <w:rFonts w:hint="eastAsia"/>
          <w:b/>
          <w:color w:val="auto"/>
          <w:sz w:val="24"/>
          <w:highlight w:val="none"/>
        </w:rPr>
        <w:t>一、交付期、交货地点及验收方式</w:t>
      </w:r>
      <w:bookmarkEnd w:id="39"/>
      <w:bookmarkEnd w:id="40"/>
      <w:bookmarkEnd w:id="41"/>
      <w:bookmarkEnd w:id="42"/>
      <w:bookmarkEnd w:id="43"/>
      <w:bookmarkEnd w:id="44"/>
      <w:bookmarkEnd w:id="45"/>
    </w:p>
    <w:p>
      <w:pPr>
        <w:snapToGrid w:val="0"/>
        <w:spacing w:line="440" w:lineRule="exact"/>
        <w:ind w:firstLine="540"/>
        <w:rPr>
          <w:rFonts w:ascii="宋体" w:hAnsi="宋体" w:cs="宋体"/>
          <w:b/>
          <w:color w:val="auto"/>
          <w:sz w:val="24"/>
          <w:szCs w:val="24"/>
          <w:highlight w:val="none"/>
        </w:rPr>
      </w:pPr>
      <w:r>
        <w:rPr>
          <w:rFonts w:hint="eastAsia" w:ascii="宋体" w:hAnsi="宋体" w:cs="宋体"/>
          <w:b/>
          <w:color w:val="auto"/>
          <w:sz w:val="21"/>
          <w:szCs w:val="21"/>
          <w:highlight w:val="none"/>
        </w:rPr>
        <w:t>※</w:t>
      </w:r>
      <w:r>
        <w:rPr>
          <w:rFonts w:hint="eastAsia" w:ascii="宋体" w:hAnsi="宋体" w:cs="宋体"/>
          <w:b/>
          <w:color w:val="auto"/>
          <w:sz w:val="24"/>
          <w:szCs w:val="24"/>
          <w:highlight w:val="none"/>
        </w:rPr>
        <w:t>（一）交付期及相关时间节点</w:t>
      </w:r>
    </w:p>
    <w:p>
      <w:pPr>
        <w:snapToGrid w:val="0"/>
        <w:spacing w:line="440" w:lineRule="exact"/>
        <w:ind w:firstLine="480" w:firstLineChars="200"/>
        <w:rPr>
          <w:bCs/>
          <w:color w:val="auto"/>
          <w:sz w:val="24"/>
          <w:szCs w:val="24"/>
          <w:highlight w:val="none"/>
        </w:rPr>
      </w:pPr>
      <w:r>
        <w:rPr>
          <w:rFonts w:hint="eastAsia"/>
          <w:color w:val="auto"/>
          <w:sz w:val="24"/>
          <w:szCs w:val="24"/>
          <w:highlight w:val="none"/>
        </w:rPr>
        <w:t>1.中标人应在采购合同签订之日起，15个日历日内与需求部门进行全部需求功能沟通确认，</w:t>
      </w:r>
      <w:r>
        <w:rPr>
          <w:rFonts w:hint="eastAsia"/>
          <w:bCs/>
          <w:color w:val="auto"/>
          <w:sz w:val="24"/>
          <w:szCs w:val="24"/>
          <w:highlight w:val="none"/>
        </w:rPr>
        <w:t>60</w:t>
      </w:r>
      <w:r>
        <w:rPr>
          <w:bCs/>
          <w:color w:val="auto"/>
          <w:sz w:val="24"/>
          <w:szCs w:val="24"/>
          <w:highlight w:val="none"/>
        </w:rPr>
        <w:t>个日历日内完成系统安装部署、</w:t>
      </w:r>
      <w:r>
        <w:rPr>
          <w:rFonts w:hint="eastAsia"/>
          <w:bCs/>
          <w:color w:val="auto"/>
          <w:sz w:val="24"/>
          <w:szCs w:val="24"/>
          <w:highlight w:val="none"/>
        </w:rPr>
        <w:t>二次开发、</w:t>
      </w:r>
      <w:r>
        <w:rPr>
          <w:bCs/>
          <w:color w:val="auto"/>
          <w:sz w:val="24"/>
          <w:szCs w:val="24"/>
          <w:highlight w:val="none"/>
        </w:rPr>
        <w:t>上线，并达到试运行条件</w:t>
      </w:r>
      <w:r>
        <w:rPr>
          <w:rFonts w:hint="eastAsia"/>
          <w:bCs/>
          <w:color w:val="auto"/>
          <w:sz w:val="24"/>
          <w:szCs w:val="24"/>
          <w:highlight w:val="none"/>
        </w:rPr>
        <w:t>；</w:t>
      </w:r>
    </w:p>
    <w:p>
      <w:pPr>
        <w:snapToGrid w:val="0"/>
        <w:spacing w:line="440" w:lineRule="exact"/>
        <w:ind w:firstLine="480" w:firstLineChars="200"/>
        <w:rPr>
          <w:rFonts w:ascii="宋体" w:hAnsi="宋体"/>
          <w:bCs/>
          <w:color w:val="auto"/>
          <w:sz w:val="24"/>
          <w:szCs w:val="24"/>
          <w:highlight w:val="none"/>
        </w:rPr>
      </w:pPr>
      <w:r>
        <w:rPr>
          <w:rFonts w:hint="eastAsia"/>
          <w:bCs/>
          <w:color w:val="auto"/>
          <w:sz w:val="24"/>
          <w:szCs w:val="24"/>
          <w:highlight w:val="none"/>
        </w:rPr>
        <w:t>2.采购人需求部门同意开始试运行，</w:t>
      </w:r>
      <w:r>
        <w:rPr>
          <w:rFonts w:hint="eastAsia" w:ascii="宋体" w:hAnsi="宋体"/>
          <w:bCs/>
          <w:color w:val="auto"/>
          <w:sz w:val="24"/>
          <w:szCs w:val="24"/>
          <w:highlight w:val="none"/>
        </w:rPr>
        <w:t>整个系统须试运</w:t>
      </w:r>
      <w:r>
        <w:rPr>
          <w:rFonts w:hint="eastAsia"/>
          <w:color w:val="auto"/>
          <w:sz w:val="24"/>
          <w:szCs w:val="24"/>
          <w:highlight w:val="none"/>
        </w:rPr>
        <w:t>行30个日历</w:t>
      </w:r>
      <w:r>
        <w:rPr>
          <w:rFonts w:hint="eastAsia" w:ascii="宋体" w:hAnsi="宋体"/>
          <w:bCs/>
          <w:color w:val="auto"/>
          <w:sz w:val="24"/>
          <w:szCs w:val="24"/>
          <w:highlight w:val="none"/>
        </w:rPr>
        <w:t>日后进行试运行验收；</w:t>
      </w:r>
    </w:p>
    <w:p>
      <w:pPr>
        <w:snapToGrid w:val="0"/>
        <w:spacing w:line="440" w:lineRule="exact"/>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3.</w:t>
      </w:r>
      <w:r>
        <w:rPr>
          <w:color w:val="auto"/>
          <w:sz w:val="24"/>
          <w:szCs w:val="24"/>
          <w:highlight w:val="none"/>
        </w:rPr>
        <w:t>自试运行验收合格之日起，整个系统稳定运行</w:t>
      </w:r>
      <w:r>
        <w:rPr>
          <w:rFonts w:hint="eastAsia"/>
          <w:color w:val="auto"/>
          <w:sz w:val="24"/>
          <w:szCs w:val="24"/>
          <w:highlight w:val="none"/>
        </w:rPr>
        <w:t>180个日历日</w:t>
      </w:r>
      <w:r>
        <w:rPr>
          <w:rFonts w:hint="eastAsia"/>
          <w:bCs/>
          <w:color w:val="auto"/>
          <w:sz w:val="24"/>
          <w:szCs w:val="24"/>
          <w:highlight w:val="none"/>
        </w:rPr>
        <w:t>，在无任何运行问题的情况下进行正式验收。</w:t>
      </w:r>
    </w:p>
    <w:p>
      <w:pPr>
        <w:snapToGrid w:val="0"/>
        <w:spacing w:line="44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（二）服务地点：采购人指定地点。</w:t>
      </w:r>
    </w:p>
    <w:p>
      <w:pPr>
        <w:snapToGrid w:val="0"/>
        <w:spacing w:line="44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（三）验收方式</w:t>
      </w:r>
    </w:p>
    <w:p>
      <w:pPr>
        <w:snapToGrid w:val="0"/>
        <w:spacing w:line="440" w:lineRule="exact"/>
        <w:ind w:firstLine="540"/>
        <w:rPr>
          <w:color w:val="auto"/>
          <w:sz w:val="24"/>
          <w:szCs w:val="24"/>
          <w:highlight w:val="none"/>
        </w:rPr>
      </w:pPr>
      <w:r>
        <w:rPr>
          <w:color w:val="auto"/>
          <w:sz w:val="24"/>
          <w:szCs w:val="24"/>
          <w:highlight w:val="none"/>
        </w:rPr>
        <w:t>1.系统按合同要求安装部署后，中标人以书面形式向采购人需求部门提交系统试运行申请、系统功能、性能指标等采购合同要求的内容，经采购人需求部门同意后开始试运行，试运行过程中满足该服务平台的软、硬件功能和性能要求。</w:t>
      </w:r>
      <w:r>
        <w:rPr>
          <w:rFonts w:hint="eastAsia"/>
          <w:color w:val="auto"/>
          <w:sz w:val="24"/>
          <w:szCs w:val="24"/>
          <w:highlight w:val="none"/>
        </w:rPr>
        <w:t>试运行前，系统安全检测由采购人信息化办公室负责，</w:t>
      </w:r>
      <w:r>
        <w:rPr>
          <w:bCs/>
          <w:color w:val="auto"/>
          <w:sz w:val="24"/>
          <w:szCs w:val="24"/>
          <w:highlight w:val="none"/>
        </w:rPr>
        <w:t>中标人配合采购人进行安全检测和整改。</w:t>
      </w:r>
    </w:p>
    <w:p>
      <w:pPr>
        <w:spacing w:line="440" w:lineRule="exact"/>
        <w:ind w:firstLine="540"/>
        <w:rPr>
          <w:color w:val="auto"/>
          <w:sz w:val="24"/>
          <w:szCs w:val="24"/>
          <w:highlight w:val="none"/>
        </w:rPr>
      </w:pPr>
      <w:r>
        <w:rPr>
          <w:color w:val="auto"/>
          <w:sz w:val="24"/>
          <w:szCs w:val="24"/>
          <w:highlight w:val="none"/>
        </w:rPr>
        <w:t>2.试运行期间中标人应对系统发生的所有问题，及时地做出有效响应，必要时应保证有足够的人员在现场支持。</w:t>
      </w:r>
    </w:p>
    <w:p>
      <w:pPr>
        <w:spacing w:line="440" w:lineRule="exact"/>
        <w:ind w:firstLine="540"/>
        <w:rPr>
          <w:bCs/>
          <w:color w:val="auto"/>
          <w:sz w:val="24"/>
          <w:szCs w:val="24"/>
          <w:highlight w:val="none"/>
        </w:rPr>
      </w:pPr>
      <w:r>
        <w:rPr>
          <w:color w:val="auto"/>
          <w:sz w:val="24"/>
          <w:szCs w:val="24"/>
          <w:highlight w:val="none"/>
        </w:rPr>
        <w:t>3.试运行期间正常运行主要是指：系统的运行稳定、可靠，未出现严重系统故障；平台的整体性能和功能满足采购文件要求。</w:t>
      </w:r>
    </w:p>
    <w:p>
      <w:pPr>
        <w:snapToGrid w:val="0"/>
        <w:spacing w:line="440" w:lineRule="exact"/>
        <w:ind w:left="12" w:firstLine="472" w:firstLineChars="197"/>
        <w:rPr>
          <w:rFonts w:ascii="宋体" w:hAnsi="宋体" w:cs="宋体"/>
          <w:color w:val="auto"/>
          <w:sz w:val="24"/>
          <w:szCs w:val="24"/>
          <w:highlight w:val="none"/>
        </w:rPr>
      </w:pPr>
      <w:r>
        <w:rPr>
          <w:bCs/>
          <w:color w:val="auto"/>
          <w:sz w:val="24"/>
          <w:szCs w:val="24"/>
          <w:highlight w:val="none"/>
        </w:rPr>
        <w:t>4.试运行验收。</w:t>
      </w:r>
      <w:r>
        <w:rPr>
          <w:color w:val="auto"/>
          <w:sz w:val="24"/>
          <w:szCs w:val="24"/>
          <w:highlight w:val="none"/>
        </w:rPr>
        <w:t>由采购人需求部门牵头组织进行试运行验收</w:t>
      </w:r>
      <w:r>
        <w:rPr>
          <w:rFonts w:hint="eastAsia"/>
          <w:color w:val="auto"/>
          <w:sz w:val="24"/>
          <w:szCs w:val="24"/>
          <w:highlight w:val="none"/>
        </w:rPr>
        <w:t>。</w:t>
      </w:r>
      <w:r>
        <w:rPr>
          <w:color w:val="auto"/>
          <w:sz w:val="24"/>
          <w:szCs w:val="24"/>
          <w:highlight w:val="none"/>
        </w:rPr>
        <w:t>试运行正常结束后，由中标人以书面形式提交平台试运行验收申请及验收所需的试运行情况报告（包含但不限于系统功能、技术指标、技术文档、技术支持</w:t>
      </w:r>
      <w:r>
        <w:rPr>
          <w:rFonts w:hint="eastAsia"/>
          <w:color w:val="auto"/>
          <w:sz w:val="24"/>
          <w:szCs w:val="24"/>
          <w:highlight w:val="none"/>
        </w:rPr>
        <w:t>、</w:t>
      </w:r>
      <w:r>
        <w:rPr>
          <w:rFonts w:hint="eastAsia"/>
          <w:bCs/>
          <w:color w:val="auto"/>
          <w:sz w:val="24"/>
          <w:szCs w:val="24"/>
          <w:highlight w:val="none"/>
          <w:lang w:val="en-US" w:eastAsia="zh-CN"/>
        </w:rPr>
        <w:t>系统测试报告、</w:t>
      </w:r>
      <w:r>
        <w:rPr>
          <w:bCs/>
          <w:color w:val="auto"/>
          <w:sz w:val="24"/>
          <w:szCs w:val="24"/>
          <w:highlight w:val="none"/>
        </w:rPr>
        <w:t>接口资料</w:t>
      </w:r>
      <w:r>
        <w:rPr>
          <w:rFonts w:hint="eastAsia"/>
          <w:bCs/>
          <w:color w:val="auto"/>
          <w:sz w:val="24"/>
          <w:szCs w:val="24"/>
          <w:highlight w:val="none"/>
        </w:rPr>
        <w:t>、</w:t>
      </w:r>
      <w:r>
        <w:rPr>
          <w:rFonts w:hint="eastAsia"/>
          <w:color w:val="auto"/>
          <w:sz w:val="24"/>
          <w:szCs w:val="24"/>
          <w:highlight w:val="none"/>
        </w:rPr>
        <w:t>系统安全测试</w:t>
      </w:r>
      <w:r>
        <w:rPr>
          <w:color w:val="auto"/>
          <w:sz w:val="24"/>
          <w:szCs w:val="24"/>
          <w:highlight w:val="none"/>
        </w:rPr>
        <w:t>等内容）和其他相关资料。</w:t>
      </w:r>
      <w:r>
        <w:rPr>
          <w:rFonts w:ascii="宋体" w:hAnsi="宋体" w:cs="宋体"/>
          <w:color w:val="auto"/>
          <w:sz w:val="24"/>
          <w:szCs w:val="24"/>
          <w:highlight w:val="none"/>
        </w:rPr>
        <w:t>进行系统的功能测试验证，并在真实环境中将实际数据导入后试用。经</w:t>
      </w:r>
      <w:r>
        <w:rPr>
          <w:rFonts w:hint="eastAsia" w:ascii="宋体" w:hAnsi="宋体" w:cs="宋体"/>
          <w:color w:val="auto"/>
          <w:sz w:val="24"/>
          <w:szCs w:val="24"/>
          <w:highlight w:val="none"/>
        </w:rPr>
        <w:t>需求部门对所有功能模块进行试用，需要在真实环境下进行使用，并将各类数据分析报告进行验证，确认满足功能和技术需求。</w:t>
      </w:r>
    </w:p>
    <w:p>
      <w:pPr>
        <w:snapToGrid w:val="0"/>
        <w:spacing w:line="440" w:lineRule="exact"/>
        <w:ind w:left="12" w:firstLine="472" w:firstLineChars="197"/>
        <w:rPr>
          <w:rFonts w:ascii="宋体" w:hAnsi="宋体" w:cs="宋体"/>
          <w:color w:val="auto"/>
          <w:sz w:val="24"/>
          <w:szCs w:val="24"/>
          <w:highlight w:val="none"/>
        </w:rPr>
      </w:pPr>
      <w:r>
        <w:rPr>
          <w:rFonts w:hint="eastAsia" w:ascii="宋体" w:hAnsi="宋体" w:cs="宋体"/>
          <w:color w:val="auto"/>
          <w:sz w:val="24"/>
          <w:szCs w:val="24"/>
          <w:highlight w:val="none"/>
        </w:rPr>
        <w:t>5.正式验收。</w:t>
      </w:r>
      <w:r>
        <w:rPr>
          <w:color w:val="auto"/>
          <w:sz w:val="24"/>
          <w:szCs w:val="24"/>
          <w:highlight w:val="none"/>
        </w:rPr>
        <w:t>自试运行验收合格之日起，整个系统稳定运行</w:t>
      </w:r>
      <w:r>
        <w:rPr>
          <w:rFonts w:hint="eastAsia"/>
          <w:color w:val="auto"/>
          <w:sz w:val="24"/>
          <w:szCs w:val="24"/>
          <w:highlight w:val="none"/>
        </w:rPr>
        <w:t>180个日历日</w:t>
      </w:r>
      <w:r>
        <w:rPr>
          <w:bCs/>
          <w:color w:val="auto"/>
          <w:sz w:val="24"/>
          <w:szCs w:val="24"/>
          <w:highlight w:val="none"/>
        </w:rPr>
        <w:t>且无遗留问题的前提下，中标人以书面形式向采购人资产处管理处提交正式验收申请，并同时提供试运行情况报告、书面的培训记录表、培训电子文档</w:t>
      </w:r>
      <w:r>
        <w:rPr>
          <w:rFonts w:hint="eastAsia"/>
          <w:bCs/>
          <w:color w:val="auto"/>
          <w:sz w:val="24"/>
          <w:szCs w:val="24"/>
          <w:highlight w:val="none"/>
        </w:rPr>
        <w:t>及相关</w:t>
      </w:r>
      <w:r>
        <w:rPr>
          <w:bCs/>
          <w:color w:val="auto"/>
          <w:sz w:val="24"/>
          <w:szCs w:val="24"/>
          <w:highlight w:val="none"/>
        </w:rPr>
        <w:t>资料等，才能进入验收程序，平台的整体性能和功能须满足采购文件和采购合同的要求</w:t>
      </w:r>
      <w:r>
        <w:rPr>
          <w:rFonts w:hint="eastAsia"/>
          <w:bCs/>
          <w:color w:val="auto"/>
          <w:sz w:val="24"/>
          <w:szCs w:val="24"/>
          <w:highlight w:val="none"/>
        </w:rPr>
        <w:t>。</w:t>
      </w:r>
    </w:p>
    <w:p>
      <w:pPr>
        <w:snapToGrid w:val="0"/>
        <w:spacing w:line="440" w:lineRule="exact"/>
        <w:ind w:left="12" w:firstLine="475" w:firstLineChars="197"/>
        <w:rPr>
          <w:rFonts w:ascii="宋体" w:hAnsi="宋体" w:cs="宋体"/>
          <w:color w:val="auto"/>
          <w:sz w:val="24"/>
          <w:szCs w:val="24"/>
          <w:highlight w:val="none"/>
        </w:rPr>
      </w:pPr>
      <w:r>
        <w:rPr>
          <w:b/>
          <w:color w:val="auto"/>
          <w:sz w:val="24"/>
          <w:szCs w:val="24"/>
          <w:highlight w:val="none"/>
        </w:rPr>
        <w:t>注：</w:t>
      </w:r>
      <w:r>
        <w:rPr>
          <w:rFonts w:hint="eastAsia"/>
          <w:color w:val="auto"/>
          <w:sz w:val="24"/>
          <w:szCs w:val="24"/>
          <w:highlight w:val="none"/>
        </w:rPr>
        <w:t>中标人</w:t>
      </w:r>
      <w:r>
        <w:rPr>
          <w:bCs/>
          <w:color w:val="auto"/>
          <w:sz w:val="24"/>
          <w:szCs w:val="24"/>
          <w:highlight w:val="none"/>
        </w:rPr>
        <w:t>须配合</w:t>
      </w:r>
      <w:r>
        <w:rPr>
          <w:rFonts w:hint="eastAsia"/>
          <w:bCs/>
          <w:color w:val="auto"/>
          <w:sz w:val="24"/>
          <w:szCs w:val="24"/>
          <w:highlight w:val="none"/>
        </w:rPr>
        <w:t>采购人</w:t>
      </w:r>
      <w:r>
        <w:rPr>
          <w:bCs/>
          <w:color w:val="auto"/>
          <w:sz w:val="24"/>
          <w:szCs w:val="24"/>
          <w:highlight w:val="none"/>
        </w:rPr>
        <w:t>完成资产交接、入库等流程工作，以确保项目达到验收条件。</w:t>
      </w:r>
    </w:p>
    <w:p>
      <w:pPr>
        <w:pStyle w:val="4"/>
        <w:spacing w:line="500" w:lineRule="exact"/>
        <w:ind w:firstLine="482" w:firstLineChars="200"/>
        <w:jc w:val="left"/>
        <w:rPr>
          <w:b/>
          <w:color w:val="auto"/>
          <w:sz w:val="24"/>
          <w:szCs w:val="22"/>
          <w:highlight w:val="none"/>
        </w:rPr>
      </w:pPr>
      <w:bookmarkStart w:id="47" w:name="_Toc344475121"/>
      <w:bookmarkStart w:id="48" w:name="_Toc13238"/>
      <w:bookmarkStart w:id="49" w:name="_Toc25258"/>
      <w:bookmarkStart w:id="50" w:name="_Toc8786"/>
      <w:bookmarkStart w:id="51" w:name="_Toc466546914"/>
      <w:bookmarkStart w:id="52" w:name="_Toc30757"/>
      <w:bookmarkStart w:id="53" w:name="_Toc19355"/>
      <w:bookmarkStart w:id="54" w:name="_Toc31359"/>
      <w:r>
        <w:rPr>
          <w:rFonts w:hint="eastAsia"/>
          <w:b/>
          <w:color w:val="auto"/>
          <w:sz w:val="24"/>
          <w:szCs w:val="22"/>
          <w:highlight w:val="none"/>
        </w:rPr>
        <w:t>二、</w:t>
      </w:r>
      <w:bookmarkEnd w:id="47"/>
      <w:r>
        <w:rPr>
          <w:rFonts w:hint="eastAsia"/>
          <w:b/>
          <w:color w:val="auto"/>
          <w:sz w:val="24"/>
          <w:szCs w:val="22"/>
          <w:highlight w:val="none"/>
        </w:rPr>
        <w:t>报价要求</w:t>
      </w:r>
      <w:bookmarkEnd w:id="48"/>
      <w:bookmarkEnd w:id="49"/>
      <w:bookmarkEnd w:id="50"/>
      <w:bookmarkEnd w:id="51"/>
      <w:bookmarkEnd w:id="52"/>
      <w:bookmarkEnd w:id="53"/>
      <w:bookmarkEnd w:id="54"/>
    </w:p>
    <w:p>
      <w:pPr>
        <w:spacing w:line="440" w:lineRule="exact"/>
        <w:ind w:firstLine="480" w:firstLineChars="200"/>
        <w:rPr>
          <w:rFonts w:ascii="宋体" w:hAnsi="宋体" w:cs="宋体"/>
          <w:bCs/>
          <w:color w:val="auto"/>
          <w:kern w:val="0"/>
          <w:sz w:val="24"/>
          <w:szCs w:val="24"/>
          <w:highlight w:val="none"/>
        </w:rPr>
      </w:pPr>
      <w:bookmarkStart w:id="55" w:name="_Toc4595"/>
      <w:bookmarkStart w:id="56" w:name="_Toc466546915"/>
      <w:bookmarkStart w:id="57" w:name="_Toc12648"/>
      <w:r>
        <w:rPr>
          <w:bCs/>
          <w:color w:val="auto"/>
          <w:kern w:val="0"/>
          <w:sz w:val="24"/>
          <w:szCs w:val="24"/>
          <w:highlight w:val="none"/>
        </w:rPr>
        <w:t>报价须为人民币报价，包括完成本项目所确定的全部工作内容的包干价。包含</w:t>
      </w:r>
      <w:r>
        <w:rPr>
          <w:rFonts w:hint="eastAsia"/>
          <w:bCs/>
          <w:color w:val="auto"/>
          <w:kern w:val="0"/>
          <w:sz w:val="24"/>
          <w:szCs w:val="24"/>
          <w:highlight w:val="none"/>
        </w:rPr>
        <w:t>但不限于</w:t>
      </w:r>
      <w:r>
        <w:rPr>
          <w:bCs/>
          <w:color w:val="auto"/>
          <w:kern w:val="0"/>
          <w:sz w:val="24"/>
          <w:szCs w:val="24"/>
          <w:highlight w:val="none"/>
        </w:rPr>
        <w:t>建设费、服务费、数据接口费、调研费、劳务费、安装调试费、质保期内免费升级、税费、培训费、耗材费、加班费、劳动保险费、劳保用品、易耗工具、机械使用费、服务地点内垃圾清运、安全措施费、交通组织费、管理费、政策性文件规定及合同包含的所有风险费，利润、税金等履行完本项目的所有费用，采购人不再追加其他费用。</w:t>
      </w:r>
    </w:p>
    <w:bookmarkEnd w:id="55"/>
    <w:bookmarkEnd w:id="56"/>
    <w:bookmarkEnd w:id="57"/>
    <w:p>
      <w:pPr>
        <w:pStyle w:val="4"/>
        <w:spacing w:line="500" w:lineRule="exact"/>
        <w:ind w:firstLine="482" w:firstLineChars="200"/>
        <w:jc w:val="left"/>
        <w:rPr>
          <w:b/>
          <w:color w:val="auto"/>
          <w:sz w:val="24"/>
          <w:szCs w:val="22"/>
          <w:highlight w:val="none"/>
        </w:rPr>
      </w:pPr>
      <w:bookmarkStart w:id="58" w:name="_Toc10768"/>
      <w:bookmarkStart w:id="59" w:name="_Toc25166"/>
      <w:bookmarkStart w:id="60" w:name="_Toc30782"/>
      <w:bookmarkStart w:id="61" w:name="_Toc20615"/>
      <w:bookmarkStart w:id="62" w:name="_Toc20473"/>
      <w:bookmarkStart w:id="63" w:name="_Toc12455"/>
      <w:r>
        <w:rPr>
          <w:rFonts w:hint="eastAsia"/>
          <w:b/>
          <w:color w:val="auto"/>
          <w:sz w:val="24"/>
          <w:szCs w:val="22"/>
          <w:highlight w:val="none"/>
        </w:rPr>
        <w:t>三、质量保证及售后服务</w:t>
      </w:r>
      <w:bookmarkEnd w:id="58"/>
      <w:bookmarkEnd w:id="59"/>
      <w:bookmarkEnd w:id="60"/>
      <w:bookmarkEnd w:id="61"/>
      <w:bookmarkEnd w:id="62"/>
      <w:bookmarkEnd w:id="63"/>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（一）</w:t>
      </w:r>
      <w:r>
        <w:rPr>
          <w:color w:val="auto"/>
          <w:kern w:val="0"/>
          <w:sz w:val="24"/>
          <w:szCs w:val="24"/>
          <w:highlight w:val="none"/>
        </w:rPr>
        <w:t>产品质量保证期</w:t>
      </w:r>
    </w:p>
    <w:p>
      <w:pPr>
        <w:snapToGrid w:val="0"/>
        <w:spacing w:line="440" w:lineRule="exact"/>
        <w:ind w:firstLine="480" w:firstLineChars="200"/>
        <w:rPr>
          <w:color w:val="auto"/>
          <w:kern w:val="0"/>
          <w:sz w:val="24"/>
          <w:szCs w:val="24"/>
          <w:highlight w:val="none"/>
        </w:rPr>
      </w:pPr>
      <w:r>
        <w:rPr>
          <w:color w:val="auto"/>
          <w:kern w:val="0"/>
          <w:sz w:val="24"/>
          <w:szCs w:val="24"/>
          <w:highlight w:val="none"/>
        </w:rPr>
        <w:t>自最终验收合格之日起，</w:t>
      </w:r>
      <w:r>
        <w:rPr>
          <w:rFonts w:hint="eastAsia"/>
          <w:color w:val="auto"/>
          <w:kern w:val="0"/>
          <w:sz w:val="24"/>
          <w:szCs w:val="24"/>
          <w:highlight w:val="none"/>
        </w:rPr>
        <w:t>中标人</w:t>
      </w:r>
      <w:r>
        <w:rPr>
          <w:color w:val="auto"/>
          <w:kern w:val="0"/>
          <w:sz w:val="24"/>
          <w:szCs w:val="24"/>
          <w:highlight w:val="none"/>
        </w:rPr>
        <w:t>对本项目所投</w:t>
      </w:r>
      <w:r>
        <w:rPr>
          <w:rFonts w:hint="eastAsia"/>
          <w:color w:val="auto"/>
          <w:kern w:val="0"/>
          <w:sz w:val="24"/>
          <w:szCs w:val="24"/>
          <w:highlight w:val="none"/>
        </w:rPr>
        <w:t>软件</w:t>
      </w:r>
      <w:r>
        <w:rPr>
          <w:color w:val="auto"/>
          <w:kern w:val="0"/>
          <w:sz w:val="24"/>
          <w:szCs w:val="24"/>
          <w:highlight w:val="none"/>
        </w:rPr>
        <w:t>产品提供</w:t>
      </w:r>
      <w:r>
        <w:rPr>
          <w:rFonts w:hint="eastAsia"/>
          <w:b/>
          <w:bCs/>
          <w:color w:val="auto"/>
          <w:kern w:val="0"/>
          <w:sz w:val="24"/>
          <w:szCs w:val="24"/>
          <w:highlight w:val="none"/>
        </w:rPr>
        <w:t>6</w:t>
      </w:r>
      <w:r>
        <w:rPr>
          <w:b/>
          <w:bCs/>
          <w:color w:val="auto"/>
          <w:kern w:val="0"/>
          <w:sz w:val="24"/>
          <w:szCs w:val="24"/>
          <w:highlight w:val="none"/>
        </w:rPr>
        <w:t>年</w:t>
      </w:r>
      <w:r>
        <w:rPr>
          <w:color w:val="auto"/>
          <w:kern w:val="0"/>
          <w:sz w:val="24"/>
          <w:szCs w:val="24"/>
          <w:highlight w:val="none"/>
        </w:rPr>
        <w:t>的免费质保期。</w:t>
      </w:r>
      <w:r>
        <w:rPr>
          <w:rFonts w:hint="eastAsia" w:ascii="宋体" w:hAnsi="宋体" w:cs="宋体"/>
          <w:color w:val="auto"/>
          <w:sz w:val="24"/>
          <w:szCs w:val="24"/>
          <w:highlight w:val="none"/>
        </w:rPr>
        <w:t>免费质保期内，维护和售后服务形成的风险和费用由中标人承担。</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（二）</w:t>
      </w:r>
      <w:r>
        <w:rPr>
          <w:color w:val="auto"/>
          <w:kern w:val="0"/>
          <w:sz w:val="24"/>
          <w:szCs w:val="24"/>
          <w:highlight w:val="none"/>
        </w:rPr>
        <w:t>售后服务内容</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1、</w:t>
      </w:r>
      <w:r>
        <w:rPr>
          <w:color w:val="auto"/>
          <w:kern w:val="0"/>
          <w:sz w:val="24"/>
          <w:szCs w:val="24"/>
          <w:highlight w:val="none"/>
        </w:rPr>
        <w:t>质保期内服务要求</w:t>
      </w:r>
    </w:p>
    <w:p>
      <w:pPr>
        <w:spacing w:line="440" w:lineRule="exact"/>
        <w:ind w:firstLine="480" w:firstLineChars="200"/>
        <w:rPr>
          <w:color w:val="auto"/>
          <w:sz w:val="24"/>
          <w:szCs w:val="24"/>
          <w:highlight w:val="none"/>
        </w:rPr>
      </w:pPr>
      <w:r>
        <w:rPr>
          <w:rFonts w:hint="eastAsia"/>
          <w:color w:val="auto"/>
          <w:sz w:val="24"/>
          <w:szCs w:val="24"/>
          <w:highlight w:val="none"/>
        </w:rPr>
        <w:t>（1）</w:t>
      </w:r>
      <w:r>
        <w:rPr>
          <w:rFonts w:hint="eastAsia" w:ascii="宋体" w:hAnsi="宋体" w:cs="宋体"/>
          <w:color w:val="auto"/>
          <w:sz w:val="24"/>
          <w:szCs w:val="24"/>
          <w:highlight w:val="none"/>
        </w:rPr>
        <w:t>在质保期内，负责对其实施的项目提供24小时不间断技术支持服务，提供电话、传真、电子邮件、现场多种方式技术支持服务，全方位响应需求。须2小时内响应，并最迟在第2个工作日内排除错误，2个工作日内不能解决的，必须采取临时应急等措施，最大可能地保证系统的正常使用。</w:t>
      </w:r>
      <w:r>
        <w:rPr>
          <w:color w:val="auto"/>
          <w:sz w:val="24"/>
          <w:szCs w:val="24"/>
          <w:highlight w:val="none"/>
        </w:rPr>
        <w:t>根据采购人问题的情况转由专业的系统维护工程师进行支持和维护，保证采购人的问题在任何时间都能得到及时的响应。</w:t>
      </w:r>
    </w:p>
    <w:p>
      <w:pPr>
        <w:spacing w:line="440" w:lineRule="exact"/>
        <w:ind w:firstLine="480" w:firstLineChars="200"/>
        <w:rPr>
          <w:color w:val="auto"/>
          <w:sz w:val="24"/>
          <w:szCs w:val="24"/>
          <w:highlight w:val="none"/>
        </w:rPr>
      </w:pPr>
      <w:r>
        <w:rPr>
          <w:rFonts w:hint="eastAsia"/>
          <w:color w:val="auto"/>
          <w:sz w:val="24"/>
          <w:szCs w:val="24"/>
          <w:highlight w:val="none"/>
        </w:rPr>
        <w:t>（2）</w:t>
      </w:r>
      <w:r>
        <w:rPr>
          <w:color w:val="auto"/>
          <w:sz w:val="24"/>
          <w:szCs w:val="24"/>
          <w:highlight w:val="none"/>
        </w:rPr>
        <w:t>通过驻场人员及远程接入等方式解决日常维护中的问题。维护内容包括但不限于功能完善性和改进性维护、操作使用、技术讲解和问题排故等。</w:t>
      </w:r>
      <w:r>
        <w:rPr>
          <w:rFonts w:hint="eastAsia" w:asciiTheme="minorEastAsia" w:hAnsiTheme="minorEastAsia" w:eastAsiaTheme="minorEastAsia"/>
          <w:color w:val="auto"/>
          <w:sz w:val="24"/>
          <w:szCs w:val="24"/>
          <w:highlight w:val="none"/>
        </w:rPr>
        <w:t>面向该系统的使用相关人员常态化在线提供系统使用过程中的技术咨询和答疑服务，公司需指派专职售后服务负责人与学校的系统负责人商定后，组建技术指导群，可依托于企业微信或其他工具群进行在线答疑指导等。</w:t>
      </w:r>
    </w:p>
    <w:p>
      <w:pPr>
        <w:spacing w:line="440" w:lineRule="exact"/>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在系统验收后每月一次的巡检服务（远程结合现场方式），定期对系统进行检查、维护、诊断，倾听</w:t>
      </w:r>
      <w:r>
        <w:rPr>
          <w:rFonts w:hint="eastAsia"/>
          <w:color w:val="auto"/>
          <w:sz w:val="24"/>
          <w:szCs w:val="24"/>
          <w:highlight w:val="none"/>
        </w:rPr>
        <w:t>采购人</w:t>
      </w:r>
      <w:r>
        <w:rPr>
          <w:color w:val="auto"/>
          <w:sz w:val="24"/>
          <w:szCs w:val="24"/>
          <w:highlight w:val="none"/>
        </w:rPr>
        <w:t>反馈，及时发现系统问题及安全隐患，通过系统调整等手段，保持系统安全、稳定、高效运行。</w:t>
      </w:r>
    </w:p>
    <w:p>
      <w:pPr>
        <w:spacing w:line="440" w:lineRule="exact"/>
        <w:ind w:firstLine="480" w:firstLineChars="200"/>
        <w:rPr>
          <w:color w:val="auto"/>
          <w:sz w:val="24"/>
          <w:szCs w:val="24"/>
          <w:highlight w:val="none"/>
        </w:rPr>
      </w:pPr>
      <w:r>
        <w:rPr>
          <w:rFonts w:hint="eastAsia"/>
          <w:color w:val="auto"/>
          <w:sz w:val="24"/>
          <w:szCs w:val="24"/>
          <w:highlight w:val="none"/>
        </w:rPr>
        <w:t>（4）</w:t>
      </w:r>
      <w:r>
        <w:rPr>
          <w:color w:val="auto"/>
          <w:sz w:val="24"/>
          <w:szCs w:val="24"/>
          <w:highlight w:val="none"/>
        </w:rPr>
        <w:t>如出现系统瘫痪或服务中断，导致产品的基本功能不能实现或全面退化的故障，将立即启动系统紧急恢复应急预案，提供替代平台产品，使用日常冗余备份的数据库数据，一个工作日之内部署新系统保障服务。</w:t>
      </w:r>
    </w:p>
    <w:p>
      <w:pPr>
        <w:spacing w:line="440" w:lineRule="exact"/>
        <w:ind w:firstLine="480" w:firstLineChars="200"/>
        <w:rPr>
          <w:color w:val="auto"/>
          <w:sz w:val="24"/>
          <w:szCs w:val="24"/>
          <w:highlight w:val="none"/>
        </w:rPr>
      </w:pPr>
      <w:r>
        <w:rPr>
          <w:rFonts w:hint="eastAsia"/>
          <w:color w:val="auto"/>
          <w:sz w:val="24"/>
          <w:szCs w:val="24"/>
          <w:highlight w:val="none"/>
        </w:rPr>
        <w:t>（5）</w:t>
      </w:r>
      <w:r>
        <w:rPr>
          <w:color w:val="auto"/>
          <w:sz w:val="24"/>
          <w:szCs w:val="24"/>
          <w:highlight w:val="none"/>
        </w:rPr>
        <w:t>确保平台上线后的数据的保密性，做好数据泄漏防护措施，不向任何单位和个人泄露</w:t>
      </w:r>
      <w:r>
        <w:rPr>
          <w:rFonts w:hint="eastAsia"/>
          <w:color w:val="auto"/>
          <w:sz w:val="24"/>
          <w:szCs w:val="24"/>
          <w:highlight w:val="none"/>
        </w:rPr>
        <w:t>采购人</w:t>
      </w:r>
      <w:r>
        <w:rPr>
          <w:color w:val="auto"/>
          <w:sz w:val="24"/>
          <w:szCs w:val="24"/>
          <w:highlight w:val="none"/>
        </w:rPr>
        <w:t>的任何资料信息，如未经采购人许可披露给他人，所造成对采购人的直接损失，经证实，采购人有权通过法律途径向</w:t>
      </w:r>
      <w:r>
        <w:rPr>
          <w:rFonts w:hint="eastAsia"/>
          <w:color w:val="auto"/>
          <w:sz w:val="24"/>
          <w:szCs w:val="24"/>
          <w:highlight w:val="none"/>
        </w:rPr>
        <w:t>中标人</w:t>
      </w:r>
      <w:r>
        <w:rPr>
          <w:color w:val="auto"/>
          <w:sz w:val="24"/>
          <w:szCs w:val="24"/>
          <w:highlight w:val="none"/>
        </w:rPr>
        <w:t>索赔。</w:t>
      </w:r>
    </w:p>
    <w:p>
      <w:pPr>
        <w:pStyle w:val="2"/>
        <w:spacing w:line="440" w:lineRule="exact"/>
        <w:ind w:firstLine="482"/>
        <w:rPr>
          <w:color w:val="auto"/>
          <w:highlight w:val="none"/>
        </w:rPr>
      </w:pPr>
      <w:r>
        <w:rPr>
          <w:rFonts w:hint="eastAsia"/>
          <w:color w:val="auto"/>
          <w:szCs w:val="24"/>
          <w:highlight w:val="none"/>
        </w:rPr>
        <w:t>（6）提供互联网化产品免费更新服务，在系统维保期内，软件产品提供持续的免费升级服务，满足不断变化的业务需要。若在质保期内其他系统需对接本软件，中标人应免费提供接口并配合采购人完成对接；如有后台管理平台或账号，提供相应的后台服务，方便采购人数据统计和平台管理。</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2、</w:t>
      </w:r>
      <w:r>
        <w:rPr>
          <w:color w:val="auto"/>
          <w:kern w:val="0"/>
          <w:sz w:val="24"/>
          <w:szCs w:val="24"/>
          <w:highlight w:val="none"/>
        </w:rPr>
        <w:t>质保期外服务要求</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（1）</w:t>
      </w:r>
      <w:r>
        <w:rPr>
          <w:color w:val="auto"/>
          <w:kern w:val="0"/>
          <w:sz w:val="24"/>
          <w:szCs w:val="24"/>
          <w:highlight w:val="none"/>
        </w:rPr>
        <w:t>质量保证期过后，</w:t>
      </w:r>
      <w:r>
        <w:rPr>
          <w:rFonts w:hint="eastAsia"/>
          <w:color w:val="auto"/>
          <w:sz w:val="24"/>
          <w:szCs w:val="24"/>
          <w:highlight w:val="none"/>
        </w:rPr>
        <w:t>中标人</w:t>
      </w:r>
      <w:r>
        <w:rPr>
          <w:color w:val="auto"/>
          <w:kern w:val="0"/>
          <w:sz w:val="24"/>
          <w:szCs w:val="24"/>
          <w:highlight w:val="none"/>
        </w:rPr>
        <w:t>应同样提供免费电话咨询服务，并应承诺提供运行、功能故障的及时解决、上门维护等服务。</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（2）</w:t>
      </w:r>
      <w:r>
        <w:rPr>
          <w:color w:val="auto"/>
          <w:kern w:val="0"/>
          <w:sz w:val="24"/>
          <w:szCs w:val="24"/>
          <w:highlight w:val="none"/>
        </w:rPr>
        <w:t>质量保证期过后，如采购人希望供应商继续提供年度维保技术服务和软件版本升级服务，</w:t>
      </w:r>
      <w:r>
        <w:rPr>
          <w:rFonts w:hint="eastAsia"/>
          <w:color w:val="auto"/>
          <w:kern w:val="0"/>
          <w:sz w:val="24"/>
          <w:szCs w:val="24"/>
          <w:highlight w:val="none"/>
        </w:rPr>
        <w:t>中标人</w:t>
      </w:r>
      <w:r>
        <w:rPr>
          <w:color w:val="auto"/>
          <w:kern w:val="0"/>
          <w:sz w:val="24"/>
          <w:szCs w:val="24"/>
          <w:highlight w:val="none"/>
        </w:rPr>
        <w:t>需协调软件原厂商继续提供软件版本升级服务（软件原厂商倒闭除外），修复系统出现的问题漏洞，确保系统正常运行，且采购人不再支付正常的版本升级迭代费用；若需供应商继续提供年度维保技术服务的，则年度技术维保服务费控制在合同总价的</w:t>
      </w:r>
      <w:r>
        <w:rPr>
          <w:rFonts w:hint="eastAsia"/>
          <w:color w:val="auto"/>
          <w:kern w:val="0"/>
          <w:sz w:val="24"/>
          <w:szCs w:val="24"/>
          <w:highlight w:val="none"/>
        </w:rPr>
        <w:t>6</w:t>
      </w:r>
      <w:r>
        <w:rPr>
          <w:color w:val="auto"/>
          <w:kern w:val="0"/>
          <w:sz w:val="24"/>
          <w:szCs w:val="24"/>
          <w:highlight w:val="none"/>
        </w:rPr>
        <w:t>%以内，并可根据合同金额大小下调服务费比例；</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（3）</w:t>
      </w:r>
      <w:r>
        <w:rPr>
          <w:color w:val="auto"/>
          <w:kern w:val="0"/>
          <w:sz w:val="24"/>
          <w:szCs w:val="24"/>
          <w:highlight w:val="none"/>
        </w:rPr>
        <w:t>质量保证期过后，若采购人希望继续使用原有软件，但又有新增功能模块需求的，若采用单一来源方式采购，</w:t>
      </w:r>
      <w:r>
        <w:rPr>
          <w:rFonts w:hint="eastAsia"/>
          <w:color w:val="auto"/>
          <w:kern w:val="0"/>
          <w:sz w:val="24"/>
          <w:szCs w:val="24"/>
          <w:highlight w:val="none"/>
        </w:rPr>
        <w:t>中标人</w:t>
      </w:r>
      <w:r>
        <w:rPr>
          <w:color w:val="auto"/>
          <w:kern w:val="0"/>
          <w:sz w:val="24"/>
          <w:szCs w:val="24"/>
          <w:highlight w:val="none"/>
        </w:rPr>
        <w:t>报价不得高于同类型产品相关功能模块的市场价格。</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（4）</w:t>
      </w:r>
      <w:r>
        <w:rPr>
          <w:color w:val="auto"/>
          <w:kern w:val="0"/>
          <w:sz w:val="24"/>
          <w:szCs w:val="24"/>
          <w:highlight w:val="none"/>
        </w:rPr>
        <w:t>若采购人希望继续使用原有软件，但又有新增功能模块需求的，</w:t>
      </w:r>
      <w:r>
        <w:rPr>
          <w:rFonts w:hint="eastAsia"/>
          <w:color w:val="auto"/>
          <w:kern w:val="0"/>
          <w:sz w:val="24"/>
          <w:szCs w:val="24"/>
          <w:highlight w:val="none"/>
        </w:rPr>
        <w:t>协办人</w:t>
      </w:r>
      <w:r>
        <w:rPr>
          <w:color w:val="auto"/>
          <w:kern w:val="0"/>
          <w:sz w:val="24"/>
          <w:szCs w:val="24"/>
          <w:highlight w:val="none"/>
        </w:rPr>
        <w:t>报价不得高于同类型产品相关功能模块的市场价格。</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3、中标人</w:t>
      </w:r>
      <w:r>
        <w:rPr>
          <w:color w:val="auto"/>
          <w:kern w:val="0"/>
          <w:sz w:val="24"/>
          <w:szCs w:val="24"/>
          <w:highlight w:val="none"/>
        </w:rPr>
        <w:t>提供完善的培训体系，并提供培训手册、培训资料技术资料、参考材料等纸质和电子版材料。一是结合项目实施要求，</w:t>
      </w:r>
      <w:r>
        <w:rPr>
          <w:rFonts w:hint="eastAsia"/>
          <w:color w:val="auto"/>
          <w:kern w:val="0"/>
          <w:sz w:val="24"/>
          <w:szCs w:val="24"/>
          <w:highlight w:val="none"/>
        </w:rPr>
        <w:t>中标人</w:t>
      </w:r>
      <w:r>
        <w:rPr>
          <w:color w:val="auto"/>
          <w:kern w:val="0"/>
          <w:sz w:val="24"/>
          <w:szCs w:val="24"/>
          <w:highlight w:val="none"/>
        </w:rPr>
        <w:t>应为采购人培训日常管理、技术跟踪与运维监控等工作的人员；二是根据采购人需要，</w:t>
      </w:r>
      <w:r>
        <w:rPr>
          <w:rFonts w:hint="eastAsia"/>
          <w:color w:val="auto"/>
          <w:kern w:val="0"/>
          <w:sz w:val="24"/>
          <w:szCs w:val="24"/>
          <w:highlight w:val="none"/>
        </w:rPr>
        <w:t>每年提供不少于1次的系统现场培训，同时提供远程培训服务（</w:t>
      </w:r>
      <w:r>
        <w:rPr>
          <w:color w:val="auto"/>
          <w:kern w:val="0"/>
          <w:sz w:val="24"/>
          <w:szCs w:val="24"/>
          <w:highlight w:val="none"/>
        </w:rPr>
        <w:t>电话、E-mail、以及QQ、微信等即时通讯工具提供远程培训</w:t>
      </w:r>
      <w:r>
        <w:rPr>
          <w:rFonts w:hint="eastAsia"/>
          <w:color w:val="auto"/>
          <w:kern w:val="0"/>
          <w:sz w:val="24"/>
          <w:szCs w:val="24"/>
          <w:highlight w:val="none"/>
        </w:rPr>
        <w:t>）。若系统功能模块进行升级则需要在全校范围内为相关使用人员提供线上或者现场指导，</w:t>
      </w:r>
      <w:r>
        <w:rPr>
          <w:color w:val="auto"/>
          <w:kern w:val="0"/>
          <w:sz w:val="24"/>
          <w:szCs w:val="24"/>
          <w:highlight w:val="none"/>
        </w:rPr>
        <w:t>直至平台操作人员熟练操作掌握为准。</w:t>
      </w:r>
    </w:p>
    <w:p>
      <w:pPr>
        <w:snapToGrid w:val="0"/>
        <w:spacing w:line="440" w:lineRule="exact"/>
        <w:ind w:firstLine="480" w:firstLineChars="200"/>
        <w:rPr>
          <w:color w:val="auto"/>
          <w:kern w:val="0"/>
          <w:sz w:val="24"/>
          <w:szCs w:val="24"/>
          <w:highlight w:val="none"/>
        </w:rPr>
      </w:pPr>
      <w:r>
        <w:rPr>
          <w:rFonts w:hint="eastAsia"/>
          <w:color w:val="auto"/>
          <w:kern w:val="0"/>
          <w:sz w:val="24"/>
          <w:szCs w:val="24"/>
          <w:highlight w:val="none"/>
        </w:rPr>
        <w:t>4、</w:t>
      </w:r>
      <w:r>
        <w:rPr>
          <w:color w:val="auto"/>
          <w:kern w:val="0"/>
          <w:sz w:val="24"/>
          <w:szCs w:val="24"/>
          <w:highlight w:val="none"/>
        </w:rPr>
        <w:t>若</w:t>
      </w:r>
      <w:r>
        <w:rPr>
          <w:rFonts w:hint="eastAsia"/>
          <w:color w:val="auto"/>
          <w:kern w:val="0"/>
          <w:sz w:val="24"/>
          <w:szCs w:val="24"/>
          <w:highlight w:val="none"/>
        </w:rPr>
        <w:t>中标人</w:t>
      </w:r>
      <w:r>
        <w:rPr>
          <w:color w:val="auto"/>
          <w:kern w:val="0"/>
          <w:sz w:val="24"/>
          <w:szCs w:val="24"/>
          <w:highlight w:val="none"/>
        </w:rPr>
        <w:t>有更优惠的售后服务，应当在</w:t>
      </w:r>
      <w:r>
        <w:rPr>
          <w:rFonts w:hint="eastAsia"/>
          <w:color w:val="auto"/>
          <w:kern w:val="0"/>
          <w:sz w:val="24"/>
          <w:szCs w:val="24"/>
          <w:highlight w:val="none"/>
        </w:rPr>
        <w:t>投标文件</w:t>
      </w:r>
      <w:r>
        <w:rPr>
          <w:color w:val="auto"/>
          <w:kern w:val="0"/>
          <w:sz w:val="24"/>
          <w:szCs w:val="24"/>
          <w:highlight w:val="none"/>
        </w:rPr>
        <w:t>中说明</w:t>
      </w:r>
      <w:r>
        <w:rPr>
          <w:rFonts w:hint="eastAsia"/>
          <w:color w:val="auto"/>
          <w:kern w:val="0"/>
          <w:sz w:val="24"/>
          <w:szCs w:val="24"/>
          <w:highlight w:val="none"/>
        </w:rPr>
        <w:t>。</w:t>
      </w:r>
    </w:p>
    <w:p>
      <w:pPr>
        <w:pStyle w:val="4"/>
        <w:ind w:firstLine="482" w:firstLineChars="200"/>
        <w:rPr>
          <w:rFonts w:ascii="Times New Roman" w:hAnsi="Times New Roman"/>
          <w:b/>
          <w:color w:val="auto"/>
          <w:sz w:val="24"/>
          <w:highlight w:val="none"/>
        </w:rPr>
      </w:pPr>
      <w:bookmarkStart w:id="64" w:name="_Toc97817230"/>
      <w:bookmarkStart w:id="65" w:name="_Toc72311758"/>
      <w:bookmarkStart w:id="66" w:name="_Toc32241"/>
      <w:r>
        <w:rPr>
          <w:rFonts w:ascii="Times New Roman" w:hAnsi="Times New Roman"/>
          <w:b/>
          <w:color w:val="auto"/>
          <w:sz w:val="24"/>
          <w:highlight w:val="none"/>
        </w:rPr>
        <w:t>四、付款方式</w:t>
      </w:r>
      <w:bookmarkEnd w:id="64"/>
      <w:bookmarkEnd w:id="65"/>
      <w:bookmarkEnd w:id="66"/>
    </w:p>
    <w:p>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（一）中标人按采购合同提供服务，经验收合格后由采购人出具项目验收报告。</w:t>
      </w:r>
    </w:p>
    <w:p>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（二）各阶段验收通过后，中标人向采购人开具增值税专用发票含抵扣联和发票联（若项目为硬件和软件一体的，应分别开具硬件、软件（服务）的发票），采购人以转账方式一次性向中标人分期付款。</w:t>
      </w:r>
    </w:p>
    <w:p>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1.试运行验收：中标人完成系统</w:t>
      </w:r>
      <w:r>
        <w:rPr>
          <w:bCs/>
          <w:color w:val="auto"/>
          <w:sz w:val="24"/>
          <w:szCs w:val="24"/>
          <w:highlight w:val="none"/>
        </w:rPr>
        <w:t>安装部署、</w:t>
      </w:r>
      <w:r>
        <w:rPr>
          <w:rFonts w:hint="eastAsia"/>
          <w:bCs/>
          <w:color w:val="auto"/>
          <w:sz w:val="24"/>
          <w:szCs w:val="24"/>
          <w:highlight w:val="none"/>
        </w:rPr>
        <w:t>二次开发、</w:t>
      </w:r>
      <w:r>
        <w:rPr>
          <w:bCs/>
          <w:color w:val="auto"/>
          <w:sz w:val="24"/>
          <w:szCs w:val="24"/>
          <w:highlight w:val="none"/>
        </w:rPr>
        <w:t>上线，并</w:t>
      </w:r>
      <w:r>
        <w:rPr>
          <w:rFonts w:hint="eastAsia"/>
          <w:bCs/>
          <w:color w:val="auto"/>
          <w:sz w:val="24"/>
          <w:szCs w:val="24"/>
          <w:highlight w:val="none"/>
        </w:rPr>
        <w:t>完成试运行</w:t>
      </w:r>
      <w:r>
        <w:rPr>
          <w:rFonts w:hint="eastAsia" w:ascii="宋体" w:hAnsi="宋体"/>
          <w:bCs/>
          <w:color w:val="auto"/>
          <w:sz w:val="24"/>
          <w:szCs w:val="24"/>
          <w:highlight w:val="none"/>
        </w:rPr>
        <w:t>，经试运行验收合格后采购人支付合同费用总额的40%；</w:t>
      </w:r>
    </w:p>
    <w:p>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2.最终验收：自试运行验收合格之日起，整个系统稳定运行180个日历日后进行正式验收，最终验收合格后支付合同费用总额的60%。</w:t>
      </w:r>
    </w:p>
    <w:p>
      <w:pPr>
        <w:pStyle w:val="4"/>
        <w:ind w:firstLine="482" w:firstLineChars="200"/>
        <w:rPr>
          <w:rFonts w:ascii="Times New Roman" w:hAnsi="Times New Roman"/>
          <w:b/>
          <w:color w:val="auto"/>
          <w:sz w:val="24"/>
          <w:highlight w:val="none"/>
        </w:rPr>
      </w:pPr>
      <w:bookmarkStart w:id="67" w:name="_Toc97817231"/>
      <w:bookmarkStart w:id="68" w:name="_Toc28484"/>
      <w:bookmarkStart w:id="69" w:name="_Toc72311759"/>
      <w:r>
        <w:rPr>
          <w:rFonts w:ascii="Times New Roman" w:hAnsi="Times New Roman"/>
          <w:b/>
          <w:color w:val="auto"/>
          <w:sz w:val="24"/>
          <w:highlight w:val="none"/>
        </w:rPr>
        <w:t>五、履约保证金（缴至重庆工商大学指定账户）</w:t>
      </w:r>
      <w:bookmarkEnd w:id="67"/>
      <w:bookmarkEnd w:id="68"/>
      <w:bookmarkEnd w:id="69"/>
    </w:p>
    <w:p>
      <w:pPr>
        <w:spacing w:line="360" w:lineRule="auto"/>
        <w:ind w:firstLine="480" w:firstLineChars="200"/>
        <w:rPr>
          <w:color w:val="auto"/>
          <w:sz w:val="24"/>
          <w:szCs w:val="24"/>
          <w:highlight w:val="none"/>
        </w:rPr>
      </w:pPr>
      <w:r>
        <w:rPr>
          <w:rFonts w:hint="eastAsia"/>
          <w:color w:val="auto"/>
          <w:sz w:val="24"/>
          <w:szCs w:val="24"/>
          <w:highlight w:val="none"/>
        </w:rPr>
        <w:t>（一）</w:t>
      </w:r>
      <w:r>
        <w:rPr>
          <w:color w:val="auto"/>
          <w:sz w:val="24"/>
          <w:szCs w:val="24"/>
          <w:highlight w:val="none"/>
        </w:rPr>
        <w:t>中标人须在采购人签订合同前向采购人开户银行汇入合同总金额5%的履约保证金，确保项目按期、按质进行。中标人若发生部分违约现象，采购人从履约保证金中扣除相应金额的违约金；若发现严重违约现象，采购人有充分理由没收其全额保证金。</w:t>
      </w:r>
    </w:p>
    <w:p>
      <w:pPr>
        <w:snapToGrid w:val="0"/>
        <w:spacing w:line="360" w:lineRule="auto"/>
        <w:ind w:firstLine="480" w:firstLineChars="200"/>
        <w:rPr>
          <w:b/>
          <w:color w:val="auto"/>
          <w:sz w:val="24"/>
          <w:szCs w:val="24"/>
          <w:highlight w:val="none"/>
        </w:rPr>
      </w:pPr>
      <w:r>
        <w:rPr>
          <w:rFonts w:hint="eastAsia"/>
          <w:color w:val="auto"/>
          <w:sz w:val="24"/>
          <w:szCs w:val="24"/>
          <w:highlight w:val="none"/>
        </w:rPr>
        <w:t>（二）</w:t>
      </w:r>
      <w:r>
        <w:rPr>
          <w:color w:val="auto"/>
          <w:sz w:val="24"/>
          <w:szCs w:val="24"/>
          <w:highlight w:val="none"/>
        </w:rPr>
        <w:t>履约保证金缴纳方式：以转账、电汇等方式交到重庆工商大学指定的银行基本账户，不得以现金或其他方式划入任何个人账户，否则由此产生的所有损失由投标人自行承担。中标人务必在汇款凭证上注明投标项目名称及采购计划编号“CTBU-JZ202</w:t>
      </w:r>
      <w:r>
        <w:rPr>
          <w:rFonts w:hint="eastAsia"/>
          <w:color w:val="auto"/>
          <w:sz w:val="24"/>
          <w:szCs w:val="24"/>
          <w:highlight w:val="none"/>
        </w:rPr>
        <w:t>3106</w:t>
      </w:r>
      <w:r>
        <w:rPr>
          <w:color w:val="auto"/>
          <w:sz w:val="24"/>
          <w:szCs w:val="24"/>
          <w:highlight w:val="none"/>
        </w:rPr>
        <w:t>”。</w:t>
      </w:r>
    </w:p>
    <w:p>
      <w:pPr>
        <w:snapToGrid w:val="0"/>
        <w:spacing w:line="360" w:lineRule="auto"/>
        <w:ind w:firstLine="480" w:firstLineChars="200"/>
        <w:rPr>
          <w:color w:val="auto"/>
          <w:sz w:val="24"/>
          <w:szCs w:val="24"/>
          <w:highlight w:val="none"/>
        </w:rPr>
      </w:pPr>
      <w:r>
        <w:rPr>
          <w:rFonts w:hint="eastAsia"/>
          <w:color w:val="auto"/>
          <w:sz w:val="24"/>
          <w:szCs w:val="24"/>
          <w:highlight w:val="none"/>
        </w:rPr>
        <w:t>（三）</w:t>
      </w:r>
      <w:r>
        <w:rPr>
          <w:color w:val="auto"/>
          <w:sz w:val="24"/>
          <w:szCs w:val="24"/>
          <w:highlight w:val="none"/>
        </w:rPr>
        <w:t>履约保证金指定收取账户</w:t>
      </w:r>
    </w:p>
    <w:p>
      <w:pPr>
        <w:snapToGrid w:val="0"/>
        <w:spacing w:line="360" w:lineRule="auto"/>
        <w:ind w:firstLine="480" w:firstLineChars="200"/>
        <w:rPr>
          <w:color w:val="auto"/>
          <w:sz w:val="24"/>
          <w:szCs w:val="24"/>
          <w:highlight w:val="none"/>
        </w:rPr>
      </w:pPr>
      <w:r>
        <w:rPr>
          <w:color w:val="auto"/>
          <w:sz w:val="24"/>
          <w:szCs w:val="24"/>
          <w:highlight w:val="none"/>
        </w:rPr>
        <w:t>户名：重庆工商大学</w:t>
      </w:r>
    </w:p>
    <w:p>
      <w:pPr>
        <w:snapToGrid w:val="0"/>
        <w:spacing w:line="360" w:lineRule="auto"/>
        <w:ind w:firstLine="480" w:firstLineChars="200"/>
        <w:rPr>
          <w:color w:val="auto"/>
          <w:sz w:val="24"/>
          <w:szCs w:val="24"/>
          <w:highlight w:val="none"/>
        </w:rPr>
      </w:pPr>
      <w:r>
        <w:rPr>
          <w:color w:val="auto"/>
          <w:sz w:val="24"/>
          <w:szCs w:val="24"/>
          <w:highlight w:val="none"/>
        </w:rPr>
        <w:t>开户行：工行重庆南岸学府支行</w:t>
      </w:r>
    </w:p>
    <w:p>
      <w:pPr>
        <w:snapToGrid w:val="0"/>
        <w:spacing w:line="360" w:lineRule="auto"/>
        <w:ind w:firstLine="480" w:firstLineChars="200"/>
        <w:rPr>
          <w:color w:val="auto"/>
          <w:sz w:val="24"/>
          <w:szCs w:val="24"/>
          <w:highlight w:val="none"/>
        </w:rPr>
      </w:pPr>
      <w:r>
        <w:rPr>
          <w:color w:val="auto"/>
          <w:sz w:val="24"/>
          <w:szCs w:val="24"/>
          <w:highlight w:val="none"/>
        </w:rPr>
        <w:t>账号：9558 8531 0075 3300 031</w:t>
      </w:r>
    </w:p>
    <w:p>
      <w:pPr>
        <w:snapToGrid w:val="0"/>
        <w:spacing w:line="360" w:lineRule="auto"/>
        <w:ind w:firstLine="480" w:firstLineChars="200"/>
        <w:rPr>
          <w:color w:val="auto"/>
          <w:sz w:val="24"/>
          <w:szCs w:val="24"/>
          <w:highlight w:val="none"/>
        </w:rPr>
      </w:pPr>
      <w:r>
        <w:rPr>
          <w:color w:val="auto"/>
          <w:sz w:val="24"/>
          <w:szCs w:val="24"/>
          <w:highlight w:val="none"/>
        </w:rPr>
        <w:t>统一社会信用代码</w:t>
      </w:r>
      <w:r>
        <w:rPr>
          <w:rFonts w:hint="eastAsia"/>
          <w:color w:val="auto"/>
          <w:sz w:val="24"/>
          <w:szCs w:val="24"/>
          <w:highlight w:val="none"/>
        </w:rPr>
        <w:t>：</w:t>
      </w:r>
      <w:r>
        <w:rPr>
          <w:color w:val="auto"/>
          <w:sz w:val="24"/>
          <w:szCs w:val="24"/>
          <w:highlight w:val="none"/>
        </w:rPr>
        <w:t>125000007428748822</w:t>
      </w:r>
    </w:p>
    <w:p>
      <w:pPr>
        <w:snapToGrid w:val="0"/>
        <w:spacing w:line="360" w:lineRule="auto"/>
        <w:ind w:firstLine="480" w:firstLineChars="200"/>
        <w:rPr>
          <w:color w:val="auto"/>
          <w:sz w:val="24"/>
          <w:szCs w:val="24"/>
          <w:highlight w:val="none"/>
        </w:rPr>
      </w:pPr>
      <w:r>
        <w:rPr>
          <w:rFonts w:hint="eastAsia"/>
          <w:color w:val="auto"/>
          <w:sz w:val="24"/>
          <w:szCs w:val="24"/>
          <w:highlight w:val="none"/>
        </w:rPr>
        <w:t>（四）</w:t>
      </w:r>
      <w:r>
        <w:rPr>
          <w:color w:val="auto"/>
          <w:sz w:val="24"/>
          <w:szCs w:val="24"/>
          <w:highlight w:val="none"/>
        </w:rPr>
        <w:t>履约保证金退还方式</w:t>
      </w:r>
    </w:p>
    <w:p>
      <w:pPr>
        <w:snapToGrid w:val="0"/>
        <w:spacing w:line="360" w:lineRule="auto"/>
        <w:ind w:firstLine="480" w:firstLineChars="200"/>
        <w:rPr>
          <w:color w:val="auto"/>
          <w:sz w:val="24"/>
          <w:szCs w:val="24"/>
          <w:highlight w:val="none"/>
        </w:rPr>
      </w:pPr>
      <w:r>
        <w:rPr>
          <w:color w:val="auto"/>
          <w:sz w:val="24"/>
          <w:szCs w:val="24"/>
          <w:highlight w:val="none"/>
        </w:rPr>
        <w:t>1、在验收合格且无遗留问题的前提下，</w:t>
      </w:r>
      <w:r>
        <w:rPr>
          <w:rFonts w:hint="eastAsia"/>
          <w:color w:val="auto"/>
          <w:sz w:val="24"/>
          <w:szCs w:val="24"/>
          <w:highlight w:val="none"/>
        </w:rPr>
        <w:t>质保期满2年退还合同总额2%的履约保证金；质保期满6年（中标人的质保期超过6年的，以实际质保期结束为准）且无遗留问题的前提下退还合同总额3%的履约保证金（不计利息）</w:t>
      </w:r>
      <w:r>
        <w:rPr>
          <w:color w:val="auto"/>
          <w:sz w:val="24"/>
          <w:szCs w:val="24"/>
          <w:highlight w:val="none"/>
        </w:rPr>
        <w:t>。</w:t>
      </w:r>
    </w:p>
    <w:p>
      <w:pPr>
        <w:snapToGrid w:val="0"/>
        <w:spacing w:line="360" w:lineRule="auto"/>
        <w:ind w:firstLine="480" w:firstLineChars="200"/>
        <w:rPr>
          <w:color w:val="auto"/>
          <w:sz w:val="24"/>
          <w:szCs w:val="24"/>
          <w:highlight w:val="none"/>
        </w:rPr>
      </w:pPr>
      <w:r>
        <w:rPr>
          <w:color w:val="auto"/>
          <w:sz w:val="24"/>
          <w:szCs w:val="24"/>
          <w:highlight w:val="none"/>
        </w:rPr>
        <w:t>2、</w:t>
      </w:r>
      <w:r>
        <w:rPr>
          <w:rFonts w:hint="eastAsia"/>
          <w:color w:val="auto"/>
          <w:sz w:val="24"/>
          <w:szCs w:val="24"/>
          <w:highlight w:val="none"/>
        </w:rPr>
        <w:t>中标人</w:t>
      </w:r>
      <w:r>
        <w:rPr>
          <w:color w:val="auto"/>
          <w:sz w:val="24"/>
          <w:szCs w:val="24"/>
          <w:highlight w:val="none"/>
        </w:rPr>
        <w:t>申请退履约保证金时提供需求部门、资产管理处签署的《</w:t>
      </w:r>
      <w:r>
        <w:rPr>
          <w:rFonts w:hint="eastAsia"/>
          <w:color w:val="auto"/>
          <w:sz w:val="24"/>
          <w:szCs w:val="24"/>
          <w:highlight w:val="none"/>
        </w:rPr>
        <w:t>重庆工商大学货物及服务项目质量评估报告及履约保证金退还审核流程表</w:t>
      </w:r>
      <w:r>
        <w:rPr>
          <w:color w:val="auto"/>
          <w:sz w:val="24"/>
          <w:szCs w:val="24"/>
          <w:highlight w:val="none"/>
        </w:rPr>
        <w:t>》</w:t>
      </w:r>
      <w:r>
        <w:rPr>
          <w:rFonts w:hint="eastAsia"/>
          <w:color w:val="auto"/>
          <w:sz w:val="24"/>
          <w:szCs w:val="24"/>
          <w:highlight w:val="none"/>
        </w:rPr>
        <w:t>。</w:t>
      </w:r>
    </w:p>
    <w:p>
      <w:pPr>
        <w:snapToGrid w:val="0"/>
        <w:spacing w:line="360" w:lineRule="auto"/>
        <w:ind w:firstLine="480" w:firstLineChars="200"/>
        <w:rPr>
          <w:color w:val="auto"/>
          <w:sz w:val="24"/>
          <w:szCs w:val="24"/>
          <w:highlight w:val="none"/>
        </w:rPr>
      </w:pPr>
      <w:r>
        <w:rPr>
          <w:rFonts w:hint="eastAsia" w:ascii="宋体" w:hAnsi="宋体"/>
          <w:color w:val="auto"/>
          <w:sz w:val="24"/>
          <w:szCs w:val="24"/>
          <w:highlight w:val="none"/>
        </w:rPr>
        <w:t>注：如遇寒暑假或国家重大事件，则顺延至开学或条件允许后支付</w:t>
      </w:r>
      <w:r>
        <w:rPr>
          <w:color w:val="auto"/>
          <w:sz w:val="24"/>
          <w:szCs w:val="24"/>
          <w:highlight w:val="none"/>
        </w:rPr>
        <w:t>。</w:t>
      </w:r>
      <w:bookmarkEnd w:id="46"/>
    </w:p>
    <w:p>
      <w:pPr>
        <w:pStyle w:val="4"/>
        <w:ind w:firstLine="482" w:firstLineChars="200"/>
        <w:rPr>
          <w:rFonts w:ascii="Times New Roman" w:hAnsi="Times New Roman"/>
          <w:b/>
          <w:color w:val="auto"/>
          <w:sz w:val="24"/>
          <w:highlight w:val="none"/>
        </w:rPr>
      </w:pPr>
      <w:bookmarkStart w:id="70" w:name="_Toc267320052"/>
      <w:bookmarkStart w:id="71" w:name="_Toc22081"/>
      <w:bookmarkStart w:id="72" w:name="_Toc97817232"/>
      <w:r>
        <w:rPr>
          <w:rFonts w:ascii="Times New Roman" w:hAnsi="Times New Roman"/>
          <w:b/>
          <w:color w:val="auto"/>
          <w:sz w:val="24"/>
          <w:highlight w:val="none"/>
        </w:rPr>
        <w:t>六、知识产权</w:t>
      </w:r>
      <w:bookmarkEnd w:id="70"/>
      <w:bookmarkEnd w:id="71"/>
      <w:bookmarkEnd w:id="72"/>
    </w:p>
    <w:p>
      <w:pPr>
        <w:snapToGrid w:val="0"/>
        <w:spacing w:line="360" w:lineRule="auto"/>
        <w:ind w:firstLine="480" w:firstLineChars="200"/>
        <w:rPr>
          <w:color w:val="auto"/>
          <w:kern w:val="0"/>
          <w:sz w:val="24"/>
          <w:szCs w:val="24"/>
          <w:highlight w:val="none"/>
        </w:rPr>
      </w:pPr>
      <w:r>
        <w:rPr>
          <w:color w:val="auto"/>
          <w:kern w:val="0"/>
          <w:sz w:val="24"/>
          <w:szCs w:val="24"/>
          <w:highlight w:val="none"/>
        </w:rPr>
        <w:t>采购人在中华人民共和国境内使用投标人提供的货物及服务时免受第三方提出的侵犯其专利权或其它知识产权的起诉。如果第三方提出侵权指控，中标人应承担由此而引起的一切法律责任和费用</w:t>
      </w:r>
    </w:p>
    <w:p>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（一）采购人在中华人民共和国境内使用中标人提供的货物及服务时免受第三方提出的侵犯其专利权或其它知识产权的起诉。如果第三方提出侵权指控，中标人应承担由此而引起的一切法律责任和费用。</w:t>
      </w:r>
    </w:p>
    <w:p>
      <w:pPr>
        <w:snapToGrid w:val="0"/>
        <w:spacing w:line="40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（二）涉及软件开发等服务类项目知识产权的，知识产权归采购人所有。</w:t>
      </w:r>
    </w:p>
    <w:p>
      <w:pPr>
        <w:pStyle w:val="4"/>
        <w:spacing w:line="500" w:lineRule="exact"/>
        <w:ind w:firstLine="482" w:firstLineChars="200"/>
        <w:jc w:val="left"/>
        <w:rPr>
          <w:b/>
          <w:color w:val="auto"/>
          <w:sz w:val="24"/>
          <w:szCs w:val="22"/>
          <w:highlight w:val="none"/>
        </w:rPr>
      </w:pPr>
      <w:bookmarkStart w:id="73" w:name="_Toc533840966"/>
      <w:bookmarkStart w:id="74" w:name="_Toc6490"/>
      <w:bookmarkStart w:id="75" w:name="_Toc27146"/>
      <w:bookmarkStart w:id="76" w:name="_Toc17094"/>
      <w:bookmarkStart w:id="77" w:name="_Toc30766"/>
      <w:bookmarkStart w:id="78" w:name="_Toc26528"/>
      <w:bookmarkStart w:id="79" w:name="_Toc18675"/>
      <w:r>
        <w:rPr>
          <w:rFonts w:hint="eastAsia"/>
          <w:b/>
          <w:color w:val="auto"/>
          <w:sz w:val="24"/>
          <w:szCs w:val="22"/>
          <w:highlight w:val="none"/>
        </w:rPr>
        <w:t>七、培训</w:t>
      </w:r>
      <w:bookmarkEnd w:id="73"/>
      <w:r>
        <w:rPr>
          <w:rFonts w:hint="eastAsia"/>
          <w:b/>
          <w:color w:val="auto"/>
          <w:sz w:val="24"/>
          <w:szCs w:val="22"/>
          <w:highlight w:val="none"/>
        </w:rPr>
        <w:t>及二次开发</w:t>
      </w:r>
      <w:bookmarkEnd w:id="74"/>
      <w:bookmarkEnd w:id="75"/>
      <w:bookmarkEnd w:id="76"/>
      <w:bookmarkEnd w:id="77"/>
      <w:bookmarkEnd w:id="78"/>
      <w:bookmarkEnd w:id="79"/>
    </w:p>
    <w:p>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（一）中标人对其提供产品的使用和操作应尽培训义务。供应商应提供对采购人的免费培训（提供培训纸质和电子文档），使采购人使用人员能够正常操作。</w:t>
      </w:r>
    </w:p>
    <w:p>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（二）中标人负责免费提供有关程序接口，以备其它系统能无缝接入该系统。项目实施期间中标人负责免费提供有关程序接口服务，以备其它系统能无缝接入该系统。</w:t>
      </w:r>
    </w:p>
    <w:p>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（三）系统产生的数据归采购人所有，用于采购人教学质量保障、评估等方面，中标人未经采购人许可不得挪作他用。</w:t>
      </w:r>
    </w:p>
    <w:p>
      <w:pPr>
        <w:pStyle w:val="4"/>
        <w:spacing w:line="500" w:lineRule="exact"/>
        <w:ind w:firstLine="482" w:firstLineChars="200"/>
        <w:jc w:val="left"/>
        <w:rPr>
          <w:b/>
          <w:color w:val="auto"/>
          <w:sz w:val="24"/>
          <w:szCs w:val="22"/>
          <w:highlight w:val="none"/>
        </w:rPr>
      </w:pPr>
      <w:bookmarkStart w:id="80" w:name="_Toc267320053"/>
      <w:bookmarkStart w:id="81" w:name="_Toc524622133"/>
      <w:bookmarkStart w:id="82" w:name="_Toc11536"/>
      <w:bookmarkStart w:id="83" w:name="_Toc97817233"/>
      <w:r>
        <w:rPr>
          <w:rFonts w:hint="eastAsia"/>
          <w:b/>
          <w:color w:val="auto"/>
          <w:sz w:val="24"/>
          <w:szCs w:val="22"/>
          <w:highlight w:val="none"/>
        </w:rPr>
        <w:t>八、</w:t>
      </w:r>
      <w:bookmarkEnd w:id="80"/>
      <w:bookmarkEnd w:id="81"/>
      <w:r>
        <w:rPr>
          <w:rFonts w:hint="eastAsia"/>
          <w:b/>
          <w:color w:val="auto"/>
          <w:sz w:val="24"/>
          <w:szCs w:val="22"/>
          <w:highlight w:val="none"/>
        </w:rPr>
        <w:t>违约责任</w:t>
      </w:r>
      <w:bookmarkEnd w:id="82"/>
      <w:bookmarkEnd w:id="83"/>
    </w:p>
    <w:p>
      <w:pPr>
        <w:snapToGrid w:val="0"/>
        <w:spacing w:line="360" w:lineRule="auto"/>
        <w:ind w:firstLine="480" w:firstLineChars="200"/>
        <w:rPr>
          <w:color w:val="auto"/>
          <w:sz w:val="24"/>
          <w:szCs w:val="24"/>
          <w:highlight w:val="none"/>
        </w:rPr>
      </w:pPr>
      <w:bookmarkStart w:id="84" w:name="_Hlk68075709"/>
      <w:r>
        <w:rPr>
          <w:rFonts w:hint="eastAsia" w:ascii="宋体" w:hAnsi="宋体"/>
          <w:color w:val="auto"/>
          <w:sz w:val="24"/>
          <w:szCs w:val="24"/>
          <w:highlight w:val="none"/>
        </w:rPr>
        <w:t>（一）评标结束后，采购人可通过现场考察、函询等多种方式对中标人的投标文件响应情况予以核查，中标人须无条件配合并提供有关证明材料，证明其响应内容的真实有效性。采购人若发现中标人进行虚假响应或提供虚假材料的，有权取消中标人的中标资格，全额没收投标保证金；若在合同签订后查实中标人进行虚假响应或提供虚假材料的，采购人有权单方面终止合同，全额没收履约保证金。</w:t>
      </w:r>
    </w:p>
    <w:p>
      <w:pPr>
        <w:snapToGrid w:val="0"/>
        <w:spacing w:line="360" w:lineRule="auto"/>
        <w:ind w:firstLine="480" w:firstLineChars="200"/>
        <w:rPr>
          <w:color w:val="auto"/>
          <w:sz w:val="24"/>
          <w:szCs w:val="24"/>
          <w:highlight w:val="none"/>
        </w:rPr>
      </w:pPr>
      <w:r>
        <w:rPr>
          <w:rFonts w:hint="eastAsia"/>
          <w:color w:val="auto"/>
          <w:sz w:val="24"/>
          <w:szCs w:val="24"/>
          <w:highlight w:val="none"/>
        </w:rPr>
        <w:t>（二）</w:t>
      </w:r>
      <w:r>
        <w:rPr>
          <w:color w:val="auto"/>
          <w:sz w:val="24"/>
          <w:szCs w:val="24"/>
          <w:highlight w:val="none"/>
        </w:rPr>
        <w:t>若中标人发生部分违约现象，采购人从履约保证金中扣除相应金额的违约金；若发现严重违约现象，采购人有充分理由没收其全额保证金。</w:t>
      </w:r>
    </w:p>
    <w:p>
      <w:pPr>
        <w:snapToGrid w:val="0"/>
        <w:spacing w:line="360" w:lineRule="auto"/>
        <w:ind w:firstLine="480" w:firstLineChars="200"/>
        <w:rPr>
          <w:color w:val="auto"/>
          <w:sz w:val="24"/>
          <w:szCs w:val="24"/>
          <w:highlight w:val="none"/>
        </w:rPr>
      </w:pPr>
      <w:r>
        <w:rPr>
          <w:rFonts w:hint="eastAsia"/>
          <w:color w:val="auto"/>
          <w:sz w:val="24"/>
          <w:szCs w:val="24"/>
          <w:highlight w:val="none"/>
        </w:rPr>
        <w:t>1、</w:t>
      </w:r>
      <w:r>
        <w:rPr>
          <w:color w:val="auto"/>
          <w:sz w:val="24"/>
          <w:szCs w:val="24"/>
          <w:highlight w:val="none"/>
        </w:rPr>
        <w:t>非不可抗力情况下，因</w:t>
      </w:r>
      <w:r>
        <w:rPr>
          <w:rFonts w:hint="eastAsia"/>
          <w:color w:val="auto"/>
          <w:sz w:val="24"/>
          <w:szCs w:val="24"/>
          <w:highlight w:val="none"/>
        </w:rPr>
        <w:t>中标人</w:t>
      </w:r>
      <w:r>
        <w:rPr>
          <w:color w:val="auto"/>
          <w:sz w:val="24"/>
          <w:szCs w:val="24"/>
          <w:highlight w:val="none"/>
        </w:rPr>
        <w:t>自身原因终止履行合同的，履约保证金全额不予退还；</w:t>
      </w:r>
    </w:p>
    <w:p>
      <w:pPr>
        <w:snapToGrid w:val="0"/>
        <w:spacing w:line="360" w:lineRule="auto"/>
        <w:ind w:firstLine="480" w:firstLineChars="200"/>
        <w:rPr>
          <w:color w:val="auto"/>
          <w:sz w:val="24"/>
          <w:szCs w:val="24"/>
          <w:highlight w:val="none"/>
        </w:rPr>
      </w:pPr>
      <w:r>
        <w:rPr>
          <w:rFonts w:hint="eastAsia"/>
          <w:color w:val="auto"/>
          <w:sz w:val="24"/>
          <w:szCs w:val="24"/>
          <w:highlight w:val="none"/>
        </w:rPr>
        <w:t>2、</w:t>
      </w:r>
      <w:r>
        <w:rPr>
          <w:rFonts w:hint="eastAsia" w:ascii="宋体" w:hAnsi="宋体"/>
          <w:color w:val="auto"/>
          <w:sz w:val="24"/>
          <w:szCs w:val="24"/>
          <w:highlight w:val="none"/>
        </w:rPr>
        <w:t>若中标人未能按合同和采购文件要求供货或提供服务的，履约保证金全额不予退还。其中，在质保期内采购人发现系统运行状态不符合合同质量要求的，若中标人未及时整改到位，履约保证金全额不予退还</w:t>
      </w:r>
      <w:r>
        <w:rPr>
          <w:color w:val="auto"/>
          <w:sz w:val="24"/>
          <w:szCs w:val="24"/>
          <w:highlight w:val="none"/>
        </w:rPr>
        <w:t>；</w:t>
      </w:r>
    </w:p>
    <w:p>
      <w:pPr>
        <w:snapToGrid w:val="0"/>
        <w:spacing w:line="360" w:lineRule="auto"/>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非不可抗力情况下，因</w:t>
      </w:r>
      <w:r>
        <w:rPr>
          <w:rFonts w:hint="eastAsia"/>
          <w:color w:val="auto"/>
          <w:sz w:val="24"/>
          <w:szCs w:val="24"/>
          <w:highlight w:val="none"/>
        </w:rPr>
        <w:t>中标人</w:t>
      </w:r>
      <w:r>
        <w:rPr>
          <w:color w:val="auto"/>
          <w:sz w:val="24"/>
          <w:szCs w:val="24"/>
          <w:highlight w:val="none"/>
        </w:rPr>
        <w:t>自身原因，超过合同交货期限仍未送货安装调试达到验收要求的，超期1天，采购人扣除</w:t>
      </w:r>
      <w:r>
        <w:rPr>
          <w:rFonts w:hint="eastAsia"/>
          <w:color w:val="auto"/>
          <w:sz w:val="24"/>
          <w:szCs w:val="24"/>
          <w:highlight w:val="none"/>
        </w:rPr>
        <w:t>中标人</w:t>
      </w:r>
      <w:r>
        <w:rPr>
          <w:color w:val="auto"/>
          <w:sz w:val="24"/>
          <w:szCs w:val="24"/>
          <w:highlight w:val="none"/>
        </w:rPr>
        <w:t>履约保证金的3%作为违约惩罚，以此类推；</w:t>
      </w:r>
    </w:p>
    <w:p>
      <w:pPr>
        <w:snapToGrid w:val="0"/>
        <w:spacing w:line="360" w:lineRule="auto"/>
        <w:ind w:firstLine="480" w:firstLineChars="200"/>
        <w:rPr>
          <w:color w:val="auto"/>
          <w:sz w:val="24"/>
          <w:szCs w:val="24"/>
          <w:highlight w:val="none"/>
        </w:rPr>
      </w:pPr>
      <w:r>
        <w:rPr>
          <w:rFonts w:hint="eastAsia"/>
          <w:color w:val="auto"/>
          <w:sz w:val="24"/>
          <w:szCs w:val="24"/>
          <w:highlight w:val="none"/>
        </w:rPr>
        <w:t>4、</w:t>
      </w:r>
      <w:r>
        <w:rPr>
          <w:color w:val="auto"/>
          <w:sz w:val="24"/>
          <w:szCs w:val="24"/>
          <w:highlight w:val="none"/>
        </w:rPr>
        <w:t>因不可抗力，或采购人自身原因，致使交货期限延后的，</w:t>
      </w:r>
      <w:r>
        <w:rPr>
          <w:rFonts w:hint="eastAsia"/>
          <w:color w:val="auto"/>
          <w:sz w:val="24"/>
          <w:szCs w:val="24"/>
          <w:highlight w:val="none"/>
        </w:rPr>
        <w:t>中标人</w:t>
      </w:r>
      <w:r>
        <w:rPr>
          <w:color w:val="auto"/>
          <w:sz w:val="24"/>
          <w:szCs w:val="24"/>
          <w:highlight w:val="none"/>
        </w:rPr>
        <w:t>不承担相应违约责任。但</w:t>
      </w:r>
      <w:r>
        <w:rPr>
          <w:rFonts w:hint="eastAsia"/>
          <w:color w:val="auto"/>
          <w:sz w:val="24"/>
          <w:szCs w:val="24"/>
          <w:highlight w:val="none"/>
        </w:rPr>
        <w:t>中标人</w:t>
      </w:r>
      <w:r>
        <w:rPr>
          <w:color w:val="auto"/>
          <w:sz w:val="24"/>
          <w:szCs w:val="24"/>
          <w:highlight w:val="none"/>
        </w:rPr>
        <w:t>须提供采购人需求部门出具的同意延迟交货以及确定延迟交货期的书面情况说明，采购人需求部门负责人签字并加盖采购人需求部门鲜章。</w:t>
      </w:r>
    </w:p>
    <w:p>
      <w:pPr>
        <w:snapToGrid w:val="0"/>
        <w:spacing w:line="360" w:lineRule="auto"/>
        <w:ind w:firstLine="480" w:firstLineChars="200"/>
        <w:rPr>
          <w:color w:val="auto"/>
          <w:sz w:val="24"/>
          <w:szCs w:val="24"/>
          <w:highlight w:val="none"/>
        </w:rPr>
      </w:pPr>
      <w:r>
        <w:rPr>
          <w:rFonts w:hint="eastAsia"/>
          <w:color w:val="auto"/>
          <w:sz w:val="24"/>
          <w:szCs w:val="24"/>
          <w:highlight w:val="none"/>
        </w:rPr>
        <w:t>5、中标人</w:t>
      </w:r>
      <w:r>
        <w:rPr>
          <w:color w:val="auto"/>
          <w:sz w:val="24"/>
          <w:szCs w:val="24"/>
          <w:highlight w:val="none"/>
        </w:rPr>
        <w:t>所投产品</w:t>
      </w:r>
      <w:r>
        <w:rPr>
          <w:rFonts w:hint="eastAsia"/>
          <w:color w:val="auto"/>
          <w:sz w:val="24"/>
          <w:szCs w:val="24"/>
          <w:highlight w:val="none"/>
        </w:rPr>
        <w:t>或服务</w:t>
      </w:r>
      <w:r>
        <w:rPr>
          <w:color w:val="auto"/>
          <w:sz w:val="24"/>
          <w:szCs w:val="24"/>
          <w:highlight w:val="none"/>
        </w:rPr>
        <w:t>必须为中国大陆境内生产</w:t>
      </w:r>
      <w:r>
        <w:rPr>
          <w:rFonts w:hint="eastAsia"/>
          <w:color w:val="auto"/>
          <w:sz w:val="24"/>
          <w:szCs w:val="24"/>
          <w:highlight w:val="none"/>
        </w:rPr>
        <w:t>或提供</w:t>
      </w:r>
      <w:r>
        <w:rPr>
          <w:color w:val="auto"/>
          <w:sz w:val="24"/>
          <w:szCs w:val="24"/>
          <w:highlight w:val="none"/>
        </w:rPr>
        <w:t>，若存在进口产品，失去该分包</w:t>
      </w:r>
      <w:r>
        <w:rPr>
          <w:rFonts w:hint="eastAsia"/>
          <w:color w:val="auto"/>
          <w:sz w:val="24"/>
          <w:szCs w:val="24"/>
          <w:highlight w:val="none"/>
        </w:rPr>
        <w:t>中标人</w:t>
      </w:r>
      <w:r>
        <w:rPr>
          <w:color w:val="auto"/>
          <w:sz w:val="24"/>
          <w:szCs w:val="24"/>
          <w:highlight w:val="none"/>
        </w:rPr>
        <w:t>的资格，投标保证金或履约保证金全额不予退还；</w:t>
      </w:r>
    </w:p>
    <w:p>
      <w:pPr>
        <w:snapToGrid w:val="0"/>
        <w:spacing w:line="360" w:lineRule="auto"/>
        <w:ind w:firstLine="480" w:firstLineChars="200"/>
        <w:rPr>
          <w:color w:val="auto"/>
          <w:sz w:val="24"/>
          <w:szCs w:val="24"/>
          <w:highlight w:val="none"/>
        </w:rPr>
      </w:pPr>
      <w:r>
        <w:rPr>
          <w:rFonts w:hint="eastAsia"/>
          <w:color w:val="auto"/>
          <w:sz w:val="24"/>
          <w:szCs w:val="24"/>
          <w:highlight w:val="none"/>
        </w:rPr>
        <w:t>（三）</w:t>
      </w:r>
      <w:r>
        <w:rPr>
          <w:rFonts w:hint="eastAsia" w:ascii="宋体" w:hAnsi="宋体" w:cs="宋体"/>
          <w:color w:val="auto"/>
          <w:sz w:val="24"/>
          <w:highlight w:val="none"/>
        </w:rPr>
        <w:t>若中标人在投标或履约过程中有虚假响应或合同违约行为的，或正式验收或使用过程中，若经采购人或第三方检测机构验证不合格，除须承担相应的经济赔偿责任之外，采购人有权终止合同，并报送至重庆市财政局</w:t>
      </w:r>
      <w:r>
        <w:rPr>
          <w:rFonts w:hint="eastAsia" w:ascii="宋体" w:hAnsi="宋体"/>
          <w:color w:val="auto"/>
          <w:sz w:val="24"/>
          <w:szCs w:val="24"/>
          <w:highlight w:val="none"/>
        </w:rPr>
        <w:t>，将其列入政府采购黑名单。</w:t>
      </w:r>
    </w:p>
    <w:p>
      <w:pPr>
        <w:snapToGrid w:val="0"/>
        <w:spacing w:line="360" w:lineRule="auto"/>
        <w:ind w:left="140" w:leftChars="50" w:firstLine="360" w:firstLineChars="150"/>
        <w:rPr>
          <w:color w:val="auto"/>
          <w:sz w:val="24"/>
          <w:highlight w:val="none"/>
        </w:rPr>
        <w:sectPr>
          <w:footerReference r:id="rId7" w:type="default"/>
          <w:footerReference r:id="rId8" w:type="even"/>
          <w:pgSz w:w="11907" w:h="16840"/>
          <w:pgMar w:top="1134" w:right="1191" w:bottom="1134" w:left="1304" w:header="964" w:footer="992" w:gutter="0"/>
          <w:pgNumType w:fmt="numberInDash"/>
          <w:cols w:space="720" w:num="1"/>
          <w:docGrid w:linePitch="312" w:charSpace="0"/>
        </w:sectPr>
      </w:pPr>
      <w:r>
        <w:rPr>
          <w:rFonts w:hint="eastAsia"/>
          <w:color w:val="auto"/>
          <w:sz w:val="24"/>
          <w:szCs w:val="24"/>
          <w:highlight w:val="none"/>
        </w:rPr>
        <w:t>（四）</w:t>
      </w:r>
      <w:r>
        <w:rPr>
          <w:rFonts w:hint="eastAsia" w:ascii="宋体" w:hAnsi="宋体"/>
          <w:color w:val="auto"/>
          <w:sz w:val="24"/>
          <w:szCs w:val="24"/>
          <w:highlight w:val="none"/>
        </w:rPr>
        <w:t>其他未尽事宜按《中华人民共和国民法典》、《政府采购法》执行</w:t>
      </w:r>
      <w:r>
        <w:rPr>
          <w:color w:val="auto"/>
          <w:sz w:val="24"/>
          <w:szCs w:val="24"/>
          <w:highlight w:val="none"/>
        </w:rPr>
        <w:t>。</w:t>
      </w:r>
      <w:bookmarkEnd w:id="84"/>
    </w:p>
    <w:p>
      <w:pPr>
        <w:pStyle w:val="3"/>
        <w:spacing w:before="0" w:beforeLines="0" w:after="0" w:afterLines="0" w:line="360" w:lineRule="auto"/>
        <w:rPr>
          <w:rFonts w:ascii="宋体" w:hAnsi="宋体" w:eastAsia="宋体" w:cs="宋体"/>
          <w:bCs/>
          <w:color w:val="auto"/>
          <w:highlight w:val="none"/>
        </w:rPr>
      </w:pPr>
      <w:bookmarkStart w:id="85" w:name="_Toc5361"/>
      <w:bookmarkStart w:id="86" w:name="_Toc19291"/>
      <w:r>
        <w:rPr>
          <w:rFonts w:hint="eastAsia" w:ascii="宋体" w:hAnsi="宋体" w:eastAsia="宋体" w:cs="宋体"/>
          <w:bCs/>
          <w:color w:val="auto"/>
          <w:highlight w:val="none"/>
        </w:rPr>
        <w:t>第四篇 资格审查及评标办法</w:t>
      </w:r>
      <w:bookmarkEnd w:id="85"/>
      <w:bookmarkEnd w:id="86"/>
    </w:p>
    <w:p>
      <w:pPr>
        <w:pStyle w:val="4"/>
        <w:ind w:firstLine="482" w:firstLineChars="200"/>
        <w:rPr>
          <w:rFonts w:cs="宋体"/>
          <w:b/>
          <w:color w:val="auto"/>
          <w:sz w:val="24"/>
          <w:szCs w:val="24"/>
          <w:highlight w:val="none"/>
        </w:rPr>
      </w:pPr>
      <w:bookmarkStart w:id="87" w:name="_Toc5869"/>
      <w:bookmarkStart w:id="88" w:name="_Toc21223"/>
      <w:r>
        <w:rPr>
          <w:rFonts w:hint="eastAsia" w:cs="宋体"/>
          <w:b/>
          <w:color w:val="auto"/>
          <w:sz w:val="24"/>
          <w:szCs w:val="24"/>
          <w:highlight w:val="none"/>
        </w:rPr>
        <w:t>一、资格审查</w:t>
      </w:r>
      <w:bookmarkEnd w:id="87"/>
      <w:bookmarkEnd w:id="88"/>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依据政府采购相关法律法规规定，由采购人对投标文件中的资格证明文件进行审查。资格审查资料表如下：</w:t>
      </w:r>
    </w:p>
    <w:tbl>
      <w:tblPr>
        <w:tblStyle w:val="1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139"/>
        <w:gridCol w:w="2551"/>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846" w:type="dxa"/>
            <w:vAlign w:val="center"/>
          </w:tcPr>
          <w:p>
            <w:pPr>
              <w:snapToGrid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3690" w:type="dxa"/>
            <w:gridSpan w:val="2"/>
            <w:vAlign w:val="center"/>
          </w:tcPr>
          <w:p>
            <w:pPr>
              <w:snapToGrid w:val="0"/>
              <w:spacing w:line="360" w:lineRule="auto"/>
              <w:ind w:firstLine="480" w:firstLineChars="200"/>
              <w:jc w:val="center"/>
              <w:rPr>
                <w:rFonts w:ascii="宋体" w:hAnsi="宋体"/>
                <w:color w:val="auto"/>
                <w:sz w:val="24"/>
                <w:szCs w:val="24"/>
                <w:highlight w:val="none"/>
              </w:rPr>
            </w:pPr>
            <w:r>
              <w:rPr>
                <w:rFonts w:hint="eastAsia" w:ascii="宋体" w:hAnsi="宋体"/>
                <w:color w:val="auto"/>
                <w:sz w:val="24"/>
                <w:szCs w:val="24"/>
                <w:highlight w:val="none"/>
              </w:rPr>
              <w:t>检查因素</w:t>
            </w:r>
          </w:p>
        </w:tc>
        <w:tc>
          <w:tcPr>
            <w:tcW w:w="4820" w:type="dxa"/>
            <w:vAlign w:val="center"/>
          </w:tcPr>
          <w:p>
            <w:pPr>
              <w:snapToGrid w:val="0"/>
              <w:spacing w:line="360" w:lineRule="auto"/>
              <w:ind w:firstLine="480" w:firstLineChars="200"/>
              <w:jc w:val="center"/>
              <w:rPr>
                <w:rFonts w:ascii="宋体" w:hAnsi="宋体"/>
                <w:color w:val="auto"/>
                <w:sz w:val="24"/>
                <w:szCs w:val="24"/>
                <w:highlight w:val="none"/>
              </w:rPr>
            </w:pPr>
            <w:r>
              <w:rPr>
                <w:rFonts w:hint="eastAsia" w:ascii="宋体" w:hAnsi="宋体"/>
                <w:color w:val="auto"/>
                <w:sz w:val="24"/>
                <w:szCs w:val="24"/>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（一）</w:t>
            </w:r>
          </w:p>
        </w:tc>
        <w:tc>
          <w:tcPr>
            <w:tcW w:w="1139" w:type="dxa"/>
            <w:vMerge w:val="restart"/>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《中华人民共和国政府采购法》第二十二条规定</w:t>
            </w: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1.具有独立承担民事责任的能力</w:t>
            </w:r>
          </w:p>
        </w:tc>
        <w:tc>
          <w:tcPr>
            <w:tcW w:w="4820"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1.投标人企业法人营业执照（副本）（提供复印件）。 </w:t>
            </w:r>
          </w:p>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1139"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2.具有良好的商业信誉和健全的财务会计制度</w:t>
            </w:r>
          </w:p>
        </w:tc>
        <w:tc>
          <w:tcPr>
            <w:tcW w:w="4820" w:type="dxa"/>
            <w:vMerge w:val="restart"/>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投标人提供“基本资格条件承诺函”（详见第七篇）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1139"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3.具有履行合同所必需的设备和专业技术能力</w:t>
            </w:r>
          </w:p>
        </w:tc>
        <w:tc>
          <w:tcPr>
            <w:tcW w:w="4820" w:type="dxa"/>
            <w:vMerge w:val="continue"/>
            <w:vAlign w:val="center"/>
          </w:tcPr>
          <w:p>
            <w:pPr>
              <w:snapToGrid w:val="0"/>
              <w:spacing w:line="360" w:lineRule="auto"/>
              <w:ind w:firstLine="480" w:firstLineChars="200"/>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1139"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4.有依法缴纳税收和社会保障金的良好记录</w:t>
            </w:r>
          </w:p>
        </w:tc>
        <w:tc>
          <w:tcPr>
            <w:tcW w:w="4820" w:type="dxa"/>
            <w:vMerge w:val="continue"/>
            <w:vAlign w:val="center"/>
          </w:tcPr>
          <w:p>
            <w:pPr>
              <w:snapToGrid w:val="0"/>
              <w:spacing w:line="360" w:lineRule="auto"/>
              <w:ind w:firstLine="480" w:firstLineChars="200"/>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1139"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5.参加政府采购活动前三年内，在经营活动中没有重大违法记录（注</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eq \o\ac(</w:instrText>
            </w:r>
            <w:r>
              <w:rPr>
                <w:rFonts w:hint="eastAsia" w:ascii="宋体" w:hAnsi="宋体"/>
                <w:color w:val="auto"/>
                <w:position w:val="-4"/>
                <w:sz w:val="36"/>
                <w:szCs w:val="24"/>
                <w:highlight w:val="none"/>
              </w:rPr>
              <w:instrText xml:space="preserve">○</w:instrText>
            </w:r>
            <w:r>
              <w:rPr>
                <w:rFonts w:hint="eastAsia" w:ascii="宋体" w:hAnsi="宋体"/>
                <w:color w:val="auto"/>
                <w:sz w:val="24"/>
                <w:szCs w:val="24"/>
                <w:highlight w:val="none"/>
              </w:rPr>
              <w:instrText xml:space="preserve">,1)</w:instrTex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tc>
        <w:tc>
          <w:tcPr>
            <w:tcW w:w="4820" w:type="dxa"/>
            <w:vMerge w:val="continue"/>
            <w:vAlign w:val="center"/>
          </w:tcPr>
          <w:p>
            <w:pPr>
              <w:snapToGrid w:val="0"/>
              <w:spacing w:line="360" w:lineRule="auto"/>
              <w:ind w:firstLine="480" w:firstLineChars="200"/>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1139" w:type="dxa"/>
            <w:vMerge w:val="continue"/>
            <w:vAlign w:val="center"/>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6.法律、行政法规规定的其他条件</w:t>
            </w:r>
          </w:p>
        </w:tc>
        <w:tc>
          <w:tcPr>
            <w:tcW w:w="4820" w:type="dxa"/>
            <w:vAlign w:val="center"/>
          </w:tcPr>
          <w:p>
            <w:pPr>
              <w:snapToGrid w:val="0"/>
              <w:spacing w:line="360" w:lineRule="auto"/>
              <w:ind w:firstLine="480" w:firstLineChars="200"/>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tcPr>
          <w:p>
            <w:pPr>
              <w:snapToGrid w:val="0"/>
              <w:spacing w:line="360" w:lineRule="auto"/>
              <w:ind w:firstLine="480" w:firstLineChars="200"/>
              <w:rPr>
                <w:rFonts w:ascii="宋体" w:hAnsi="宋体"/>
                <w:color w:val="auto"/>
                <w:sz w:val="24"/>
                <w:szCs w:val="24"/>
                <w:highlight w:val="none"/>
              </w:rPr>
            </w:pPr>
          </w:p>
        </w:tc>
        <w:tc>
          <w:tcPr>
            <w:tcW w:w="1139" w:type="dxa"/>
            <w:vMerge w:val="continue"/>
          </w:tcPr>
          <w:p>
            <w:pPr>
              <w:snapToGrid w:val="0"/>
              <w:spacing w:line="360" w:lineRule="auto"/>
              <w:ind w:firstLine="480" w:firstLineChars="200"/>
              <w:rPr>
                <w:rFonts w:ascii="宋体" w:hAnsi="宋体"/>
                <w:color w:val="auto"/>
                <w:sz w:val="24"/>
                <w:szCs w:val="24"/>
                <w:highlight w:val="none"/>
              </w:rPr>
            </w:pPr>
          </w:p>
        </w:tc>
        <w:tc>
          <w:tcPr>
            <w:tcW w:w="2551"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7.本项目的特定资格要求</w:t>
            </w:r>
          </w:p>
        </w:tc>
        <w:tc>
          <w:tcPr>
            <w:tcW w:w="4820"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按“第一篇三、投标人资格要求（三）本项目的特定资格要求”的要求提交（如果有）。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（二）</w:t>
            </w:r>
          </w:p>
        </w:tc>
        <w:tc>
          <w:tcPr>
            <w:tcW w:w="3690" w:type="dxa"/>
            <w:gridSpan w:val="2"/>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落实政府采购政策需满足的资格要求</w:t>
            </w:r>
          </w:p>
        </w:tc>
        <w:tc>
          <w:tcPr>
            <w:tcW w:w="4820"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按“第一篇三、投标人资格要求（二）落实政府采购政策需满足的资格要求”的要求提交（如果有）。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846"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（三）</w:t>
            </w:r>
          </w:p>
        </w:tc>
        <w:tc>
          <w:tcPr>
            <w:tcW w:w="3690" w:type="dxa"/>
            <w:gridSpan w:val="2"/>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投标保证金</w:t>
            </w:r>
          </w:p>
        </w:tc>
        <w:tc>
          <w:tcPr>
            <w:tcW w:w="4820" w:type="dxa"/>
            <w:vAlign w:val="center"/>
          </w:tcPr>
          <w:p>
            <w:pPr>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按照招标文件要求足额交纳所投包的投标保证金。</w:t>
            </w:r>
          </w:p>
        </w:tc>
      </w:tr>
    </w:tbl>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fldChar w:fldCharType="begin"/>
      </w:r>
      <w:r>
        <w:rPr>
          <w:rFonts w:hint="eastAsia" w:ascii="宋体" w:hAnsi="宋体" w:cs="宋体"/>
          <w:color w:val="auto"/>
          <w:kern w:val="0"/>
          <w:sz w:val="24"/>
          <w:szCs w:val="24"/>
          <w:highlight w:val="none"/>
        </w:rPr>
        <w:instrText xml:space="preserve"> eq \o\ac(○,</w:instrText>
      </w:r>
      <w:r>
        <w:rPr>
          <w:rFonts w:hint="eastAsia" w:ascii="宋体" w:hAnsi="宋体" w:cs="宋体"/>
          <w:color w:val="auto"/>
          <w:kern w:val="0"/>
          <w:position w:val="3"/>
          <w:sz w:val="16"/>
          <w:szCs w:val="24"/>
          <w:highlight w:val="none"/>
        </w:rPr>
        <w:instrText xml:space="preserve">1</w:instrText>
      </w:r>
      <w:r>
        <w:rPr>
          <w:rFonts w:hint="eastAsia" w:ascii="宋体" w:hAnsi="宋体" w:cs="宋体"/>
          <w:color w:val="auto"/>
          <w:kern w:val="0"/>
          <w:sz w:val="24"/>
          <w:szCs w:val="24"/>
          <w:highlight w:val="none"/>
        </w:rPr>
        <w:instrText xml:space="preserve">)</w:instrText>
      </w:r>
      <w:r>
        <w:rPr>
          <w:rFonts w:hint="eastAsia" w:ascii="宋体" w:hAnsi="宋体" w:cs="宋体"/>
          <w:color w:val="auto"/>
          <w:kern w:val="0"/>
          <w:sz w:val="24"/>
          <w:szCs w:val="24"/>
          <w:highlight w:val="none"/>
        </w:rPr>
        <w:fldChar w:fldCharType="end"/>
      </w:r>
      <w:r>
        <w:rPr>
          <w:rFonts w:hint="eastAsia" w:ascii="宋体" w:hAnsi="宋体" w:cs="宋体"/>
          <w:color w:val="auto"/>
          <w:kern w:val="0"/>
          <w:sz w:val="24"/>
          <w:szCs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pPr>
        <w:pStyle w:val="4"/>
        <w:ind w:firstLine="482" w:firstLineChars="200"/>
        <w:rPr>
          <w:rFonts w:cs="宋体"/>
          <w:b/>
          <w:color w:val="auto"/>
          <w:sz w:val="24"/>
          <w:szCs w:val="24"/>
          <w:highlight w:val="none"/>
        </w:rPr>
      </w:pPr>
      <w:bookmarkStart w:id="89" w:name="_Toc27348"/>
      <w:bookmarkStart w:id="90" w:name="_Toc2287"/>
      <w:r>
        <w:rPr>
          <w:rFonts w:hint="eastAsia" w:cs="宋体"/>
          <w:b/>
          <w:color w:val="auto"/>
          <w:sz w:val="24"/>
          <w:szCs w:val="24"/>
          <w:highlight w:val="none"/>
        </w:rPr>
        <w:t>二、评标方法</w:t>
      </w:r>
      <w:bookmarkEnd w:id="89"/>
      <w:bookmarkEnd w:id="90"/>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本项目采用综合评分法进行评标。</w:t>
      </w:r>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100分。</w:t>
      </w:r>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（一）符合性审查</w:t>
      </w:r>
    </w:p>
    <w:p>
      <w:pPr>
        <w:snapToGrid w:val="0"/>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评标委员会应当对符合资格的投标人的投标文件进行符合性审查，以确定其是否满足招标文件的实质性要求。符合性审查资料表如下：</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pPr>
              <w:spacing w:line="360" w:lineRule="auto"/>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序号</w:t>
            </w:r>
          </w:p>
        </w:tc>
        <w:tc>
          <w:tcPr>
            <w:tcW w:w="3119" w:type="dxa"/>
            <w:gridSpan w:val="2"/>
            <w:vAlign w:val="center"/>
          </w:tcPr>
          <w:p>
            <w:pPr>
              <w:spacing w:line="360" w:lineRule="auto"/>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评审因素</w:t>
            </w:r>
          </w:p>
        </w:tc>
        <w:tc>
          <w:tcPr>
            <w:tcW w:w="5836" w:type="dxa"/>
            <w:vAlign w:val="center"/>
          </w:tcPr>
          <w:p>
            <w:pPr>
              <w:spacing w:line="360" w:lineRule="auto"/>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pPr>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1562" w:type="dxa"/>
            <w:vMerge w:val="restart"/>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有效性审查</w:t>
            </w:r>
          </w:p>
        </w:tc>
        <w:tc>
          <w:tcPr>
            <w:tcW w:w="1557"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rPr>
              <w:t>投标文件签署</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rPr>
              <w:t>投标文件上法定代表人（或其授权代表）的签字齐全。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pPr>
              <w:spacing w:line="360" w:lineRule="auto"/>
              <w:jc w:val="center"/>
              <w:rPr>
                <w:rFonts w:ascii="宋体" w:hAnsi="宋体" w:cs="宋体"/>
                <w:color w:val="auto"/>
                <w:kern w:val="0"/>
                <w:sz w:val="21"/>
                <w:szCs w:val="21"/>
                <w:highlight w:val="none"/>
              </w:rPr>
            </w:pPr>
          </w:p>
        </w:tc>
        <w:tc>
          <w:tcPr>
            <w:tcW w:w="1562" w:type="dxa"/>
            <w:vMerge w:val="continue"/>
            <w:vAlign w:val="center"/>
          </w:tcPr>
          <w:p>
            <w:pPr>
              <w:spacing w:line="360" w:lineRule="auto"/>
              <w:rPr>
                <w:rFonts w:ascii="宋体" w:hAnsi="宋体" w:cs="宋体"/>
                <w:color w:val="auto"/>
                <w:kern w:val="0"/>
                <w:sz w:val="21"/>
                <w:szCs w:val="21"/>
                <w:highlight w:val="none"/>
              </w:rPr>
            </w:pPr>
          </w:p>
        </w:tc>
        <w:tc>
          <w:tcPr>
            <w:tcW w:w="1557" w:type="dxa"/>
            <w:vAlign w:val="center"/>
          </w:tcPr>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投标方案</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每个包只能有一个方案投标。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pPr>
              <w:spacing w:line="360" w:lineRule="auto"/>
              <w:jc w:val="center"/>
              <w:rPr>
                <w:rFonts w:ascii="宋体" w:hAnsi="宋体" w:cs="宋体"/>
                <w:color w:val="auto"/>
                <w:kern w:val="0"/>
                <w:sz w:val="21"/>
                <w:szCs w:val="21"/>
                <w:highlight w:val="none"/>
              </w:rPr>
            </w:pPr>
          </w:p>
        </w:tc>
        <w:tc>
          <w:tcPr>
            <w:tcW w:w="1562" w:type="dxa"/>
            <w:vMerge w:val="continue"/>
            <w:vAlign w:val="center"/>
          </w:tcPr>
          <w:p>
            <w:pPr>
              <w:spacing w:line="360" w:lineRule="auto"/>
              <w:rPr>
                <w:rFonts w:ascii="宋体" w:hAnsi="宋体" w:cs="宋体"/>
                <w:color w:val="auto"/>
                <w:kern w:val="0"/>
                <w:sz w:val="21"/>
                <w:szCs w:val="21"/>
                <w:highlight w:val="none"/>
              </w:rPr>
            </w:pPr>
          </w:p>
        </w:tc>
        <w:tc>
          <w:tcPr>
            <w:tcW w:w="1557" w:type="dxa"/>
            <w:vAlign w:val="center"/>
          </w:tcPr>
          <w:p>
            <w:pP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报价唯一</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只能在预算金额和最高限价内报价，</w:t>
            </w:r>
            <w:r>
              <w:rPr>
                <w:rFonts w:hint="eastAsia" w:ascii="宋体" w:hAnsi="宋体" w:cs="宋体"/>
                <w:color w:val="auto"/>
                <w:sz w:val="21"/>
                <w:szCs w:val="21"/>
                <w:highlight w:val="none"/>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pPr>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1562"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完整性审查</w:t>
            </w:r>
          </w:p>
        </w:tc>
        <w:tc>
          <w:tcPr>
            <w:tcW w:w="1557"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投标文件份数</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sz w:val="21"/>
                <w:szCs w:val="21"/>
                <w:highlight w:val="none"/>
                <w:lang w:val="zh-CN"/>
              </w:rPr>
              <w:t>投标文件正、副本数量（含电子文档）符合招标文件要求。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pPr>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1562"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技术部分</w:t>
            </w:r>
          </w:p>
        </w:tc>
        <w:tc>
          <w:tcPr>
            <w:tcW w:w="1557"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本招标文件第二篇中（※）号标注的部分。</w:t>
            </w:r>
          </w:p>
          <w:p>
            <w:pPr>
              <w:spacing w:line="360" w:lineRule="auto"/>
              <w:rPr>
                <w:rFonts w:ascii="宋体" w:hAnsi="宋体" w:cs="宋体"/>
                <w:color w:val="auto"/>
                <w:kern w:val="0"/>
                <w:sz w:val="21"/>
                <w:szCs w:val="21"/>
                <w:highlight w:val="none"/>
              </w:rPr>
            </w:pPr>
            <w:r>
              <w:rPr>
                <w:rFonts w:hint="eastAsia" w:ascii="宋体" w:hAnsi="宋体" w:cs="宋体"/>
                <w:b/>
                <w:bCs/>
                <w:color w:val="auto"/>
                <w:kern w:val="0"/>
                <w:sz w:val="21"/>
                <w:szCs w:val="21"/>
                <w:highlight w:val="none"/>
              </w:rPr>
              <w:t>评分标准“技术响应”的最低限为10分，若投标人“技术响应”得分低于最低限的，其符合性审查不通过。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pPr>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1562"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商务部分</w:t>
            </w:r>
          </w:p>
        </w:tc>
        <w:tc>
          <w:tcPr>
            <w:tcW w:w="1557"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本招标文件第三篇中（※）号标注的部分。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pPr>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1562"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投标有效期</w:t>
            </w:r>
          </w:p>
        </w:tc>
        <w:tc>
          <w:tcPr>
            <w:tcW w:w="1557"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投标文件内容</w:t>
            </w:r>
          </w:p>
        </w:tc>
        <w:tc>
          <w:tcPr>
            <w:tcW w:w="5836" w:type="dxa"/>
            <w:vAlign w:val="center"/>
          </w:tcPr>
          <w:p>
            <w:pPr>
              <w:spacing w:line="360"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投标有效期为投标截止时间起90天。</w:t>
            </w:r>
          </w:p>
        </w:tc>
      </w:tr>
    </w:tbl>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签字，其澄清的内容不得超出投标文件的范围或者改变投标文件的实质性内容。</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（三）比较与评价。按招标文件中规定的评标方法和标准，对资格审查和符合性审查合格的投标文件进行商务和服务评估。</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复核后，评标委员会汇总每个投标人每项评分因素的得分。</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（四）推荐中标候选人名单。</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按评审后得分由高到低的排列顺序推荐综合得分排名前三的投标人为本包（项目）中标候选人，排名第一的为第一中标候选人。得分相同的，按投标报价由低到高顺序排列。得分且投标报价相同的并列。服务部分得分为0分的投标人，将失去成为中标候选人的资格。</w:t>
      </w:r>
    </w:p>
    <w:p>
      <w:pPr>
        <w:pStyle w:val="4"/>
        <w:ind w:firstLine="482" w:firstLineChars="200"/>
        <w:rPr>
          <w:rFonts w:cs="宋体"/>
          <w:b/>
          <w:color w:val="auto"/>
          <w:sz w:val="24"/>
          <w:szCs w:val="24"/>
          <w:highlight w:val="none"/>
        </w:rPr>
      </w:pPr>
      <w:bookmarkStart w:id="91" w:name="_Toc17532"/>
      <w:bookmarkStart w:id="92" w:name="_Toc25860"/>
      <w:bookmarkStart w:id="93" w:name="_Toc95404305"/>
      <w:r>
        <w:rPr>
          <w:rFonts w:hint="eastAsia" w:cs="宋体"/>
          <w:b/>
          <w:color w:val="auto"/>
          <w:sz w:val="24"/>
          <w:szCs w:val="24"/>
          <w:highlight w:val="none"/>
        </w:rPr>
        <w:t>三、评标标准</w:t>
      </w:r>
      <w:bookmarkEnd w:id="91"/>
      <w:bookmarkEnd w:id="92"/>
      <w:bookmarkEnd w:id="93"/>
    </w:p>
    <w:tbl>
      <w:tblPr>
        <w:tblStyle w:val="19"/>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801"/>
        <w:gridCol w:w="1000"/>
        <w:gridCol w:w="750"/>
        <w:gridCol w:w="5248"/>
        <w:gridCol w:w="1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b/>
                <w:color w:val="auto"/>
                <w:sz w:val="24"/>
                <w:szCs w:val="24"/>
                <w:highlight w:val="none"/>
              </w:rPr>
            </w:pPr>
            <w:r>
              <w:rPr>
                <w:b/>
                <w:color w:val="auto"/>
                <w:sz w:val="24"/>
                <w:szCs w:val="24"/>
                <w:highlight w:val="none"/>
              </w:rPr>
              <w:t>序号</w:t>
            </w:r>
          </w:p>
        </w:tc>
        <w:tc>
          <w:tcPr>
            <w:tcW w:w="1801"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b/>
                <w:color w:val="auto"/>
                <w:sz w:val="24"/>
                <w:szCs w:val="24"/>
                <w:highlight w:val="none"/>
              </w:rPr>
            </w:pPr>
            <w:r>
              <w:rPr>
                <w:b/>
                <w:color w:val="auto"/>
                <w:sz w:val="24"/>
                <w:szCs w:val="24"/>
                <w:highlight w:val="none"/>
              </w:rPr>
              <w:t>评分因素及权值</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b/>
                <w:color w:val="auto"/>
                <w:sz w:val="24"/>
                <w:szCs w:val="24"/>
                <w:highlight w:val="none"/>
              </w:rPr>
            </w:pPr>
            <w:r>
              <w:rPr>
                <w:b/>
                <w:color w:val="auto"/>
                <w:sz w:val="24"/>
                <w:szCs w:val="24"/>
                <w:highlight w:val="none"/>
              </w:rPr>
              <w:t>分值</w:t>
            </w:r>
          </w:p>
        </w:tc>
        <w:tc>
          <w:tcPr>
            <w:tcW w:w="5248"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b/>
                <w:color w:val="auto"/>
                <w:sz w:val="24"/>
                <w:szCs w:val="24"/>
                <w:highlight w:val="none"/>
              </w:rPr>
            </w:pPr>
            <w:r>
              <w:rPr>
                <w:b/>
                <w:color w:val="auto"/>
                <w:sz w:val="24"/>
                <w:szCs w:val="24"/>
                <w:highlight w:val="none"/>
              </w:rPr>
              <w:t>评分标准</w:t>
            </w:r>
          </w:p>
        </w:tc>
        <w:tc>
          <w:tcPr>
            <w:tcW w:w="1863"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b/>
                <w:color w:val="auto"/>
                <w:sz w:val="24"/>
                <w:szCs w:val="24"/>
                <w:highlight w:val="none"/>
              </w:rPr>
            </w:pPr>
            <w:r>
              <w:rPr>
                <w:b/>
                <w:color w:val="auto"/>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1</w:t>
            </w:r>
          </w:p>
        </w:tc>
        <w:tc>
          <w:tcPr>
            <w:tcW w:w="1801"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投标报价</w:t>
            </w:r>
          </w:p>
          <w:p>
            <w:pPr>
              <w:spacing w:line="400" w:lineRule="exact"/>
              <w:ind w:firstLine="28"/>
              <w:jc w:val="center"/>
              <w:rPr>
                <w:color w:val="auto"/>
                <w:sz w:val="24"/>
                <w:szCs w:val="24"/>
                <w:highlight w:val="none"/>
              </w:rPr>
            </w:pPr>
            <w:r>
              <w:rPr>
                <w:color w:val="auto"/>
                <w:sz w:val="24"/>
                <w:szCs w:val="24"/>
                <w:highlight w:val="none"/>
              </w:rPr>
              <w:t>（3</w:t>
            </w:r>
            <w:r>
              <w:rPr>
                <w:rFonts w:hint="eastAsia"/>
                <w:color w:val="auto"/>
                <w:sz w:val="24"/>
                <w:szCs w:val="24"/>
                <w:highlight w:val="none"/>
              </w:rPr>
              <w:t>5</w:t>
            </w:r>
            <w:r>
              <w:rPr>
                <w:color w:val="auto"/>
                <w:sz w:val="24"/>
                <w:szCs w:val="24"/>
                <w:highlight w:val="none"/>
              </w:rPr>
              <w:t>%）</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35</w:t>
            </w:r>
          </w:p>
        </w:tc>
        <w:tc>
          <w:tcPr>
            <w:tcW w:w="5248"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有效的投标报价中的最低价为评标基准价，其价格分为满分。其他投标人的价格分统一按照下列公式计算：</w:t>
            </w:r>
          </w:p>
          <w:p>
            <w:pPr>
              <w:snapToGrid w:val="0"/>
              <w:rPr>
                <w:color w:val="auto"/>
                <w:sz w:val="24"/>
                <w:szCs w:val="24"/>
                <w:highlight w:val="none"/>
              </w:rPr>
            </w:pPr>
            <w:r>
              <w:rPr>
                <w:rFonts w:hint="eastAsia" w:ascii="宋体" w:hAnsi="宋体" w:cs="宋体"/>
                <w:color w:val="auto"/>
                <w:sz w:val="24"/>
                <w:szCs w:val="24"/>
                <w:highlight w:val="none"/>
              </w:rPr>
              <w:t>投标报价得分＝（评标基准价/投标报价）×价格权重×100。</w:t>
            </w:r>
          </w:p>
        </w:tc>
        <w:tc>
          <w:tcPr>
            <w:tcW w:w="1863" w:type="dxa"/>
            <w:tcBorders>
              <w:top w:val="single" w:color="auto" w:sz="4" w:space="0"/>
              <w:left w:val="single" w:color="auto" w:sz="4" w:space="0"/>
              <w:bottom w:val="single" w:color="auto" w:sz="4" w:space="0"/>
              <w:right w:val="single" w:color="auto" w:sz="4" w:space="0"/>
            </w:tcBorders>
            <w:vAlign w:val="center"/>
          </w:tcPr>
          <w:p>
            <w:pPr>
              <w:spacing w:line="400" w:lineRule="exact"/>
              <w:ind w:left="-38"/>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jc w:val="center"/>
        </w:trPr>
        <w:tc>
          <w:tcPr>
            <w:tcW w:w="483" w:type="dxa"/>
            <w:vMerge w:val="restart"/>
            <w:tcBorders>
              <w:top w:val="single" w:color="auto" w:sz="4" w:space="0"/>
              <w:left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2</w:t>
            </w:r>
          </w:p>
        </w:tc>
        <w:tc>
          <w:tcPr>
            <w:tcW w:w="801" w:type="dxa"/>
            <w:vMerge w:val="restart"/>
            <w:tcBorders>
              <w:top w:val="single" w:color="auto" w:sz="4" w:space="0"/>
              <w:left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技术</w:t>
            </w:r>
          </w:p>
          <w:p>
            <w:pPr>
              <w:spacing w:line="400" w:lineRule="exact"/>
              <w:ind w:firstLine="28"/>
              <w:jc w:val="center"/>
              <w:rPr>
                <w:color w:val="auto"/>
                <w:sz w:val="24"/>
                <w:szCs w:val="24"/>
                <w:highlight w:val="none"/>
              </w:rPr>
            </w:pPr>
            <w:r>
              <w:rPr>
                <w:color w:val="auto"/>
                <w:sz w:val="24"/>
                <w:szCs w:val="24"/>
                <w:highlight w:val="none"/>
              </w:rPr>
              <w:t>部分</w:t>
            </w:r>
          </w:p>
          <w:p>
            <w:pPr>
              <w:spacing w:line="400" w:lineRule="exact"/>
              <w:ind w:firstLine="28"/>
              <w:jc w:val="center"/>
              <w:rPr>
                <w:color w:val="auto"/>
                <w:sz w:val="24"/>
                <w:szCs w:val="24"/>
                <w:highlight w:val="none"/>
              </w:rPr>
            </w:pPr>
            <w:r>
              <w:rPr>
                <w:color w:val="auto"/>
                <w:sz w:val="24"/>
                <w:szCs w:val="24"/>
                <w:highlight w:val="none"/>
              </w:rPr>
              <w:t>（</w:t>
            </w:r>
            <w:r>
              <w:rPr>
                <w:rFonts w:hint="eastAsia"/>
                <w:color w:val="auto"/>
                <w:sz w:val="24"/>
                <w:szCs w:val="24"/>
                <w:highlight w:val="none"/>
              </w:rPr>
              <w:t>3</w:t>
            </w:r>
            <w:r>
              <w:rPr>
                <w:rFonts w:hint="eastAsia"/>
                <w:color w:val="auto"/>
                <w:sz w:val="24"/>
                <w:szCs w:val="24"/>
                <w:highlight w:val="none"/>
                <w:lang w:val="en-US" w:eastAsia="zh-CN"/>
              </w:rPr>
              <w:t>7</w:t>
            </w:r>
            <w:r>
              <w:rPr>
                <w:color w:val="auto"/>
                <w:sz w:val="24"/>
                <w:szCs w:val="24"/>
                <w:highlight w:val="none"/>
              </w:rPr>
              <w:t>%）</w:t>
            </w:r>
          </w:p>
        </w:tc>
        <w:tc>
          <w:tcPr>
            <w:tcW w:w="100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技术</w:t>
            </w:r>
          </w:p>
          <w:p>
            <w:pPr>
              <w:spacing w:line="400" w:lineRule="exact"/>
              <w:ind w:firstLine="28"/>
              <w:jc w:val="center"/>
              <w:rPr>
                <w:color w:val="auto"/>
                <w:sz w:val="24"/>
                <w:szCs w:val="24"/>
                <w:highlight w:val="none"/>
              </w:rPr>
            </w:pPr>
            <w:r>
              <w:rPr>
                <w:color w:val="auto"/>
                <w:sz w:val="24"/>
                <w:szCs w:val="24"/>
                <w:highlight w:val="none"/>
              </w:rPr>
              <w:t>响应</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2</w:t>
            </w:r>
            <w:r>
              <w:rPr>
                <w:rFonts w:hint="eastAsia"/>
                <w:color w:val="auto"/>
                <w:sz w:val="24"/>
                <w:szCs w:val="24"/>
                <w:highlight w:val="none"/>
              </w:rPr>
              <w:t>0</w:t>
            </w:r>
          </w:p>
        </w:tc>
        <w:tc>
          <w:tcPr>
            <w:tcW w:w="5248"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A起评分：有效投标人的起评分为20分。</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B扣分条款：</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1.投标文件投标应答有一条不满足招标文件实质性要求的（本招标文件第二篇中带“※”号标注的部分），按无效投标处理。</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2.投标文件投标应答有一条不满足招标文件重要技术需求的（本招标文件第二篇中带“*”号标注的部分），负偏离一条，从起评分扣除5分。</w:t>
            </w:r>
          </w:p>
          <w:p>
            <w:pPr>
              <w:snapToGrid w:val="0"/>
              <w:rPr>
                <w:color w:val="auto"/>
                <w:sz w:val="24"/>
                <w:szCs w:val="24"/>
                <w:highlight w:val="none"/>
              </w:rPr>
            </w:pPr>
            <w:r>
              <w:rPr>
                <w:rFonts w:hint="eastAsia" w:ascii="宋体" w:hAnsi="宋体" w:cs="宋体"/>
                <w:color w:val="auto"/>
                <w:sz w:val="24"/>
                <w:szCs w:val="24"/>
                <w:highlight w:val="none"/>
              </w:rPr>
              <w:t>3.除“※”号标注的部分、“*”号标注的部分以外的内容，每负偏离一条的，从起评分中扣除2分。</w:t>
            </w:r>
          </w:p>
        </w:tc>
        <w:tc>
          <w:tcPr>
            <w:tcW w:w="1863" w:type="dxa"/>
            <w:tcBorders>
              <w:top w:val="single" w:color="auto" w:sz="4" w:space="0"/>
              <w:left w:val="single" w:color="auto" w:sz="4" w:space="0"/>
              <w:bottom w:val="single" w:color="auto" w:sz="4" w:space="0"/>
              <w:right w:val="single" w:color="auto" w:sz="4" w:space="0"/>
            </w:tcBorders>
            <w:vAlign w:val="center"/>
          </w:tcPr>
          <w:p>
            <w:pPr>
              <w:spacing w:line="400" w:lineRule="exact"/>
              <w:ind w:left="-38"/>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5" w:hRule="atLeast"/>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rFonts w:hint="eastAsia"/>
                <w:color w:val="auto"/>
                <w:sz w:val="24"/>
                <w:szCs w:val="24"/>
                <w:highlight w:val="none"/>
              </w:rPr>
              <w:t>系统</w:t>
            </w:r>
          </w:p>
          <w:p>
            <w:pPr>
              <w:spacing w:line="400" w:lineRule="exact"/>
              <w:ind w:firstLine="28"/>
              <w:jc w:val="center"/>
              <w:rPr>
                <w:color w:val="auto"/>
                <w:sz w:val="24"/>
                <w:szCs w:val="24"/>
                <w:highlight w:val="none"/>
              </w:rPr>
            </w:pPr>
            <w:r>
              <w:rPr>
                <w:rFonts w:hint="eastAsia"/>
                <w:color w:val="auto"/>
                <w:sz w:val="24"/>
                <w:szCs w:val="24"/>
                <w:highlight w:val="none"/>
              </w:rPr>
              <w:t>演示</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rFonts w:hint="eastAsia"/>
                <w:color w:val="auto"/>
                <w:sz w:val="24"/>
                <w:szCs w:val="24"/>
                <w:highlight w:val="none"/>
              </w:rPr>
              <w:t>9</w:t>
            </w:r>
          </w:p>
        </w:tc>
        <w:tc>
          <w:tcPr>
            <w:tcW w:w="5248" w:type="dxa"/>
            <w:tcBorders>
              <w:top w:val="single" w:color="auto" w:sz="4" w:space="0"/>
              <w:left w:val="single" w:color="auto" w:sz="4" w:space="0"/>
              <w:bottom w:val="single" w:color="auto" w:sz="4" w:space="0"/>
              <w:right w:val="single" w:color="auto" w:sz="4" w:space="0"/>
            </w:tcBorders>
            <w:vAlign w:val="center"/>
          </w:tcPr>
          <w:p>
            <w:pPr>
              <w:numPr>
                <w:ilvl w:val="255"/>
                <w:numId w:val="0"/>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投标人需现场进行演示（不含专家现场提问），根据现场演示情况与采购需求的匹配程度、业务逻辑、完整性、关键点的把握程度进行评分。具体评分如下：</w:t>
            </w:r>
          </w:p>
          <w:p>
            <w:pPr>
              <w:numPr>
                <w:ilvl w:val="255"/>
                <w:numId w:val="0"/>
              </w:numPr>
              <w:spacing w:line="360" w:lineRule="exact"/>
              <w:rPr>
                <w:rFonts w:ascii="宋体" w:hAnsi="宋体" w:cs="宋体"/>
                <w:color w:val="auto"/>
                <w:sz w:val="24"/>
                <w:szCs w:val="24"/>
                <w:highlight w:val="none"/>
              </w:rPr>
            </w:pPr>
            <w:r>
              <w:rPr>
                <w:rFonts w:ascii="宋体" w:hAnsi="宋体" w:cs="宋体"/>
                <w:color w:val="auto"/>
                <w:sz w:val="24"/>
                <w:szCs w:val="24"/>
                <w:highlight w:val="none"/>
              </w:rPr>
              <w:t>1.学生评教分析：支持统计学生评教</w:t>
            </w:r>
            <w:r>
              <w:rPr>
                <w:rFonts w:hint="eastAsia" w:ascii="宋体" w:hAnsi="宋体" w:cs="宋体"/>
                <w:color w:val="auto"/>
                <w:sz w:val="24"/>
                <w:szCs w:val="24"/>
                <w:highlight w:val="none"/>
              </w:rPr>
              <w:t>模块中</w:t>
            </w:r>
            <w:r>
              <w:rPr>
                <w:rFonts w:ascii="宋体" w:hAnsi="宋体" w:cs="宋体"/>
                <w:color w:val="auto"/>
                <w:sz w:val="24"/>
                <w:szCs w:val="24"/>
                <w:highlight w:val="none"/>
              </w:rPr>
              <w:t>各学院、各专业、各课程、各行政班、各教学班多种维度的参评率；支持按课程类型统计学生评教得分</w:t>
            </w:r>
            <w:r>
              <w:rPr>
                <w:rFonts w:hint="eastAsia" w:ascii="宋体" w:hAnsi="宋体" w:cs="宋体"/>
                <w:color w:val="auto"/>
                <w:sz w:val="24"/>
                <w:szCs w:val="24"/>
                <w:highlight w:val="none"/>
              </w:rPr>
              <w:t>：优得2分，中得1分，差或未演示得</w:t>
            </w:r>
            <w:r>
              <w:rPr>
                <w:rFonts w:ascii="宋体" w:hAnsi="宋体" w:cs="宋体"/>
                <w:color w:val="auto"/>
                <w:sz w:val="24"/>
                <w:szCs w:val="24"/>
                <w:highlight w:val="none"/>
              </w:rPr>
              <w:t>0</w:t>
            </w:r>
            <w:r>
              <w:rPr>
                <w:rFonts w:hint="eastAsia" w:ascii="宋体" w:hAnsi="宋体" w:cs="宋体"/>
                <w:color w:val="auto"/>
                <w:sz w:val="24"/>
                <w:szCs w:val="24"/>
                <w:highlight w:val="none"/>
              </w:rPr>
              <w:t>分。</w:t>
            </w:r>
          </w:p>
          <w:p>
            <w:pPr>
              <w:numPr>
                <w:ilvl w:val="255"/>
                <w:numId w:val="0"/>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.督导评教分析：支持按课程类型</w:t>
            </w:r>
            <w:r>
              <w:rPr>
                <w:rFonts w:hint="eastAsia" w:ascii="宋体" w:hAnsi="宋体" w:cs="宋体"/>
                <w:color w:val="auto"/>
                <w:sz w:val="24"/>
                <w:szCs w:val="24"/>
                <w:highlight w:val="none"/>
              </w:rPr>
              <w:t>、任课</w:t>
            </w:r>
            <w:r>
              <w:rPr>
                <w:rFonts w:ascii="宋体" w:hAnsi="宋体" w:cs="宋体"/>
                <w:color w:val="auto"/>
                <w:sz w:val="24"/>
                <w:szCs w:val="24"/>
                <w:highlight w:val="none"/>
              </w:rPr>
              <w:t>教师</w:t>
            </w:r>
            <w:r>
              <w:rPr>
                <w:rFonts w:hint="eastAsia" w:ascii="宋体" w:hAnsi="宋体" w:cs="宋体"/>
                <w:color w:val="auto"/>
                <w:sz w:val="24"/>
                <w:szCs w:val="24"/>
                <w:highlight w:val="none"/>
              </w:rPr>
              <w:t>等对</w:t>
            </w:r>
            <w:r>
              <w:rPr>
                <w:rFonts w:ascii="宋体" w:hAnsi="宋体" w:cs="宋体"/>
                <w:color w:val="auto"/>
                <w:sz w:val="24"/>
                <w:szCs w:val="24"/>
                <w:highlight w:val="none"/>
              </w:rPr>
              <w:t>督导评教</w:t>
            </w:r>
            <w:r>
              <w:rPr>
                <w:rFonts w:hint="eastAsia" w:ascii="宋体" w:hAnsi="宋体" w:cs="宋体"/>
                <w:color w:val="auto"/>
                <w:sz w:val="24"/>
                <w:szCs w:val="24"/>
                <w:highlight w:val="none"/>
              </w:rPr>
              <w:t>结果进行统计分析</w:t>
            </w:r>
            <w:r>
              <w:rPr>
                <w:rFonts w:ascii="宋体" w:hAnsi="宋体" w:cs="宋体"/>
                <w:color w:val="auto"/>
                <w:sz w:val="24"/>
                <w:szCs w:val="24"/>
                <w:highlight w:val="none"/>
              </w:rPr>
              <w:t>；支持督导听评课</w:t>
            </w:r>
            <w:r>
              <w:rPr>
                <w:rFonts w:hint="eastAsia" w:ascii="宋体" w:hAnsi="宋体" w:cs="宋体"/>
                <w:color w:val="auto"/>
                <w:sz w:val="24"/>
                <w:szCs w:val="24"/>
                <w:highlight w:val="none"/>
              </w:rPr>
              <w:t>任务完成情况统计；</w:t>
            </w:r>
            <w:r>
              <w:rPr>
                <w:rFonts w:ascii="宋体" w:hAnsi="宋体" w:cs="宋体"/>
                <w:color w:val="auto"/>
                <w:sz w:val="24"/>
                <w:szCs w:val="24"/>
                <w:highlight w:val="none"/>
              </w:rPr>
              <w:t>支持督导工作量</w:t>
            </w:r>
            <w:r>
              <w:rPr>
                <w:rFonts w:hint="eastAsia" w:ascii="宋体" w:hAnsi="宋体" w:cs="宋体"/>
                <w:color w:val="auto"/>
                <w:sz w:val="24"/>
                <w:szCs w:val="24"/>
                <w:highlight w:val="none"/>
              </w:rPr>
              <w:t>的统计（</w:t>
            </w:r>
            <w:r>
              <w:rPr>
                <w:rFonts w:hint="eastAsia" w:ascii="宋体" w:hAnsi="宋体" w:cs="宋体"/>
                <w:color w:val="auto"/>
                <w:sz w:val="24"/>
                <w:szCs w:val="24"/>
                <w:highlight w:val="none"/>
                <w:lang w:eastAsia="zh-Hans"/>
              </w:rPr>
              <w:t>可按照学期等设置多个统计节点</w:t>
            </w:r>
            <w:r>
              <w:rPr>
                <w:rFonts w:hint="eastAsia" w:ascii="宋体" w:hAnsi="宋体" w:cs="宋体"/>
                <w:color w:val="auto"/>
                <w:sz w:val="24"/>
                <w:szCs w:val="24"/>
                <w:highlight w:val="none"/>
              </w:rPr>
              <w:t>）：优得2分，中得1分，差或未演示得</w:t>
            </w:r>
            <w:r>
              <w:rPr>
                <w:rFonts w:ascii="宋体" w:hAnsi="宋体" w:cs="宋体"/>
                <w:color w:val="auto"/>
                <w:sz w:val="24"/>
                <w:szCs w:val="24"/>
                <w:highlight w:val="none"/>
              </w:rPr>
              <w:t>0</w:t>
            </w:r>
            <w:r>
              <w:rPr>
                <w:rFonts w:hint="eastAsia" w:ascii="宋体" w:hAnsi="宋体" w:cs="宋体"/>
                <w:color w:val="auto"/>
                <w:sz w:val="24"/>
                <w:szCs w:val="24"/>
                <w:highlight w:val="none"/>
              </w:rPr>
              <w:t>分。</w:t>
            </w:r>
          </w:p>
          <w:p>
            <w:pPr>
              <w:numPr>
                <w:ilvl w:val="255"/>
                <w:numId w:val="0"/>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w:t>
            </w:r>
            <w:r>
              <w:rPr>
                <w:rFonts w:ascii="宋体" w:hAnsi="宋体" w:cs="宋体"/>
                <w:color w:val="auto"/>
                <w:sz w:val="24"/>
                <w:szCs w:val="24"/>
                <w:highlight w:val="none"/>
              </w:rPr>
              <w:t>.对于评价结果能够进行分析</w:t>
            </w:r>
            <w:r>
              <w:rPr>
                <w:rFonts w:hint="eastAsia" w:ascii="宋体" w:hAnsi="宋体" w:cs="宋体"/>
                <w:color w:val="auto"/>
                <w:sz w:val="24"/>
                <w:szCs w:val="24"/>
                <w:highlight w:val="none"/>
              </w:rPr>
              <w:t>对比</w:t>
            </w:r>
            <w:r>
              <w:rPr>
                <w:rFonts w:ascii="宋体" w:hAnsi="宋体" w:cs="宋体"/>
                <w:color w:val="auto"/>
                <w:sz w:val="24"/>
                <w:szCs w:val="24"/>
                <w:highlight w:val="none"/>
              </w:rPr>
              <w:t>，</w:t>
            </w:r>
            <w:r>
              <w:rPr>
                <w:rFonts w:hint="eastAsia" w:ascii="宋体" w:hAnsi="宋体" w:cs="宋体"/>
                <w:color w:val="auto"/>
                <w:sz w:val="24"/>
                <w:szCs w:val="24"/>
                <w:highlight w:val="none"/>
              </w:rPr>
              <w:t>包含但不限于</w:t>
            </w:r>
            <w:r>
              <w:rPr>
                <w:rFonts w:ascii="宋体" w:hAnsi="宋体" w:cs="宋体"/>
                <w:color w:val="auto"/>
                <w:sz w:val="24"/>
                <w:szCs w:val="24"/>
                <w:highlight w:val="none"/>
              </w:rPr>
              <w:t>被听课教师覆盖情况、得分情况分析等，能够生成</w:t>
            </w:r>
            <w:r>
              <w:rPr>
                <w:rFonts w:hint="eastAsia" w:ascii="宋体" w:hAnsi="宋体" w:cs="宋体"/>
                <w:color w:val="auto"/>
                <w:sz w:val="24"/>
                <w:szCs w:val="24"/>
                <w:highlight w:val="none"/>
                <w:lang w:val="en-US" w:eastAsia="zh-CN"/>
              </w:rPr>
              <w:t>多种</w:t>
            </w:r>
            <w:r>
              <w:rPr>
                <w:rFonts w:ascii="宋体" w:hAnsi="宋体" w:cs="宋体"/>
                <w:color w:val="auto"/>
                <w:sz w:val="24"/>
                <w:szCs w:val="24"/>
                <w:highlight w:val="none"/>
              </w:rPr>
              <w:t>分析报告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督导听课简报、学生评教数据分析报告</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rPr>
              <w:t>：优得2分，中得1分，差或未演示得</w:t>
            </w:r>
            <w:r>
              <w:rPr>
                <w:rFonts w:ascii="宋体" w:hAnsi="宋体" w:cs="宋体"/>
                <w:color w:val="auto"/>
                <w:sz w:val="24"/>
                <w:szCs w:val="24"/>
                <w:highlight w:val="none"/>
              </w:rPr>
              <w:t>0</w:t>
            </w:r>
            <w:r>
              <w:rPr>
                <w:rFonts w:hint="eastAsia" w:ascii="宋体" w:hAnsi="宋体" w:cs="宋体"/>
                <w:color w:val="auto"/>
                <w:sz w:val="24"/>
                <w:szCs w:val="24"/>
                <w:highlight w:val="none"/>
              </w:rPr>
              <w:t>分。</w:t>
            </w:r>
          </w:p>
          <w:p>
            <w:pPr>
              <w:numPr>
                <w:ilvl w:val="255"/>
                <w:numId w:val="0"/>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提供基于评价结果数据的可视化展示。展示维度包含但不限于督导评价、学生评教，从教师、课程、教学单位的维度综合多种评价结果进行的关联分析，诠释数据立体化、内容丰富、视觉效果好：优得3分，中得1分，差或未演示得</w:t>
            </w:r>
            <w:r>
              <w:rPr>
                <w:rFonts w:ascii="宋体" w:hAnsi="宋体" w:cs="宋体"/>
                <w:color w:val="auto"/>
                <w:sz w:val="24"/>
                <w:szCs w:val="24"/>
                <w:highlight w:val="none"/>
              </w:rPr>
              <w:t>0</w:t>
            </w:r>
            <w:r>
              <w:rPr>
                <w:rFonts w:hint="eastAsia" w:ascii="宋体" w:hAnsi="宋体" w:cs="宋体"/>
                <w:color w:val="auto"/>
                <w:sz w:val="24"/>
                <w:szCs w:val="24"/>
                <w:highlight w:val="none"/>
              </w:rPr>
              <w:t>分。</w:t>
            </w:r>
          </w:p>
        </w:tc>
        <w:tc>
          <w:tcPr>
            <w:tcW w:w="1863"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cs="宋体"/>
                <w:color w:val="auto"/>
                <w:sz w:val="24"/>
                <w:szCs w:val="24"/>
                <w:highlight w:val="none"/>
              </w:rPr>
            </w:pPr>
            <w:r>
              <w:rPr>
                <w:rFonts w:hint="eastAsia"/>
                <w:color w:val="auto"/>
                <w:sz w:val="24"/>
                <w:szCs w:val="24"/>
                <w:highlight w:val="none"/>
              </w:rPr>
              <w:t>演示</w:t>
            </w:r>
            <w:r>
              <w:rPr>
                <w:rFonts w:hint="eastAsia" w:ascii="宋体" w:hAnsi="宋体" w:cs="宋体"/>
                <w:color w:val="auto"/>
                <w:sz w:val="24"/>
                <w:szCs w:val="24"/>
                <w:highlight w:val="none"/>
              </w:rPr>
              <w:t>时间15分钟以内（不含评审小组提问时间），演示所需电脑由投标人自备。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技术</w:t>
            </w:r>
          </w:p>
          <w:p>
            <w:pPr>
              <w:jc w:val="center"/>
              <w:rPr>
                <w:color w:val="auto"/>
                <w:sz w:val="24"/>
                <w:szCs w:val="24"/>
                <w:highlight w:val="none"/>
              </w:rPr>
            </w:pPr>
            <w:r>
              <w:rPr>
                <w:rFonts w:hint="eastAsia" w:cs="宋体" w:asciiTheme="minorEastAsia" w:hAnsiTheme="minorEastAsia" w:eastAsiaTheme="minorEastAsia"/>
                <w:color w:val="auto"/>
                <w:sz w:val="24"/>
                <w:szCs w:val="24"/>
                <w:highlight w:val="none"/>
              </w:rPr>
              <w:t>方案</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color w:val="auto"/>
                <w:sz w:val="24"/>
                <w:szCs w:val="24"/>
                <w:highlight w:val="none"/>
              </w:rPr>
            </w:pPr>
            <w:r>
              <w:rPr>
                <w:rFonts w:hint="eastAsia"/>
                <w:color w:val="auto"/>
                <w:sz w:val="24"/>
                <w:szCs w:val="24"/>
                <w:highlight w:val="none"/>
              </w:rPr>
              <w:t>3</w:t>
            </w:r>
          </w:p>
        </w:tc>
        <w:tc>
          <w:tcPr>
            <w:tcW w:w="5248" w:type="dxa"/>
            <w:tcBorders>
              <w:top w:val="single" w:color="auto" w:sz="4" w:space="0"/>
              <w:left w:val="single" w:color="auto" w:sz="4" w:space="0"/>
              <w:bottom w:val="single" w:color="auto" w:sz="4" w:space="0"/>
              <w:right w:val="single" w:color="auto" w:sz="4" w:space="0"/>
            </w:tcBorders>
            <w:vAlign w:val="center"/>
          </w:tcPr>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对本项目的建设要求、项目实施目的、功能模块及重点、难点进行详细分析，并提出完整、可行的建设方案；</w:t>
            </w:r>
          </w:p>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完全符合学校质量保障体系整体规划方案的设计思路和当前业务需求，并支持后续业务的拓展与延伸；</w:t>
            </w:r>
          </w:p>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包括系统设计、架构科学性先进性、功能完善程度、业务逻辑清晰、</w:t>
            </w:r>
            <w:r>
              <w:rPr>
                <w:rFonts w:hint="eastAsia" w:asciiTheme="minorEastAsia" w:hAnsiTheme="minorEastAsia" w:eastAsiaTheme="minorEastAsia"/>
                <w:color w:val="auto"/>
                <w:sz w:val="24"/>
                <w:szCs w:val="24"/>
                <w:highlight w:val="none"/>
                <w:lang w:eastAsia="zh-CN"/>
              </w:rPr>
              <w:t>移动</w:t>
            </w:r>
            <w:r>
              <w:rPr>
                <w:rFonts w:hint="eastAsia" w:asciiTheme="minorEastAsia" w:hAnsiTheme="minorEastAsia" w:eastAsiaTheme="minorEastAsia"/>
                <w:color w:val="auto"/>
                <w:sz w:val="24"/>
                <w:szCs w:val="24"/>
                <w:highlight w:val="none"/>
              </w:rPr>
              <w:t>端设计</w:t>
            </w:r>
            <w:r>
              <w:rPr>
                <w:rFonts w:hint="eastAsia" w:asciiTheme="minorEastAsia" w:hAnsiTheme="minorEastAsia" w:eastAsiaTheme="minorEastAsia"/>
                <w:color w:val="auto"/>
                <w:sz w:val="24"/>
                <w:szCs w:val="24"/>
                <w:highlight w:val="none"/>
                <w:lang w:eastAsia="zh-Hans"/>
              </w:rPr>
              <w:t>五</w:t>
            </w:r>
            <w:r>
              <w:rPr>
                <w:rFonts w:hint="eastAsia" w:asciiTheme="minorEastAsia" w:hAnsiTheme="minorEastAsia" w:eastAsiaTheme="minorEastAsia"/>
                <w:color w:val="auto"/>
                <w:sz w:val="24"/>
                <w:szCs w:val="24"/>
                <w:highlight w:val="none"/>
              </w:rPr>
              <w:t>个标准：</w:t>
            </w:r>
          </w:p>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1.方案合理、可行、全面，得3分；</w:t>
            </w:r>
          </w:p>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2.方案较合理可行，满足采购人要求，得2分；</w:t>
            </w:r>
          </w:p>
          <w:p>
            <w:pPr>
              <w:numPr>
                <w:ilvl w:val="255"/>
                <w:numId w:val="0"/>
              </w:num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3.方案简单，可操作性一般，得1分；</w:t>
            </w:r>
          </w:p>
          <w:p>
            <w:pPr>
              <w:numPr>
                <w:ilvl w:val="255"/>
                <w:numId w:val="0"/>
              </w:numPr>
              <w:rPr>
                <w:color w:val="auto"/>
                <w:sz w:val="24"/>
                <w:szCs w:val="24"/>
                <w:highlight w:val="none"/>
              </w:rPr>
            </w:pPr>
            <w:r>
              <w:rPr>
                <w:rFonts w:hint="eastAsia" w:asciiTheme="minorEastAsia" w:hAnsiTheme="minorEastAsia" w:eastAsiaTheme="minorEastAsia"/>
                <w:color w:val="auto"/>
                <w:sz w:val="24"/>
                <w:szCs w:val="24"/>
                <w:highlight w:val="none"/>
              </w:rPr>
              <w:t>4.方案欠缺、不利于实施及未提供方案的，得0分。</w:t>
            </w:r>
          </w:p>
        </w:tc>
        <w:tc>
          <w:tcPr>
            <w:tcW w:w="1863" w:type="dxa"/>
            <w:vMerge w:val="restart"/>
            <w:tcBorders>
              <w:top w:val="single" w:color="auto" w:sz="4" w:space="0"/>
              <w:left w:val="single" w:color="auto" w:sz="4" w:space="0"/>
              <w:right w:val="single" w:color="auto" w:sz="4" w:space="0"/>
            </w:tcBorders>
            <w:vAlign w:val="center"/>
          </w:tcPr>
          <w:p>
            <w:pPr>
              <w:spacing w:line="400" w:lineRule="exact"/>
              <w:ind w:left="-38"/>
              <w:rPr>
                <w:color w:val="auto"/>
                <w:sz w:val="24"/>
                <w:szCs w:val="24"/>
                <w:highlight w:val="none"/>
              </w:rPr>
            </w:pPr>
            <w:r>
              <w:rPr>
                <w:color w:val="auto"/>
                <w:sz w:val="24"/>
                <w:szCs w:val="24"/>
                <w:highlight w:val="none"/>
              </w:rPr>
              <w:t>须提供具体方案并加盖投标人公章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right w:val="single" w:color="auto" w:sz="4" w:space="0"/>
            </w:tcBorders>
            <w:vAlign w:val="center"/>
          </w:tcPr>
          <w:p>
            <w:pPr>
              <w:jc w:val="center"/>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实施</w:t>
            </w:r>
          </w:p>
          <w:p>
            <w:pPr>
              <w:jc w:val="center"/>
              <w:rPr>
                <w:color w:val="auto"/>
                <w:sz w:val="24"/>
                <w:szCs w:val="24"/>
                <w:highlight w:val="none"/>
              </w:rPr>
            </w:pPr>
            <w:r>
              <w:rPr>
                <w:rFonts w:hint="eastAsia" w:cs="宋体" w:asciiTheme="minorEastAsia" w:hAnsiTheme="minorEastAsia" w:eastAsiaTheme="minorEastAsia"/>
                <w:color w:val="auto"/>
                <w:sz w:val="24"/>
                <w:szCs w:val="24"/>
                <w:highlight w:val="none"/>
              </w:rPr>
              <w:t>方案</w:t>
            </w:r>
          </w:p>
        </w:tc>
        <w:tc>
          <w:tcPr>
            <w:tcW w:w="750" w:type="dxa"/>
            <w:tcBorders>
              <w:top w:val="single" w:color="auto" w:sz="4" w:space="0"/>
              <w:left w:val="single" w:color="auto" w:sz="4" w:space="0"/>
              <w:right w:val="single" w:color="auto" w:sz="4" w:space="0"/>
            </w:tcBorders>
            <w:vAlign w:val="center"/>
          </w:tcPr>
          <w:p>
            <w:pPr>
              <w:jc w:val="center"/>
              <w:rPr>
                <w:color w:val="auto"/>
                <w:sz w:val="24"/>
                <w:szCs w:val="24"/>
                <w:highlight w:val="none"/>
              </w:rPr>
            </w:pPr>
            <w:r>
              <w:rPr>
                <w:rFonts w:hint="eastAsia"/>
                <w:color w:val="auto"/>
                <w:sz w:val="24"/>
                <w:szCs w:val="24"/>
                <w:highlight w:val="none"/>
              </w:rPr>
              <w:t>3</w:t>
            </w:r>
          </w:p>
        </w:tc>
        <w:tc>
          <w:tcPr>
            <w:tcW w:w="5248" w:type="dxa"/>
            <w:tcBorders>
              <w:top w:val="single" w:color="auto" w:sz="4" w:space="0"/>
              <w:left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针对本项目的实施方案及实施进度计划（包括但不限于研发进度计划）及其保证措施、质量保证计划以、项目验收、系统测试、系统故障时的应急预案等。</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1.方案合理、可行、全面，得3分；</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2.方案较合理可行，满足采购人要求，得2分；</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3.方案简单，可操作性一般，得1分；</w:t>
            </w:r>
          </w:p>
          <w:p>
            <w:pPr>
              <w:snapToGrid w:val="0"/>
              <w:rPr>
                <w:color w:val="auto"/>
                <w:sz w:val="24"/>
                <w:szCs w:val="24"/>
                <w:highlight w:val="none"/>
              </w:rPr>
            </w:pPr>
            <w:r>
              <w:rPr>
                <w:rFonts w:hint="eastAsia" w:ascii="宋体" w:hAnsi="宋体" w:cs="宋体"/>
                <w:color w:val="auto"/>
                <w:sz w:val="24"/>
                <w:szCs w:val="24"/>
                <w:highlight w:val="none"/>
              </w:rPr>
              <w:t>4.方案欠缺、不利于实施及未提供方案的，得0分。</w:t>
            </w:r>
          </w:p>
        </w:tc>
        <w:tc>
          <w:tcPr>
            <w:tcW w:w="1863" w:type="dxa"/>
            <w:vMerge w:val="continue"/>
            <w:tcBorders>
              <w:left w:val="single" w:color="auto" w:sz="4" w:space="0"/>
              <w:right w:val="single" w:color="auto" w:sz="4" w:space="0"/>
            </w:tcBorders>
            <w:vAlign w:val="center"/>
          </w:tcPr>
          <w:p>
            <w:pPr>
              <w:spacing w:line="400" w:lineRule="exact"/>
              <w:ind w:left="-38"/>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right w:val="single" w:color="auto" w:sz="4" w:space="0"/>
            </w:tcBorders>
            <w:vAlign w:val="center"/>
          </w:tcPr>
          <w:p>
            <w:pPr>
              <w:snapToGrid w:val="0"/>
              <w:rPr>
                <w:rFonts w:cs="宋体"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所投产品成熟度</w:t>
            </w:r>
          </w:p>
        </w:tc>
        <w:tc>
          <w:tcPr>
            <w:tcW w:w="750" w:type="dxa"/>
            <w:tcBorders>
              <w:top w:val="single" w:color="auto" w:sz="4" w:space="0"/>
              <w:left w:val="single" w:color="auto" w:sz="4" w:space="0"/>
              <w:right w:val="single" w:color="auto" w:sz="4" w:space="0"/>
            </w:tcBorders>
            <w:vAlign w:val="center"/>
          </w:tcPr>
          <w:p>
            <w:pPr>
              <w:snapToGrid w:val="0"/>
              <w:jc w:val="center"/>
              <w:rPr>
                <w:color w:val="auto"/>
                <w:sz w:val="24"/>
                <w:szCs w:val="24"/>
                <w:highlight w:val="none"/>
              </w:rPr>
            </w:pPr>
            <w:r>
              <w:rPr>
                <w:rFonts w:hint="eastAsia"/>
                <w:color w:val="auto"/>
                <w:sz w:val="24"/>
                <w:szCs w:val="24"/>
                <w:highlight w:val="none"/>
              </w:rPr>
              <w:t>2</w:t>
            </w:r>
          </w:p>
        </w:tc>
        <w:tc>
          <w:tcPr>
            <w:tcW w:w="5248" w:type="dxa"/>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所投产品具备软件著作权登记证书的，</w:t>
            </w:r>
            <w:r>
              <w:rPr>
                <w:color w:val="auto"/>
                <w:sz w:val="24"/>
                <w:szCs w:val="24"/>
                <w:highlight w:val="none"/>
              </w:rPr>
              <w:t>每提供1个证书得1分，最多得2分</w:t>
            </w:r>
            <w:r>
              <w:rPr>
                <w:rFonts w:hint="eastAsia" w:ascii="宋体" w:hAnsi="宋体" w:cs="宋体"/>
                <w:color w:val="auto"/>
                <w:sz w:val="24"/>
                <w:szCs w:val="24"/>
                <w:highlight w:val="none"/>
              </w:rPr>
              <w:t>，未提供不得分。</w:t>
            </w:r>
          </w:p>
        </w:tc>
        <w:tc>
          <w:tcPr>
            <w:tcW w:w="1863" w:type="dxa"/>
            <w:tcBorders>
              <w:left w:val="single" w:color="auto" w:sz="4" w:space="0"/>
              <w:right w:val="single" w:color="auto" w:sz="4" w:space="0"/>
            </w:tcBorders>
            <w:vAlign w:val="center"/>
          </w:tcPr>
          <w:p>
            <w:pPr>
              <w:spacing w:line="360" w:lineRule="exact"/>
              <w:rPr>
                <w:color w:val="auto"/>
                <w:sz w:val="24"/>
                <w:szCs w:val="24"/>
                <w:highlight w:val="none"/>
              </w:rPr>
            </w:pPr>
            <w:r>
              <w:rPr>
                <w:rFonts w:ascii="宋体" w:hAnsi="宋体" w:cs="宋体"/>
                <w:color w:val="auto"/>
                <w:sz w:val="24"/>
                <w:szCs w:val="24"/>
                <w:highlight w:val="none"/>
              </w:rPr>
              <w:t>提供有效的证书复印件，加盖</w:t>
            </w:r>
            <w:r>
              <w:rPr>
                <w:rFonts w:hint="eastAsia" w:ascii="宋体" w:hAnsi="宋体" w:cs="宋体"/>
                <w:color w:val="auto"/>
                <w:sz w:val="24"/>
                <w:szCs w:val="24"/>
                <w:highlight w:val="none"/>
              </w:rPr>
              <w:t>投标人公章</w:t>
            </w:r>
            <w:r>
              <w:rPr>
                <w:rFonts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45" w:type="dxa"/>
            <w:gridSpan w:val="6"/>
            <w:tcBorders>
              <w:left w:val="single" w:color="auto" w:sz="4" w:space="0"/>
              <w:bottom w:val="single" w:color="auto" w:sz="4" w:space="0"/>
              <w:right w:val="single" w:color="auto" w:sz="4" w:space="0"/>
            </w:tcBorders>
            <w:vAlign w:val="center"/>
          </w:tcPr>
          <w:p>
            <w:pPr>
              <w:spacing w:line="400" w:lineRule="exact"/>
              <w:rPr>
                <w:color w:val="auto"/>
                <w:sz w:val="24"/>
                <w:szCs w:val="24"/>
                <w:highlight w:val="none"/>
              </w:rPr>
            </w:pPr>
            <w:r>
              <w:rPr>
                <w:color w:val="auto"/>
                <w:sz w:val="24"/>
                <w:szCs w:val="24"/>
                <w:highlight w:val="none"/>
              </w:rPr>
              <w:t>投标人的应答应满足招标文件“第三篇 项目商务要求”，有一条不满足的【第三篇中（※）号标注的部分除外】，商务部分得分为0分，不再进入商务部分的评审。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83" w:type="dxa"/>
            <w:vMerge w:val="restart"/>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3</w:t>
            </w:r>
          </w:p>
        </w:tc>
        <w:tc>
          <w:tcPr>
            <w:tcW w:w="801" w:type="dxa"/>
            <w:vMerge w:val="restart"/>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商务</w:t>
            </w:r>
          </w:p>
          <w:p>
            <w:pPr>
              <w:spacing w:line="400" w:lineRule="exact"/>
              <w:ind w:firstLine="28"/>
              <w:jc w:val="center"/>
              <w:rPr>
                <w:color w:val="auto"/>
                <w:sz w:val="24"/>
                <w:szCs w:val="24"/>
                <w:highlight w:val="none"/>
              </w:rPr>
            </w:pPr>
            <w:r>
              <w:rPr>
                <w:color w:val="auto"/>
                <w:sz w:val="24"/>
                <w:szCs w:val="24"/>
                <w:highlight w:val="none"/>
              </w:rPr>
              <w:t>部分</w:t>
            </w:r>
          </w:p>
          <w:p>
            <w:pPr>
              <w:spacing w:line="400" w:lineRule="exact"/>
              <w:ind w:firstLine="28"/>
              <w:jc w:val="center"/>
              <w:rPr>
                <w:color w:val="auto"/>
                <w:sz w:val="24"/>
                <w:szCs w:val="24"/>
                <w:highlight w:val="none"/>
              </w:rPr>
            </w:pPr>
            <w:r>
              <w:rPr>
                <w:color w:val="auto"/>
                <w:sz w:val="24"/>
                <w:szCs w:val="24"/>
                <w:highlight w:val="none"/>
              </w:rPr>
              <w:t>（</w:t>
            </w:r>
            <w:r>
              <w:rPr>
                <w:rFonts w:hint="eastAsia"/>
                <w:color w:val="auto"/>
                <w:sz w:val="24"/>
                <w:szCs w:val="24"/>
                <w:highlight w:val="none"/>
              </w:rPr>
              <w:t>28</w:t>
            </w:r>
            <w:r>
              <w:rPr>
                <w:color w:val="auto"/>
                <w:sz w:val="24"/>
                <w:szCs w:val="24"/>
                <w:highlight w:val="none"/>
              </w:rPr>
              <w:t>%）</w:t>
            </w:r>
          </w:p>
        </w:tc>
        <w:tc>
          <w:tcPr>
            <w:tcW w:w="100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rFonts w:hint="eastAsia"/>
                <w:color w:val="auto"/>
                <w:sz w:val="24"/>
                <w:szCs w:val="24"/>
                <w:highlight w:val="none"/>
              </w:rPr>
            </w:pPr>
            <w:r>
              <w:rPr>
                <w:color w:val="auto"/>
                <w:sz w:val="24"/>
                <w:szCs w:val="24"/>
                <w:highlight w:val="none"/>
              </w:rPr>
              <w:t>维保</w:t>
            </w:r>
          </w:p>
          <w:p>
            <w:pPr>
              <w:spacing w:line="400" w:lineRule="exact"/>
              <w:ind w:firstLine="28"/>
              <w:jc w:val="center"/>
              <w:rPr>
                <w:color w:val="auto"/>
                <w:sz w:val="24"/>
                <w:szCs w:val="24"/>
                <w:highlight w:val="none"/>
              </w:rPr>
            </w:pPr>
            <w:r>
              <w:rPr>
                <w:rFonts w:hint="eastAsia"/>
                <w:color w:val="auto"/>
                <w:sz w:val="24"/>
                <w:szCs w:val="24"/>
                <w:highlight w:val="none"/>
              </w:rPr>
              <w:t>期限</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rFonts w:hint="eastAsia"/>
                <w:color w:val="auto"/>
                <w:sz w:val="24"/>
                <w:szCs w:val="24"/>
                <w:highlight w:val="none"/>
              </w:rPr>
              <w:t>2</w:t>
            </w:r>
          </w:p>
        </w:tc>
        <w:tc>
          <w:tcPr>
            <w:tcW w:w="5248"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1.维保期限不高于采购需求的即投标人对本项目所投产品提供6年的原厂免费维保期，得0分；</w:t>
            </w:r>
          </w:p>
          <w:p>
            <w:pPr>
              <w:snapToGrid w:val="0"/>
              <w:rPr>
                <w:color w:val="auto"/>
                <w:sz w:val="24"/>
                <w:szCs w:val="24"/>
                <w:highlight w:val="none"/>
              </w:rPr>
            </w:pPr>
            <w:r>
              <w:rPr>
                <w:rFonts w:hint="eastAsia" w:ascii="宋体" w:hAnsi="宋体" w:cs="宋体"/>
                <w:color w:val="auto"/>
                <w:sz w:val="24"/>
                <w:szCs w:val="24"/>
                <w:highlight w:val="none"/>
              </w:rPr>
              <w:t>2.服务期限高于采购需求的，每多一年得0.5分，最多得2分。</w:t>
            </w:r>
          </w:p>
        </w:tc>
        <w:tc>
          <w:tcPr>
            <w:tcW w:w="1863" w:type="dxa"/>
            <w:tcBorders>
              <w:top w:val="single" w:color="auto" w:sz="4" w:space="0"/>
              <w:left w:val="single" w:color="auto" w:sz="4" w:space="0"/>
              <w:bottom w:val="single" w:color="auto" w:sz="4" w:space="0"/>
              <w:right w:val="single" w:color="auto" w:sz="4" w:space="0"/>
            </w:tcBorders>
            <w:vAlign w:val="center"/>
          </w:tcPr>
          <w:p>
            <w:pPr>
              <w:spacing w:line="400" w:lineRule="exact"/>
              <w:ind w:left="-38" w:firstLine="28"/>
              <w:rPr>
                <w:color w:val="auto"/>
                <w:sz w:val="24"/>
                <w:szCs w:val="24"/>
                <w:highlight w:val="none"/>
              </w:rPr>
            </w:pPr>
            <w:r>
              <w:rPr>
                <w:color w:val="auto"/>
                <w:sz w:val="24"/>
                <w:szCs w:val="24"/>
                <w:highlight w:val="none"/>
              </w:rPr>
              <w:t>投标人提供明确完善的售后服务承诺。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5" w:hRule="atLeast"/>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vMerge w:val="restart"/>
            <w:tcBorders>
              <w:top w:val="single" w:color="auto" w:sz="4" w:space="0"/>
              <w:left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人员</w:t>
            </w:r>
          </w:p>
          <w:p>
            <w:pPr>
              <w:spacing w:line="400" w:lineRule="exact"/>
              <w:ind w:firstLine="28"/>
              <w:jc w:val="center"/>
              <w:rPr>
                <w:color w:val="auto"/>
                <w:sz w:val="24"/>
                <w:szCs w:val="24"/>
                <w:highlight w:val="none"/>
              </w:rPr>
            </w:pPr>
            <w:r>
              <w:rPr>
                <w:color w:val="auto"/>
                <w:sz w:val="24"/>
                <w:szCs w:val="24"/>
                <w:highlight w:val="none"/>
              </w:rPr>
              <w:t>配置</w:t>
            </w:r>
          </w:p>
        </w:tc>
        <w:tc>
          <w:tcPr>
            <w:tcW w:w="750" w:type="dxa"/>
            <w:vMerge w:val="restart"/>
            <w:tcBorders>
              <w:top w:val="single" w:color="auto" w:sz="4" w:space="0"/>
              <w:left w:val="single" w:color="auto" w:sz="4" w:space="0"/>
              <w:right w:val="single" w:color="auto" w:sz="4" w:space="0"/>
            </w:tcBorders>
            <w:vAlign w:val="center"/>
          </w:tcPr>
          <w:p>
            <w:pPr>
              <w:spacing w:line="400" w:lineRule="exact"/>
              <w:ind w:firstLine="28"/>
              <w:jc w:val="center"/>
              <w:rPr>
                <w:color w:val="auto"/>
                <w:sz w:val="24"/>
                <w:szCs w:val="24"/>
                <w:highlight w:val="none"/>
              </w:rPr>
            </w:pPr>
            <w:r>
              <w:rPr>
                <w:rFonts w:hint="eastAsia"/>
                <w:color w:val="auto"/>
                <w:sz w:val="24"/>
                <w:szCs w:val="24"/>
                <w:highlight w:val="none"/>
              </w:rPr>
              <w:t>13</w:t>
            </w:r>
          </w:p>
        </w:tc>
        <w:tc>
          <w:tcPr>
            <w:tcW w:w="5248" w:type="dxa"/>
            <w:tcBorders>
              <w:top w:val="single" w:color="auto" w:sz="4" w:space="0"/>
              <w:left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项目团队配置方案（</w:t>
            </w:r>
            <w:r>
              <w:rPr>
                <w:rFonts w:ascii="宋体" w:hAnsi="宋体" w:cs="宋体"/>
                <w:color w:val="auto"/>
                <w:sz w:val="24"/>
                <w:szCs w:val="24"/>
                <w:highlight w:val="none"/>
              </w:rPr>
              <w:t>5分）</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根据投标人对本项目所拟派的项目团队的开发、实施人员安排情况，队伍结构、技术能力、经验、业绩进行打分，本项最高得</w:t>
            </w:r>
            <w:r>
              <w:rPr>
                <w:rFonts w:ascii="宋体" w:hAnsi="宋体" w:cs="宋体"/>
                <w:color w:val="auto"/>
                <w:sz w:val="24"/>
                <w:szCs w:val="24"/>
                <w:highlight w:val="none"/>
              </w:rPr>
              <w:t>5分：</w:t>
            </w:r>
          </w:p>
          <w:p>
            <w:pPr>
              <w:snapToGrid w:val="0"/>
              <w:rPr>
                <w:rFonts w:ascii="宋体" w:hAnsi="宋体" w:cs="宋体"/>
                <w:color w:val="auto"/>
                <w:sz w:val="24"/>
                <w:szCs w:val="24"/>
                <w:highlight w:val="none"/>
              </w:rPr>
            </w:pPr>
            <w:r>
              <w:rPr>
                <w:rFonts w:ascii="宋体" w:hAnsi="宋体" w:cs="宋体"/>
                <w:color w:val="auto"/>
                <w:sz w:val="24"/>
                <w:szCs w:val="24"/>
                <w:highlight w:val="none"/>
              </w:rPr>
              <w:t>1.人员安排合理、技术能力强、经验丰富，得5分；</w:t>
            </w:r>
          </w:p>
          <w:p>
            <w:pPr>
              <w:snapToGrid w:val="0"/>
              <w:rPr>
                <w:rFonts w:ascii="宋体" w:hAnsi="宋体" w:cs="宋体"/>
                <w:color w:val="auto"/>
                <w:sz w:val="24"/>
                <w:szCs w:val="24"/>
                <w:highlight w:val="none"/>
              </w:rPr>
            </w:pPr>
            <w:r>
              <w:rPr>
                <w:rFonts w:ascii="宋体" w:hAnsi="宋体" w:cs="宋体"/>
                <w:color w:val="auto"/>
                <w:sz w:val="24"/>
                <w:szCs w:val="24"/>
                <w:highlight w:val="none"/>
              </w:rPr>
              <w:t>2.人员安排较为合理、技术能力较强、经验较丰富得2分；</w:t>
            </w:r>
          </w:p>
          <w:p>
            <w:pPr>
              <w:snapToGrid w:val="0"/>
              <w:rPr>
                <w:rFonts w:ascii="宋体" w:hAnsi="宋体" w:cs="宋体"/>
                <w:color w:val="auto"/>
                <w:sz w:val="24"/>
                <w:szCs w:val="24"/>
                <w:highlight w:val="none"/>
              </w:rPr>
            </w:pPr>
            <w:r>
              <w:rPr>
                <w:rFonts w:ascii="宋体" w:hAnsi="宋体" w:cs="宋体"/>
                <w:color w:val="auto"/>
                <w:sz w:val="24"/>
                <w:szCs w:val="24"/>
                <w:highlight w:val="none"/>
              </w:rPr>
              <w:t>3.人员安排尚可、技术能力中等、经验不足得2分；</w:t>
            </w:r>
          </w:p>
          <w:p>
            <w:pPr>
              <w:snapToGrid w:val="0"/>
              <w:rPr>
                <w:color w:val="auto"/>
                <w:sz w:val="24"/>
                <w:szCs w:val="24"/>
                <w:highlight w:val="none"/>
              </w:rPr>
            </w:pPr>
            <w:r>
              <w:rPr>
                <w:rFonts w:ascii="宋体" w:hAnsi="宋体" w:cs="宋体"/>
                <w:color w:val="auto"/>
                <w:sz w:val="24"/>
                <w:szCs w:val="24"/>
                <w:highlight w:val="none"/>
              </w:rPr>
              <w:t>4.人员安排不合理、技术能力差、无经验或未提供的，得0分。</w:t>
            </w:r>
          </w:p>
        </w:tc>
        <w:tc>
          <w:tcPr>
            <w:tcW w:w="1863" w:type="dxa"/>
            <w:vMerge w:val="restart"/>
            <w:tcBorders>
              <w:top w:val="single" w:color="auto" w:sz="4" w:space="0"/>
              <w:left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1.投标人须提供详细的项目团队配置方案，方案内容应包含但不限于项目团队人员安排情况，队伍结构、技术能力、经验业绩等；</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2.投标人需在项目团队配置方案中明确该项目团队人员的具体姓名、性别、身份证号码、资质证书、业绩经验、职责分工等信息及相关证明材料，并提供2023年以来连续3个月由投标人为其缴纳社保证明材料（未提供，不得分）；</w:t>
            </w:r>
          </w:p>
          <w:p>
            <w:pPr>
              <w:snapToGrid w:val="0"/>
              <w:rPr>
                <w:color w:val="auto"/>
                <w:sz w:val="24"/>
                <w:szCs w:val="24"/>
                <w:highlight w:val="none"/>
              </w:rPr>
            </w:pPr>
            <w:r>
              <w:rPr>
                <w:rFonts w:hint="eastAsia" w:ascii="宋体" w:hAnsi="宋体" w:cs="宋体"/>
                <w:color w:val="auto"/>
                <w:sz w:val="24"/>
                <w:szCs w:val="24"/>
                <w:highlight w:val="none"/>
              </w:rPr>
              <w:t>3.团队人员在项目实施期间未经采购人同意不得更换。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atLeast"/>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vMerge w:val="continue"/>
            <w:tcBorders>
              <w:top w:val="single" w:color="auto" w:sz="4" w:space="0"/>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750" w:type="dxa"/>
            <w:vMerge w:val="continue"/>
            <w:tcBorders>
              <w:top w:val="single" w:color="auto" w:sz="4" w:space="0"/>
              <w:left w:val="single" w:color="auto" w:sz="4" w:space="0"/>
              <w:right w:val="single" w:color="auto" w:sz="4" w:space="0"/>
            </w:tcBorders>
            <w:vAlign w:val="center"/>
          </w:tcPr>
          <w:p>
            <w:pPr>
              <w:spacing w:line="400" w:lineRule="exact"/>
              <w:ind w:firstLine="28"/>
              <w:jc w:val="center"/>
              <w:rPr>
                <w:rFonts w:hint="eastAsia"/>
                <w:color w:val="auto"/>
                <w:sz w:val="24"/>
                <w:szCs w:val="24"/>
                <w:highlight w:val="none"/>
              </w:rPr>
            </w:pPr>
          </w:p>
        </w:tc>
        <w:tc>
          <w:tcPr>
            <w:tcW w:w="5248" w:type="dxa"/>
            <w:tcBorders>
              <w:top w:val="single" w:color="auto" w:sz="4" w:space="0"/>
              <w:left w:val="single" w:color="auto" w:sz="4" w:space="0"/>
              <w:right w:val="single" w:color="auto" w:sz="4" w:space="0"/>
            </w:tcBorders>
            <w:vAlign w:val="center"/>
          </w:tcPr>
          <w:p>
            <w:pPr>
              <w:snapToGrid w:val="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项目经理实力（3分）</w:t>
            </w:r>
          </w:p>
          <w:p>
            <w:pPr>
              <w:snapToGrid w:val="0"/>
              <w:rPr>
                <w:rFonts w:hint="eastAsia" w:ascii="宋体" w:hAnsi="宋体" w:cs="宋体"/>
                <w:color w:val="auto"/>
                <w:sz w:val="24"/>
                <w:szCs w:val="24"/>
                <w:highlight w:val="none"/>
              </w:rPr>
            </w:pPr>
            <w:r>
              <w:rPr>
                <w:rFonts w:hint="eastAsia" w:ascii="宋体" w:hAnsi="宋体" w:cs="宋体"/>
                <w:color w:val="auto"/>
                <w:sz w:val="24"/>
                <w:szCs w:val="24"/>
                <w:highlight w:val="none"/>
              </w:rPr>
              <w:t>项目经理具有下列资格/资质认证证书的，每有1个有效资格/资质认证证书的得相应分数分，未提供得0分，最多得3分。</w:t>
            </w:r>
            <w:r>
              <w:rPr>
                <w:rFonts w:hint="eastAsia" w:ascii="宋体" w:hAnsi="宋体" w:cs="宋体"/>
                <w:color w:val="auto"/>
                <w:sz w:val="24"/>
                <w:szCs w:val="24"/>
                <w:highlight w:val="none"/>
                <w:lang w:eastAsia="zh-CN"/>
              </w:rPr>
              <w:t>不重复计分。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（1）具有计算机类工程师证书得1分；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（2）具有计算机类高级工程师证书得2分；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（3）具有计算机类正高级工程师证书得3分。</w:t>
            </w:r>
          </w:p>
        </w:tc>
        <w:tc>
          <w:tcPr>
            <w:tcW w:w="1863" w:type="dxa"/>
            <w:vMerge w:val="continue"/>
            <w:tcBorders>
              <w:top w:val="single" w:color="auto" w:sz="4" w:space="0"/>
              <w:left w:val="single" w:color="auto" w:sz="4" w:space="0"/>
              <w:right w:val="single" w:color="auto" w:sz="4" w:space="0"/>
            </w:tcBorders>
            <w:vAlign w:val="center"/>
          </w:tcPr>
          <w:p>
            <w:pPr>
              <w:snapToGrid w:val="0"/>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7" w:hRule="atLeast"/>
          <w:jc w:val="center"/>
        </w:trPr>
        <w:tc>
          <w:tcPr>
            <w:tcW w:w="483" w:type="dxa"/>
            <w:vMerge w:val="continue"/>
            <w:tcBorders>
              <w:left w:val="single" w:color="auto" w:sz="4" w:space="0"/>
              <w:right w:val="single" w:color="auto" w:sz="4" w:space="0"/>
            </w:tcBorders>
            <w:vAlign w:val="center"/>
          </w:tcPr>
          <w:p>
            <w:pPr>
              <w:spacing w:line="400" w:lineRule="exact"/>
              <w:ind w:firstLine="28"/>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rPr>
                <w:color w:val="auto"/>
                <w:sz w:val="24"/>
                <w:szCs w:val="24"/>
                <w:highlight w:val="none"/>
              </w:rPr>
            </w:pPr>
          </w:p>
        </w:tc>
        <w:tc>
          <w:tcPr>
            <w:tcW w:w="1000" w:type="dxa"/>
            <w:vMerge w:val="continue"/>
            <w:tcBorders>
              <w:left w:val="single" w:color="auto" w:sz="4" w:space="0"/>
              <w:right w:val="single" w:color="auto" w:sz="4" w:space="0"/>
            </w:tcBorders>
            <w:vAlign w:val="center"/>
          </w:tcPr>
          <w:p>
            <w:pPr>
              <w:spacing w:line="400" w:lineRule="exact"/>
              <w:ind w:firstLine="28"/>
              <w:rPr>
                <w:color w:val="auto"/>
                <w:sz w:val="24"/>
                <w:szCs w:val="24"/>
                <w:highlight w:val="none"/>
              </w:rPr>
            </w:pPr>
          </w:p>
        </w:tc>
        <w:tc>
          <w:tcPr>
            <w:tcW w:w="750" w:type="dxa"/>
            <w:vMerge w:val="continue"/>
            <w:tcBorders>
              <w:left w:val="single" w:color="auto" w:sz="4" w:space="0"/>
              <w:right w:val="single" w:color="auto" w:sz="4" w:space="0"/>
            </w:tcBorders>
            <w:vAlign w:val="center"/>
          </w:tcPr>
          <w:p>
            <w:pPr>
              <w:spacing w:line="400" w:lineRule="exact"/>
              <w:ind w:firstLine="28"/>
              <w:rPr>
                <w:color w:val="auto"/>
                <w:sz w:val="24"/>
                <w:szCs w:val="24"/>
                <w:highlight w:val="none"/>
              </w:rPr>
            </w:pPr>
          </w:p>
        </w:tc>
        <w:tc>
          <w:tcPr>
            <w:tcW w:w="5248" w:type="dxa"/>
            <w:tcBorders>
              <w:left w:val="single" w:color="auto" w:sz="4" w:space="0"/>
              <w:bottom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项目驻场实施人员配置（5</w:t>
            </w:r>
            <w:r>
              <w:rPr>
                <w:rFonts w:ascii="宋体" w:hAnsi="宋体" w:cs="宋体"/>
                <w:color w:val="auto"/>
                <w:sz w:val="24"/>
                <w:szCs w:val="24"/>
                <w:highlight w:val="none"/>
              </w:rPr>
              <w:t>分）</w:t>
            </w:r>
          </w:p>
          <w:p>
            <w:pPr>
              <w:snapToGrid w:val="0"/>
              <w:rPr>
                <w:rFonts w:ascii="宋体" w:hAnsi="宋体" w:cs="宋体"/>
                <w:color w:val="auto"/>
                <w:sz w:val="24"/>
                <w:szCs w:val="24"/>
                <w:highlight w:val="none"/>
              </w:rPr>
            </w:pPr>
            <w:r>
              <w:rPr>
                <w:rFonts w:hint="eastAsia" w:ascii="宋体" w:hAnsi="宋体" w:cs="宋体"/>
                <w:b/>
                <w:bCs/>
                <w:color w:val="auto"/>
                <w:sz w:val="24"/>
                <w:szCs w:val="24"/>
                <w:highlight w:val="none"/>
              </w:rPr>
              <w:t>1.驻场人员数量：</w:t>
            </w:r>
            <w:r>
              <w:rPr>
                <w:rFonts w:hint="eastAsia" w:ascii="宋体" w:hAnsi="宋体" w:cs="宋体"/>
                <w:color w:val="auto"/>
                <w:sz w:val="24"/>
                <w:szCs w:val="24"/>
                <w:highlight w:val="none"/>
              </w:rPr>
              <w:t>驻场开发人员至少2人（只提供2人的，本项得0分），每增加1人得1分，最多得2分；</w:t>
            </w:r>
          </w:p>
          <w:p>
            <w:pPr>
              <w:snapToGrid w:val="0"/>
              <w:rPr>
                <w:rFonts w:ascii="宋体" w:hAnsi="宋体" w:cs="宋体"/>
                <w:color w:val="auto"/>
                <w:sz w:val="24"/>
                <w:szCs w:val="24"/>
                <w:highlight w:val="none"/>
              </w:rPr>
            </w:pPr>
            <w:r>
              <w:rPr>
                <w:rFonts w:hint="eastAsia" w:ascii="宋体" w:hAnsi="宋体" w:cs="宋体"/>
                <w:b/>
                <w:bCs/>
                <w:color w:val="auto"/>
                <w:sz w:val="24"/>
                <w:szCs w:val="24"/>
                <w:highlight w:val="none"/>
              </w:rPr>
              <w:t>2.驻场人员实力：</w:t>
            </w:r>
            <w:r>
              <w:rPr>
                <w:rFonts w:hint="eastAsia" w:ascii="宋体" w:hAnsi="宋体" w:cs="宋体"/>
                <w:color w:val="auto"/>
                <w:sz w:val="24"/>
                <w:szCs w:val="24"/>
                <w:highlight w:val="none"/>
              </w:rPr>
              <w:t>驻场（含二次开发）人员中具有下列资格/资质认证证书之一：系统分析师/系统构架设计师/信息系统项目管理师/系统集成项目管理工程师/软件设计师/软件过程能力评估师 /信息安全工程师/信息系统管理工程师资质证书。</w:t>
            </w:r>
          </w:p>
          <w:p>
            <w:pPr>
              <w:snapToGrid w:val="0"/>
              <w:rPr>
                <w:rFonts w:ascii="宋体" w:hAnsi="宋体" w:cs="宋体"/>
                <w:color w:val="auto"/>
                <w:sz w:val="24"/>
                <w:szCs w:val="24"/>
                <w:highlight w:val="none"/>
              </w:rPr>
            </w:pPr>
            <w:r>
              <w:rPr>
                <w:rFonts w:hint="eastAsia" w:ascii="宋体" w:hAnsi="宋体" w:cs="宋体"/>
                <w:color w:val="auto"/>
                <w:sz w:val="24"/>
                <w:szCs w:val="24"/>
                <w:highlight w:val="none"/>
              </w:rPr>
              <w:t>提供一个高级证书得1分，提供一个中级证书得0.5分，最多得3分。</w:t>
            </w:r>
          </w:p>
          <w:p>
            <w:pPr>
              <w:snapToGrid w:val="0"/>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pPr>
              <w:snapToGrid w:val="0"/>
              <w:rPr>
                <w:rFonts w:hint="eastAsia" w:ascii="宋体" w:hAnsi="宋体" w:cs="宋体"/>
                <w:color w:val="auto"/>
                <w:sz w:val="24"/>
                <w:szCs w:val="24"/>
                <w:highlight w:val="none"/>
              </w:rPr>
            </w:pPr>
            <w:r>
              <w:rPr>
                <w:rFonts w:hint="eastAsia" w:ascii="宋体" w:hAnsi="宋体" w:cs="宋体"/>
                <w:color w:val="auto"/>
                <w:sz w:val="24"/>
                <w:szCs w:val="24"/>
                <w:highlight w:val="none"/>
              </w:rPr>
              <w:t>1.驻场时间：签订合同至试运行验收合格；</w:t>
            </w:r>
          </w:p>
          <w:p>
            <w:pPr>
              <w:snapToGrid w:val="0"/>
              <w:rPr>
                <w:color w:val="auto"/>
                <w:sz w:val="24"/>
                <w:szCs w:val="24"/>
                <w:highlight w:val="none"/>
              </w:rPr>
            </w:pPr>
            <w:r>
              <w:rPr>
                <w:rFonts w:hint="eastAsia" w:ascii="宋体" w:hAnsi="宋体" w:cs="宋体"/>
                <w:color w:val="auto"/>
                <w:sz w:val="24"/>
                <w:szCs w:val="24"/>
                <w:highlight w:val="none"/>
              </w:rPr>
              <w:t>2.一人持多证不累计计分。</w:t>
            </w:r>
          </w:p>
        </w:tc>
        <w:tc>
          <w:tcPr>
            <w:tcW w:w="1863" w:type="dxa"/>
            <w:vMerge w:val="continue"/>
            <w:tcBorders>
              <w:left w:val="single" w:color="auto" w:sz="4" w:space="0"/>
              <w:right w:val="single" w:color="auto" w:sz="4" w:space="0"/>
            </w:tcBorders>
            <w:vAlign w:val="center"/>
          </w:tcPr>
          <w:p>
            <w:pPr>
              <w:spacing w:line="400" w:lineRule="exact"/>
              <w:ind w:firstLine="28"/>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napToGrid w:val="0"/>
              <w:rPr>
                <w:color w:val="auto"/>
                <w:sz w:val="24"/>
                <w:szCs w:val="24"/>
                <w:highlight w:val="none"/>
              </w:rPr>
            </w:pPr>
            <w:r>
              <w:rPr>
                <w:rFonts w:hint="eastAsia" w:ascii="宋体" w:hAnsi="宋体" w:cs="宋体"/>
                <w:color w:val="auto"/>
                <w:sz w:val="24"/>
                <w:szCs w:val="24"/>
                <w:highlight w:val="none"/>
              </w:rPr>
              <w:t xml:space="preserve">质量管控能力 </w:t>
            </w:r>
          </w:p>
        </w:tc>
        <w:tc>
          <w:tcPr>
            <w:tcW w:w="750" w:type="dxa"/>
            <w:tcBorders>
              <w:top w:val="single" w:color="auto" w:sz="4" w:space="0"/>
              <w:left w:val="single" w:color="auto" w:sz="4" w:space="0"/>
              <w:bottom w:val="single" w:color="auto" w:sz="4" w:space="0"/>
              <w:right w:val="single" w:color="auto" w:sz="4" w:space="0"/>
            </w:tcBorders>
            <w:vAlign w:val="center"/>
          </w:tcPr>
          <w:p>
            <w:pPr>
              <w:snapToGrid w:val="0"/>
              <w:jc w:val="center"/>
              <w:rPr>
                <w:color w:val="auto"/>
                <w:sz w:val="24"/>
                <w:szCs w:val="24"/>
                <w:highlight w:val="none"/>
              </w:rPr>
            </w:pPr>
            <w:r>
              <w:rPr>
                <w:rFonts w:hint="eastAsia" w:ascii="宋体" w:hAnsi="宋体" w:cs="宋体"/>
                <w:color w:val="auto"/>
                <w:sz w:val="24"/>
                <w:szCs w:val="24"/>
                <w:highlight w:val="none"/>
              </w:rPr>
              <w:t>5</w:t>
            </w:r>
          </w:p>
        </w:tc>
        <w:tc>
          <w:tcPr>
            <w:tcW w:w="5248" w:type="dxa"/>
            <w:tcBorders>
              <w:top w:val="single" w:color="auto" w:sz="4" w:space="0"/>
              <w:left w:val="single" w:color="auto" w:sz="4" w:space="0"/>
              <w:bottom w:val="single" w:color="auto" w:sz="4" w:space="0"/>
              <w:right w:val="single" w:color="auto" w:sz="4" w:space="0"/>
            </w:tcBorders>
            <w:vAlign w:val="center"/>
          </w:tcPr>
          <w:p>
            <w:pPr>
              <w:snapToGrid w:val="0"/>
              <w:rPr>
                <w:color w:val="auto"/>
                <w:szCs w:val="24"/>
                <w:highlight w:val="none"/>
              </w:rPr>
            </w:pPr>
            <w:r>
              <w:rPr>
                <w:rFonts w:hint="eastAsia" w:ascii="宋体" w:hAnsi="宋体" w:cs="宋体"/>
                <w:color w:val="auto"/>
                <w:sz w:val="24"/>
                <w:szCs w:val="24"/>
                <w:highlight w:val="none"/>
              </w:rPr>
              <w:t>投标人具有ISO9001质量管理体系认证证书、ISO 27001信息安全管理体系认证证书、ISO 20000信息技术服务管理体系认证证书、ISO45001职业健康安全管理体系认证证书、ISO14000环境管理体系认证证书的，提供一项得1分，最多得5分。</w:t>
            </w:r>
          </w:p>
        </w:tc>
        <w:tc>
          <w:tcPr>
            <w:tcW w:w="1863" w:type="dxa"/>
            <w:tcBorders>
              <w:top w:val="single" w:color="auto" w:sz="4" w:space="0"/>
              <w:left w:val="single" w:color="auto" w:sz="4" w:space="0"/>
              <w:bottom w:val="single" w:color="auto" w:sz="4" w:space="0"/>
              <w:right w:val="single" w:color="auto" w:sz="4" w:space="0"/>
            </w:tcBorders>
            <w:vAlign w:val="center"/>
          </w:tcPr>
          <w:p>
            <w:pPr>
              <w:spacing w:line="360" w:lineRule="exact"/>
              <w:rPr>
                <w:color w:val="auto"/>
                <w:sz w:val="24"/>
                <w:szCs w:val="24"/>
                <w:highlight w:val="none"/>
              </w:rPr>
            </w:pPr>
            <w:r>
              <w:rPr>
                <w:rFonts w:ascii="宋体" w:hAnsi="宋体" w:cs="宋体"/>
                <w:color w:val="auto"/>
                <w:sz w:val="24"/>
                <w:szCs w:val="24"/>
                <w:highlight w:val="none"/>
              </w:rPr>
              <w:t>提供有效期内的证书复印件，加盖</w:t>
            </w:r>
            <w:r>
              <w:rPr>
                <w:rFonts w:hint="eastAsia" w:ascii="宋体" w:hAnsi="宋体" w:cs="宋体"/>
                <w:color w:val="auto"/>
                <w:sz w:val="24"/>
                <w:szCs w:val="24"/>
                <w:highlight w:val="none"/>
              </w:rPr>
              <w:t>投标人公章</w:t>
            </w:r>
            <w:r>
              <w:rPr>
                <w:rFonts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801" w:type="dxa"/>
            <w:vMerge w:val="continue"/>
            <w:tcBorders>
              <w:left w:val="single" w:color="auto" w:sz="4" w:space="0"/>
              <w:right w:val="single" w:color="auto" w:sz="4" w:space="0"/>
            </w:tcBorders>
            <w:vAlign w:val="center"/>
          </w:tcPr>
          <w:p>
            <w:pPr>
              <w:spacing w:line="400" w:lineRule="exact"/>
              <w:ind w:firstLine="28"/>
              <w:jc w:val="center"/>
              <w:rPr>
                <w:color w:val="auto"/>
                <w:sz w:val="24"/>
                <w:szCs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auto"/>
                <w:sz w:val="24"/>
                <w:szCs w:val="24"/>
                <w:highlight w:val="none"/>
              </w:rPr>
            </w:pPr>
            <w:r>
              <w:rPr>
                <w:color w:val="auto"/>
                <w:sz w:val="24"/>
                <w:szCs w:val="24"/>
                <w:highlight w:val="none"/>
              </w:rPr>
              <w:t>业绩</w:t>
            </w:r>
          </w:p>
        </w:tc>
        <w:tc>
          <w:tcPr>
            <w:tcW w:w="750"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color w:val="auto"/>
                <w:sz w:val="24"/>
                <w:szCs w:val="24"/>
                <w:highlight w:val="none"/>
              </w:rPr>
            </w:pPr>
            <w:r>
              <w:rPr>
                <w:color w:val="auto"/>
                <w:sz w:val="24"/>
                <w:szCs w:val="24"/>
                <w:highlight w:val="none"/>
              </w:rPr>
              <w:t>8</w:t>
            </w:r>
          </w:p>
        </w:tc>
        <w:tc>
          <w:tcPr>
            <w:tcW w:w="5248" w:type="dxa"/>
            <w:tcBorders>
              <w:top w:val="single" w:color="auto" w:sz="4" w:space="0"/>
              <w:left w:val="single" w:color="auto" w:sz="4" w:space="0"/>
              <w:bottom w:val="single" w:color="auto" w:sz="4" w:space="0"/>
              <w:right w:val="single" w:color="auto" w:sz="4" w:space="0"/>
            </w:tcBorders>
            <w:vAlign w:val="center"/>
          </w:tcPr>
          <w:p>
            <w:pPr>
              <w:snapToGrid w:val="0"/>
              <w:rPr>
                <w:color w:val="auto"/>
                <w:sz w:val="24"/>
                <w:szCs w:val="24"/>
                <w:highlight w:val="none"/>
              </w:rPr>
            </w:pPr>
            <w:r>
              <w:rPr>
                <w:rFonts w:hint="eastAsia" w:ascii="宋体" w:hAnsi="宋体" w:cs="宋体"/>
                <w:color w:val="auto"/>
                <w:sz w:val="24"/>
                <w:szCs w:val="24"/>
                <w:highlight w:val="none"/>
              </w:rPr>
              <w:t>投标人提供2019年1月1日至投标当日（以合同签订日期为准）同类教学质量保障相关项目案例，每提供一项得2分，最高8分。</w:t>
            </w:r>
          </w:p>
        </w:tc>
        <w:tc>
          <w:tcPr>
            <w:tcW w:w="1863" w:type="dxa"/>
            <w:tcBorders>
              <w:top w:val="single" w:color="auto" w:sz="4" w:space="0"/>
              <w:left w:val="single" w:color="auto" w:sz="4" w:space="0"/>
              <w:bottom w:val="single" w:color="auto" w:sz="4" w:space="0"/>
              <w:right w:val="single" w:color="auto" w:sz="4" w:space="0"/>
            </w:tcBorders>
            <w:vAlign w:val="center"/>
          </w:tcPr>
          <w:p>
            <w:pPr>
              <w:snapToGrid w:val="0"/>
              <w:rPr>
                <w:rFonts w:ascii="宋体" w:hAnsi="宋体" w:cs="宋体"/>
                <w:color w:val="auto"/>
                <w:sz w:val="24"/>
                <w:szCs w:val="24"/>
                <w:highlight w:val="none"/>
              </w:rPr>
            </w:pPr>
            <w:r>
              <w:rPr>
                <w:rFonts w:hint="eastAsia" w:ascii="宋体" w:hAnsi="宋体" w:cs="宋体"/>
                <w:color w:val="auto"/>
                <w:sz w:val="24"/>
                <w:szCs w:val="24"/>
                <w:highlight w:val="none"/>
              </w:rPr>
              <w:t>1.投标文件中须提供有效的合同和验收报告复印件并加盖投标人公章；</w:t>
            </w:r>
          </w:p>
          <w:p>
            <w:pPr>
              <w:snapToGrid w:val="0"/>
              <w:rPr>
                <w:color w:val="auto"/>
                <w:sz w:val="24"/>
                <w:szCs w:val="24"/>
                <w:highlight w:val="none"/>
              </w:rPr>
            </w:pPr>
            <w:r>
              <w:rPr>
                <w:rFonts w:hint="eastAsia" w:ascii="宋体" w:hAnsi="宋体" w:cs="宋体"/>
                <w:color w:val="auto"/>
                <w:sz w:val="24"/>
                <w:szCs w:val="24"/>
                <w:highlight w:val="none"/>
              </w:rPr>
              <w:t>2.同一项目续签合同的不重复计分。</w:t>
            </w:r>
          </w:p>
        </w:tc>
      </w:tr>
    </w:tbl>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napToGrid w:val="0"/>
        <w:spacing w:line="360" w:lineRule="auto"/>
        <w:ind w:firstLine="480" w:firstLineChars="200"/>
        <w:rPr>
          <w:rFonts w:ascii="宋体" w:hAnsi="宋体" w:cs="宋体"/>
          <w:color w:val="auto"/>
          <w:sz w:val="24"/>
          <w:szCs w:val="24"/>
          <w:highlight w:val="none"/>
        </w:rPr>
      </w:pPr>
      <w:bookmarkStart w:id="94" w:name="_Toc59621303"/>
      <w:bookmarkStart w:id="95" w:name="_Toc76567145"/>
      <w:r>
        <w:rPr>
          <w:rFonts w:hint="eastAsia" w:ascii="宋体" w:hAnsi="宋体" w:cs="宋体"/>
          <w:color w:val="auto"/>
          <w:sz w:val="24"/>
          <w:szCs w:val="24"/>
          <w:highlight w:val="none"/>
        </w:rPr>
        <w:t>四、无效投标条款</w:t>
      </w:r>
      <w:bookmarkEnd w:id="94"/>
      <w:bookmarkEnd w:id="95"/>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投标人或其投标文件出现下列情况之一者，应为无效投标：</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（一）未按照招标文件的规定提交投标保证金的；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（二）投标文件未按招标文件要求签署、盖章的；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（三）不具备招标文件中规定的资格要求的；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（四）报价超过招标文件中规定的最高限价的；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（五）投标文件含有采购人不能接受的附加条件的；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（六）投标人串通投标的；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（七）投标人以联合体形式参与投标的；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（八）法律、法规和招标文件规定的其他无效情形。</w:t>
      </w:r>
    </w:p>
    <w:p>
      <w:pPr>
        <w:snapToGrid w:val="0"/>
        <w:spacing w:line="360" w:lineRule="auto"/>
        <w:ind w:firstLine="480" w:firstLineChars="200"/>
        <w:rPr>
          <w:rFonts w:ascii="宋体" w:hAnsi="宋体" w:cs="宋体"/>
          <w:color w:val="auto"/>
          <w:sz w:val="24"/>
          <w:szCs w:val="24"/>
          <w:highlight w:val="none"/>
        </w:rPr>
      </w:pPr>
      <w:bookmarkStart w:id="96" w:name="_Toc76567146"/>
      <w:bookmarkStart w:id="97" w:name="_Toc59621304"/>
      <w:r>
        <w:rPr>
          <w:rFonts w:hint="eastAsia" w:ascii="宋体" w:hAnsi="宋体" w:cs="宋体"/>
          <w:color w:val="auto"/>
          <w:sz w:val="24"/>
          <w:szCs w:val="24"/>
          <w:highlight w:val="none"/>
        </w:rPr>
        <w:t>五、废标条款</w:t>
      </w:r>
      <w:bookmarkEnd w:id="96"/>
      <w:bookmarkEnd w:id="97"/>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在招标采购中，出现下列情形之一的，应予废标：</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（一）符合专业条件的投标人或者对招标文件作实质响应的投标人不足三家的；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（二）投标人的报价均超过了采购预算，采购人不能支付的；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（三）出现影响采购公正的违法、违规行为的；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（四）因重大变故，采购任务取消的。</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废标后，除采购任务取消情形外，应当重新组织采购。</w:t>
      </w:r>
    </w:p>
    <w:p>
      <w:pPr>
        <w:pStyle w:val="3"/>
        <w:spacing w:before="0" w:beforeLines="0" w:after="0" w:afterLines="0" w:line="360" w:lineRule="auto"/>
        <w:rPr>
          <w:rFonts w:ascii="宋体" w:hAnsi="宋体" w:eastAsia="宋体" w:cs="宋体"/>
          <w:b/>
          <w:color w:val="auto"/>
          <w:highlight w:val="none"/>
        </w:rPr>
      </w:pPr>
      <w:r>
        <w:rPr>
          <w:rFonts w:hint="eastAsia" w:ascii="宋体" w:hAnsi="宋体" w:eastAsia="宋体" w:cs="宋体"/>
          <w:color w:val="auto"/>
          <w:sz w:val="28"/>
          <w:highlight w:val="none"/>
        </w:rPr>
        <w:br w:type="page"/>
      </w:r>
      <w:bookmarkStart w:id="98" w:name="_Toc27049"/>
      <w:bookmarkStart w:id="99" w:name="_Toc20128"/>
      <w:r>
        <w:rPr>
          <w:rFonts w:hint="eastAsia" w:ascii="宋体" w:hAnsi="宋体" w:eastAsia="宋体" w:cs="宋体"/>
          <w:b/>
          <w:color w:val="auto"/>
          <w:highlight w:val="none"/>
        </w:rPr>
        <w:t>第五篇  投标人须知</w:t>
      </w:r>
      <w:bookmarkEnd w:id="98"/>
      <w:bookmarkEnd w:id="99"/>
    </w:p>
    <w:p>
      <w:pPr>
        <w:pStyle w:val="4"/>
        <w:ind w:firstLine="482" w:firstLineChars="200"/>
        <w:rPr>
          <w:rFonts w:cs="宋体"/>
          <w:b/>
          <w:color w:val="auto"/>
          <w:sz w:val="24"/>
          <w:highlight w:val="none"/>
        </w:rPr>
      </w:pPr>
      <w:bookmarkStart w:id="100" w:name="_Toc25936"/>
      <w:bookmarkStart w:id="101" w:name="_Toc5819"/>
      <w:r>
        <w:rPr>
          <w:rFonts w:hint="eastAsia" w:cs="宋体"/>
          <w:b/>
          <w:color w:val="auto"/>
          <w:sz w:val="24"/>
          <w:highlight w:val="none"/>
        </w:rPr>
        <w:t>一、投标人</w:t>
      </w:r>
      <w:bookmarkEnd w:id="100"/>
      <w:bookmarkEnd w:id="101"/>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（一）投标人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投标人是指响应招标、参加投标竞争的法人、其他组织或者自然人。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（二）合格投标人条件</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合格投标人应完全符合招标文件第一篇中规定的投标人资格条件，并对招标文件作出实质性响应。</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（三）投标人的风险</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投标人没有按照招标文件要求提供全部资料，或者投标人没有对招标文件在各方面作出实质性响应，可能导致投标被拒绝或评定为无效投标。</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（四）法律责任</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投标人违反《中华人民共和国政府采购法》、《中华人民共和国政府采购实施条例》等相关规定，将按规定追究投标人法律责任。</w:t>
      </w:r>
    </w:p>
    <w:p>
      <w:pPr>
        <w:pStyle w:val="4"/>
        <w:ind w:firstLine="482" w:firstLineChars="200"/>
        <w:rPr>
          <w:rFonts w:cs="宋体"/>
          <w:b/>
          <w:color w:val="auto"/>
          <w:sz w:val="24"/>
          <w:highlight w:val="none"/>
        </w:rPr>
      </w:pPr>
      <w:bookmarkStart w:id="102" w:name="_Toc21145"/>
      <w:bookmarkStart w:id="103" w:name="_Toc3448"/>
      <w:r>
        <w:rPr>
          <w:rFonts w:hint="eastAsia" w:cs="宋体"/>
          <w:b/>
          <w:color w:val="auto"/>
          <w:sz w:val="24"/>
          <w:highlight w:val="none"/>
        </w:rPr>
        <w:t>二、招标文件</w:t>
      </w:r>
      <w:bookmarkEnd w:id="102"/>
      <w:bookmarkEnd w:id="103"/>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招标文件是投标人编制投标文件的依据，是评标委员会评判依据和标准。招标文件也是采购人与中标人签订合同的基础。</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（一）招标文件由投标邀请书；项目技术规格、数量及质量要求；商务条款；投标人须知；评标方法、评标标准、无效投标条款和废标条款；合同主要条款、合同范本；投标文件格式等七部分组成。</w:t>
      </w:r>
    </w:p>
    <w:p>
      <w:pPr>
        <w:snapToGrid w:val="0"/>
        <w:spacing w:line="360" w:lineRule="auto"/>
        <w:ind w:firstLine="480"/>
        <w:rPr>
          <w:rFonts w:ascii="宋体" w:hAnsi="宋体" w:cs="宋体"/>
          <w:color w:val="auto"/>
          <w:sz w:val="24"/>
          <w:highlight w:val="none"/>
        </w:rPr>
      </w:pPr>
      <w:r>
        <w:rPr>
          <w:rFonts w:hint="eastAsia" w:ascii="宋体" w:hAnsi="宋体" w:cs="宋体"/>
          <w:color w:val="auto"/>
          <w:sz w:val="24"/>
          <w:szCs w:val="28"/>
          <w:highlight w:val="none"/>
        </w:rPr>
        <w:t>（二）</w:t>
      </w:r>
      <w:r>
        <w:rPr>
          <w:rFonts w:hint="eastAsia" w:ascii="宋体" w:hAnsi="宋体" w:cs="宋体"/>
          <w:color w:val="auto"/>
          <w:sz w:val="24"/>
          <w:highlight w:val="none"/>
        </w:rPr>
        <w:t>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对招标文件所作的一切有效的书面通知、修改及补充，都是招标文件不可分割的部分。</w:t>
      </w:r>
    </w:p>
    <w:p>
      <w:pPr>
        <w:snapToGrid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w:t>
      </w:r>
      <w:r>
        <w:rPr>
          <w:rFonts w:hint="eastAsia" w:ascii="宋体" w:hAnsi="宋体" w:cs="宋体"/>
          <w:color w:val="auto"/>
          <w:sz w:val="24"/>
          <w:szCs w:val="24"/>
          <w:highlight w:val="none"/>
        </w:rPr>
        <w:t>本项目的招标文件、澄清文件（如果有）一律在行采家网（https://www.gec123.com/）或重庆工商大学招投标信息网（</w:t>
      </w:r>
      <w:r>
        <w:rPr>
          <w:color w:val="auto"/>
          <w:highlight w:val="none"/>
        </w:rPr>
        <w:fldChar w:fldCharType="begin"/>
      </w:r>
      <w:r>
        <w:rPr>
          <w:color w:val="auto"/>
          <w:highlight w:val="none"/>
        </w:rPr>
        <w:instrText xml:space="preserve"> HYPERLINK "https://zbcg.ctbu.edu.cn/" </w:instrText>
      </w:r>
      <w:r>
        <w:rPr>
          <w:color w:val="auto"/>
          <w:highlight w:val="none"/>
        </w:rPr>
        <w:fldChar w:fldCharType="separate"/>
      </w:r>
      <w:r>
        <w:rPr>
          <w:rFonts w:hint="eastAsia" w:ascii="宋体" w:hAnsi="宋体" w:cs="宋体"/>
          <w:color w:val="auto"/>
          <w:sz w:val="24"/>
          <w:szCs w:val="24"/>
          <w:highlight w:val="none"/>
        </w:rPr>
        <w:t>https://zbcg.ctbu.edu.cn/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）发布，请各投标人注意下载；无论投标人下载或领取与否，均视同投标人已知晓本项目招标文件、澄清文件的内容。</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对已发出的招标文件需要进行澄清或修改的，应以书面形式或公告形式通知所有招标文件收受人。该澄清或者修改的内容为招标文件的组成部分。</w:t>
      </w:r>
    </w:p>
    <w:p>
      <w:pPr>
        <w:pStyle w:val="4"/>
        <w:ind w:firstLine="482" w:firstLineChars="200"/>
        <w:rPr>
          <w:rFonts w:cs="宋体"/>
          <w:b/>
          <w:color w:val="auto"/>
          <w:sz w:val="24"/>
          <w:highlight w:val="none"/>
        </w:rPr>
      </w:pPr>
      <w:bookmarkStart w:id="104" w:name="_Toc25239"/>
      <w:bookmarkStart w:id="105" w:name="_Toc17567"/>
      <w:r>
        <w:rPr>
          <w:rFonts w:hint="eastAsia" w:cs="宋体"/>
          <w:b/>
          <w:color w:val="auto"/>
          <w:sz w:val="24"/>
          <w:highlight w:val="none"/>
        </w:rPr>
        <w:t>三、投标文件</w:t>
      </w:r>
      <w:bookmarkEnd w:id="104"/>
      <w:bookmarkEnd w:id="105"/>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投标人应当按照招标文件的要求编制投标文件，并对招标文件提出的要求和条件作出实质性响应，投标文件原则上采用软面订本，同时应编制完整的页码、目录。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（一）投标文件组成</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（二）投标有效期</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投标有效期为投标截止时间起90天。</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（三）投标保证金</w:t>
      </w:r>
    </w:p>
    <w:p>
      <w:pPr>
        <w:tabs>
          <w:tab w:val="left" w:pos="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1.投标人应在投标截止时间前，按招标文件第一篇规定交纳投标保证金。</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2.投标保证金为投标的有效约束条件。</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3.投标保证金的有效期限在投标有效期过后三十天继续有效。</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4.投标保证金币种应与投标报价币种相同。</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5.《中标通知书》发出后，由</w:t>
      </w:r>
      <w:r>
        <w:rPr>
          <w:rFonts w:hint="eastAsia" w:ascii="宋体" w:hAnsi="宋体" w:cs="宋体"/>
          <w:color w:val="auto"/>
          <w:sz w:val="24"/>
          <w:szCs w:val="24"/>
          <w:highlight w:val="none"/>
        </w:rPr>
        <w:t>重庆市公共资源交易中心</w:t>
      </w:r>
      <w:r>
        <w:rPr>
          <w:rFonts w:hint="eastAsia" w:ascii="宋体" w:hAnsi="宋体" w:cs="宋体"/>
          <w:color w:val="auto"/>
          <w:sz w:val="24"/>
          <w:highlight w:val="none"/>
        </w:rPr>
        <w:t>五个工作日内退还未中标人的投标保证金；在采购合同签订后，由</w:t>
      </w:r>
      <w:r>
        <w:rPr>
          <w:rFonts w:hint="eastAsia" w:ascii="宋体" w:hAnsi="宋体" w:cs="宋体"/>
          <w:color w:val="auto"/>
          <w:sz w:val="24"/>
          <w:szCs w:val="24"/>
          <w:highlight w:val="none"/>
        </w:rPr>
        <w:t>重庆市公共资源交易中心</w:t>
      </w:r>
      <w:r>
        <w:rPr>
          <w:rFonts w:hint="eastAsia" w:ascii="宋体" w:hAnsi="宋体" w:cs="宋体"/>
          <w:color w:val="auto"/>
          <w:sz w:val="24"/>
          <w:highlight w:val="none"/>
        </w:rPr>
        <w:t>五个工作日退还中标人的投标保证金。</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6.投标人有下列情形之一的，采购人可以不退还投标保证金：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6.1投标人在投标有效期撤回投标文件的；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6.2投标人未按规定提交履约保证金的；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6.3投标人在投标过程中弄虚作假，提供虚假材料的；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6.4中标人无正当理由不与采购人签订合同的；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6.5中标人将中标项目转让给他人或者在投标文件中未说明且未经采购人同意，将中标项目分包给他人的；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6.6中标人拒绝履行合同义务的；</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6.7其他严重扰乱招投标程序的。</w:t>
      </w:r>
    </w:p>
    <w:p>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（四）投标文件的份数和签署</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
          <w:bCs/>
          <w:color w:val="auto"/>
          <w:sz w:val="24"/>
          <w:highlight w:val="none"/>
        </w:rPr>
        <w:t>投标文件一式四份，其中正本一份，副本二份，电子文档一份（电子文档内容须为投标文件正本的PDF扫描件，文件载体须为优盘）。</w:t>
      </w:r>
      <w:r>
        <w:rPr>
          <w:rFonts w:hint="eastAsia" w:ascii="宋体" w:hAnsi="宋体" w:cs="宋体"/>
          <w:color w:val="auto"/>
          <w:sz w:val="24"/>
          <w:highlight w:val="none"/>
        </w:rPr>
        <w:t>每套纸质投标文件须在封面清楚地标明“正本”、“副本”或“电子文档”，副本应为正本的完整复印件，副本与正本不一致时以正本为准。投标文件电子文档与纸质投标文件正本不一致时，以纸质投标文件正本为准。</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2.在投标文件正本中，招标文件第七篇投标文件格式中规定签字、盖章的地方必须按其规定签字、盖章。</w:t>
      </w:r>
    </w:p>
    <w:p>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3.若投标人对投标文件的错处作必要修改，则应在修改处加盖投标人公章或由</w:t>
      </w:r>
      <w:r>
        <w:rPr>
          <w:rFonts w:hint="eastAsia" w:ascii="宋体" w:hAnsi="宋体" w:cs="宋体"/>
          <w:color w:val="auto"/>
          <w:sz w:val="24"/>
          <w:szCs w:val="28"/>
          <w:highlight w:val="none"/>
        </w:rPr>
        <w:t>法定代表人（或其授权代表）</w:t>
      </w:r>
      <w:r>
        <w:rPr>
          <w:rFonts w:hint="eastAsia" w:ascii="宋体" w:hAnsi="宋体" w:cs="宋体"/>
          <w:color w:val="auto"/>
          <w:sz w:val="24"/>
          <w:highlight w:val="none"/>
        </w:rPr>
        <w:t>签字确认。</w:t>
      </w:r>
    </w:p>
    <w:p>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color w:val="auto"/>
          <w:sz w:val="24"/>
          <w:highlight w:val="none"/>
        </w:rPr>
        <w:t>4.电报、电话、传真形式的投标文件概不接受。</w:t>
      </w:r>
    </w:p>
    <w:p>
      <w:pPr>
        <w:snapToGrid w:val="0"/>
        <w:spacing w:line="360" w:lineRule="auto"/>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（五）投标报价</w:t>
      </w:r>
    </w:p>
    <w:p>
      <w:pPr>
        <w:snapToGrid w:val="0"/>
        <w:spacing w:line="360" w:lineRule="auto"/>
        <w:ind w:firstLine="470" w:firstLineChars="196"/>
        <w:jc w:val="left"/>
        <w:rPr>
          <w:rFonts w:ascii="宋体" w:hAnsi="宋体" w:cs="宋体"/>
          <w:color w:val="auto"/>
          <w:sz w:val="24"/>
          <w:highlight w:val="none"/>
        </w:rPr>
      </w:pPr>
      <w:r>
        <w:rPr>
          <w:rFonts w:hint="eastAsia" w:ascii="宋体" w:hAnsi="宋体" w:cs="宋体"/>
          <w:bCs/>
          <w:color w:val="auto"/>
          <w:sz w:val="24"/>
          <w:highlight w:val="none"/>
        </w:rPr>
        <w:t>1.投标人应严格按照“投标文件格式”中“开标一览表”和“分项报价明细表”</w:t>
      </w:r>
      <w:r>
        <w:rPr>
          <w:rFonts w:hint="eastAsia" w:ascii="宋体" w:hAnsi="宋体" w:cs="宋体"/>
          <w:color w:val="auto"/>
          <w:sz w:val="24"/>
          <w:highlight w:val="none"/>
        </w:rPr>
        <w:t>的格式填写报价。</w:t>
      </w:r>
    </w:p>
    <w:p>
      <w:pPr>
        <w:snapToGrid w:val="0"/>
        <w:spacing w:line="360" w:lineRule="auto"/>
        <w:ind w:left="3" w:leftChars="1" w:firstLine="480" w:firstLineChars="200"/>
        <w:rPr>
          <w:rFonts w:ascii="宋体" w:hAnsi="宋体" w:cs="宋体"/>
          <w:color w:val="auto"/>
          <w:sz w:val="24"/>
          <w:highlight w:val="none"/>
        </w:rPr>
      </w:pPr>
      <w:r>
        <w:rPr>
          <w:rFonts w:hint="eastAsia" w:ascii="宋体" w:hAnsi="宋体" w:cs="宋体"/>
          <w:color w:val="auto"/>
          <w:sz w:val="24"/>
          <w:highlight w:val="none"/>
        </w:rPr>
        <w:t>2.投标人的报价为一次性报价，即在投标有效期内投标价格固定不变。</w:t>
      </w:r>
    </w:p>
    <w:p>
      <w:pPr>
        <w:snapToGrid w:val="0"/>
        <w:spacing w:line="360" w:lineRule="auto"/>
        <w:ind w:left="3" w:leftChars="1" w:firstLine="480" w:firstLineChars="200"/>
        <w:rPr>
          <w:rFonts w:ascii="宋体" w:hAnsi="宋体" w:cs="宋体"/>
          <w:color w:val="auto"/>
          <w:sz w:val="24"/>
          <w:highlight w:val="none"/>
        </w:rPr>
      </w:pPr>
      <w:r>
        <w:rPr>
          <w:rFonts w:hint="eastAsia" w:ascii="宋体" w:hAnsi="宋体" w:cs="宋体"/>
          <w:color w:val="auto"/>
          <w:sz w:val="24"/>
          <w:highlight w:val="none"/>
        </w:rPr>
        <w:t>3.本项目只接受一个投标报价，有选择的或有条件的报价将不予接受。</w:t>
      </w:r>
    </w:p>
    <w:p>
      <w:pPr>
        <w:pStyle w:val="9"/>
        <w:ind w:firstLine="480" w:firstLineChars="200"/>
        <w:rPr>
          <w:rFonts w:hAnsi="宋体" w:cs="宋体"/>
          <w:color w:val="auto"/>
          <w:sz w:val="24"/>
          <w:highlight w:val="none"/>
        </w:rPr>
      </w:pPr>
      <w:r>
        <w:rPr>
          <w:rFonts w:hint="eastAsia" w:hAnsi="宋体" w:cs="宋体"/>
          <w:color w:val="auto"/>
          <w:sz w:val="24"/>
          <w:highlight w:val="none"/>
        </w:rPr>
        <w:t>（六）修正错误</w:t>
      </w:r>
    </w:p>
    <w:p>
      <w:pPr>
        <w:pStyle w:val="9"/>
        <w:ind w:firstLine="480" w:firstLineChars="200"/>
        <w:rPr>
          <w:rFonts w:hAnsi="宋体" w:cs="宋体"/>
          <w:color w:val="auto"/>
          <w:sz w:val="24"/>
          <w:highlight w:val="none"/>
        </w:rPr>
      </w:pPr>
      <w:r>
        <w:rPr>
          <w:rFonts w:hint="eastAsia" w:hAnsi="宋体" w:cs="宋体"/>
          <w:color w:val="auto"/>
          <w:sz w:val="24"/>
          <w:highlight w:val="none"/>
        </w:rPr>
        <w:t>若投标文件出现计算或表达上的错误，修正错误的原则如下：</w:t>
      </w:r>
    </w:p>
    <w:p>
      <w:pPr>
        <w:pStyle w:val="9"/>
        <w:ind w:firstLine="480" w:firstLineChars="200"/>
        <w:rPr>
          <w:rFonts w:hAnsi="宋体" w:cs="宋体"/>
          <w:color w:val="auto"/>
          <w:sz w:val="24"/>
          <w:highlight w:val="none"/>
        </w:rPr>
      </w:pPr>
      <w:r>
        <w:rPr>
          <w:rFonts w:hint="eastAsia" w:hAnsi="宋体" w:cs="宋体"/>
          <w:color w:val="auto"/>
          <w:sz w:val="24"/>
          <w:highlight w:val="none"/>
        </w:rPr>
        <w:t>1.投标文件中开标一览表（报价表）内容与投标文件中相应内容不一致的，以开标一览表（报价表）为准；</w:t>
      </w:r>
    </w:p>
    <w:p>
      <w:pPr>
        <w:pStyle w:val="9"/>
        <w:ind w:firstLine="480" w:firstLineChars="200"/>
        <w:rPr>
          <w:rFonts w:hAnsi="宋体" w:cs="宋体"/>
          <w:color w:val="auto"/>
          <w:sz w:val="24"/>
          <w:highlight w:val="none"/>
        </w:rPr>
      </w:pPr>
      <w:r>
        <w:rPr>
          <w:rFonts w:hint="eastAsia" w:hAnsi="宋体" w:cs="宋体"/>
          <w:color w:val="auto"/>
          <w:sz w:val="24"/>
          <w:highlight w:val="none"/>
        </w:rPr>
        <w:t>2.大写金额和小写金额不一致的，以大写金额为准；</w:t>
      </w:r>
    </w:p>
    <w:p>
      <w:pPr>
        <w:pStyle w:val="9"/>
        <w:ind w:firstLine="480" w:firstLineChars="200"/>
        <w:rPr>
          <w:rFonts w:hAnsi="宋体" w:cs="宋体"/>
          <w:color w:val="auto"/>
          <w:sz w:val="24"/>
          <w:highlight w:val="none"/>
        </w:rPr>
      </w:pPr>
      <w:r>
        <w:rPr>
          <w:rFonts w:hint="eastAsia" w:hAnsi="宋体" w:cs="宋体"/>
          <w:color w:val="auto"/>
          <w:sz w:val="24"/>
          <w:highlight w:val="none"/>
        </w:rPr>
        <w:t>3.单价金额小数点或者百分比有明显错位的，以开标一览表的总价为准，并修改单价；</w:t>
      </w:r>
    </w:p>
    <w:p>
      <w:pPr>
        <w:pStyle w:val="9"/>
        <w:ind w:firstLine="480" w:firstLineChars="200"/>
        <w:rPr>
          <w:rFonts w:hAnsi="宋体" w:cs="宋体"/>
          <w:color w:val="auto"/>
          <w:sz w:val="24"/>
          <w:highlight w:val="none"/>
        </w:rPr>
      </w:pPr>
      <w:r>
        <w:rPr>
          <w:rFonts w:hint="eastAsia" w:hAnsi="宋体" w:cs="宋体"/>
          <w:color w:val="auto"/>
          <w:sz w:val="24"/>
          <w:highlight w:val="none"/>
        </w:rPr>
        <w:t>4.总价金额与按单价汇总金额不一致的，以单价金额计算结果为准。</w:t>
      </w:r>
    </w:p>
    <w:p>
      <w:pPr>
        <w:pStyle w:val="9"/>
        <w:ind w:firstLine="480" w:firstLineChars="200"/>
        <w:rPr>
          <w:rFonts w:hAnsi="宋体" w:cs="宋体"/>
          <w:color w:val="auto"/>
          <w:sz w:val="24"/>
          <w:highlight w:val="none"/>
        </w:rPr>
      </w:pPr>
      <w:r>
        <w:rPr>
          <w:rFonts w:hint="eastAsia" w:hAnsi="宋体" w:cs="宋体"/>
          <w:color w:val="auto"/>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pStyle w:val="9"/>
        <w:ind w:firstLine="480" w:firstLineChars="200"/>
        <w:rPr>
          <w:rFonts w:hAnsi="宋体" w:cs="宋体"/>
          <w:color w:val="auto"/>
          <w:sz w:val="24"/>
          <w:highlight w:val="none"/>
        </w:rPr>
      </w:pPr>
      <w:r>
        <w:rPr>
          <w:rFonts w:hint="eastAsia" w:hAnsi="宋体" w:cs="宋体"/>
          <w:color w:val="auto"/>
          <w:sz w:val="24"/>
          <w:highlight w:val="none"/>
        </w:rPr>
        <w:t>（七）投标文件的递交</w:t>
      </w:r>
    </w:p>
    <w:p>
      <w:pPr>
        <w:pStyle w:val="9"/>
        <w:ind w:firstLine="480" w:firstLineChars="200"/>
        <w:rPr>
          <w:rFonts w:hAnsi="宋体" w:cs="宋体"/>
          <w:color w:val="auto"/>
          <w:sz w:val="24"/>
          <w:highlight w:val="none"/>
        </w:rPr>
      </w:pPr>
      <w:r>
        <w:rPr>
          <w:rFonts w:hint="eastAsia" w:hAnsi="宋体" w:cs="宋体"/>
          <w:color w:val="auto"/>
          <w:sz w:val="24"/>
          <w:highlight w:val="none"/>
        </w:rPr>
        <w:t>投标文件的正本、副本以及电子文档均应密封送达投标地点，应在封套上注明项目名称、投标人名称。若正本、副本以及电子文档分别进行密封的，还应在封套上注明“正本”、“副本”、“电子文档”字样。</w:t>
      </w:r>
    </w:p>
    <w:p>
      <w:pPr>
        <w:pStyle w:val="4"/>
        <w:ind w:firstLine="482" w:firstLineChars="200"/>
        <w:rPr>
          <w:rFonts w:cs="宋体"/>
          <w:b/>
          <w:color w:val="auto"/>
          <w:sz w:val="24"/>
          <w:highlight w:val="none"/>
        </w:rPr>
      </w:pPr>
      <w:bookmarkStart w:id="106" w:name="_Toc5917"/>
      <w:bookmarkStart w:id="107" w:name="_Toc23974"/>
      <w:r>
        <w:rPr>
          <w:rFonts w:hint="eastAsia" w:cs="宋体"/>
          <w:b/>
          <w:color w:val="auto"/>
          <w:sz w:val="24"/>
          <w:highlight w:val="none"/>
        </w:rPr>
        <w:t>四、开标</w:t>
      </w:r>
      <w:bookmarkEnd w:id="106"/>
      <w:bookmarkEnd w:id="107"/>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（一）开标应当在招标文件中“投标邀请书”确定的时间和地点公开进行。</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可视采购具体情况，延长投标截止时间和开标时间，并将变更时间书面通知所有招标文件收受人。</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（三）开标由采购人主持，邀请投标人和有关监督部门代表参加,有关监督部门可视情况派员现场监督。</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开标时，由投标人或者其推选的代表检查投标文件的密封情况；经确认无误后，由采购人工作人员当众拆封，宣布投标人名称、投标价格和《开标一览表》规定的需要宣布的其他内容。投标人不足三家的，不得开标。</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（五）未宣读的投标价格、价格折扣和招标文件允许提供的备选投标方案等实质性内容等，评标时不予承认。</w:t>
      </w:r>
    </w:p>
    <w:p>
      <w:pPr>
        <w:pStyle w:val="9"/>
        <w:ind w:firstLine="480" w:firstLineChars="200"/>
        <w:rPr>
          <w:rFonts w:hAnsi="宋体" w:cs="宋体"/>
          <w:color w:val="auto"/>
          <w:sz w:val="24"/>
          <w:highlight w:val="none"/>
        </w:rPr>
      </w:pPr>
      <w:r>
        <w:rPr>
          <w:rFonts w:hint="eastAsia" w:hAnsi="宋体" w:cs="宋体"/>
          <w:color w:val="auto"/>
          <w:sz w:val="24"/>
          <w:highlight w:val="none"/>
        </w:rPr>
        <w:t>（六）开标过程应由采购人或重庆市公共资源交易中心指定专人负责记录，并存档备查。</w:t>
      </w:r>
    </w:p>
    <w:p>
      <w:pPr>
        <w:pStyle w:val="9"/>
        <w:ind w:firstLine="480" w:firstLineChars="200"/>
        <w:rPr>
          <w:rFonts w:hAnsi="宋体" w:cs="宋体"/>
          <w:color w:val="auto"/>
          <w:sz w:val="24"/>
          <w:highlight w:val="none"/>
        </w:rPr>
      </w:pPr>
      <w:r>
        <w:rPr>
          <w:rFonts w:hint="eastAsia" w:hAnsi="宋体" w:cs="宋体"/>
          <w:color w:val="auto"/>
          <w:sz w:val="24"/>
          <w:highlight w:val="none"/>
        </w:rPr>
        <w:t>（七）投标人未参加开标的，视同认可开标结果。</w:t>
      </w:r>
    </w:p>
    <w:p>
      <w:pPr>
        <w:pStyle w:val="4"/>
        <w:ind w:firstLine="482" w:firstLineChars="200"/>
        <w:rPr>
          <w:rFonts w:cs="宋体"/>
          <w:b/>
          <w:color w:val="auto"/>
          <w:sz w:val="24"/>
          <w:highlight w:val="none"/>
        </w:rPr>
      </w:pPr>
      <w:bookmarkStart w:id="108" w:name="_Toc25442"/>
      <w:bookmarkStart w:id="109" w:name="_Toc18919"/>
      <w:r>
        <w:rPr>
          <w:rFonts w:hint="eastAsia" w:cs="宋体"/>
          <w:b/>
          <w:color w:val="auto"/>
          <w:sz w:val="24"/>
          <w:highlight w:val="none"/>
        </w:rPr>
        <w:t>五、评标</w:t>
      </w:r>
      <w:bookmarkEnd w:id="108"/>
      <w:bookmarkEnd w:id="109"/>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见第四篇“评标”内容。</w:t>
      </w:r>
    </w:p>
    <w:p>
      <w:pPr>
        <w:pStyle w:val="4"/>
        <w:ind w:firstLine="482" w:firstLineChars="200"/>
        <w:rPr>
          <w:rFonts w:cs="宋体"/>
          <w:b/>
          <w:color w:val="auto"/>
          <w:sz w:val="24"/>
          <w:highlight w:val="none"/>
        </w:rPr>
      </w:pPr>
      <w:bookmarkStart w:id="110" w:name="_Toc15112"/>
      <w:bookmarkStart w:id="111" w:name="_Toc18121"/>
      <w:r>
        <w:rPr>
          <w:rFonts w:hint="eastAsia" w:cs="宋体"/>
          <w:b/>
          <w:color w:val="auto"/>
          <w:sz w:val="24"/>
          <w:highlight w:val="none"/>
        </w:rPr>
        <w:t>六、定标</w:t>
      </w:r>
      <w:bookmarkEnd w:id="110"/>
      <w:bookmarkEnd w:id="111"/>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（一）定标原则</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采购人或其授权的评标委员会应按照评标报告中推荐的中标候选人排名顺序确定中标人。</w:t>
      </w:r>
    </w:p>
    <w:p>
      <w:pPr>
        <w:pStyle w:val="9"/>
        <w:ind w:firstLine="480" w:firstLineChars="200"/>
        <w:rPr>
          <w:rFonts w:hAnsi="宋体" w:cs="宋体"/>
          <w:color w:val="auto"/>
          <w:sz w:val="24"/>
          <w:highlight w:val="none"/>
        </w:rPr>
      </w:pPr>
      <w:r>
        <w:rPr>
          <w:rFonts w:hint="eastAsia" w:hAnsi="宋体" w:cs="宋体"/>
          <w:color w:val="auto"/>
          <w:sz w:val="24"/>
          <w:highlight w:val="none"/>
        </w:rPr>
        <w:t>（二）定标程序</w:t>
      </w:r>
    </w:p>
    <w:p>
      <w:pPr>
        <w:pStyle w:val="9"/>
        <w:ind w:firstLine="480" w:firstLineChars="200"/>
        <w:rPr>
          <w:rFonts w:hAnsi="宋体" w:cs="宋体"/>
          <w:color w:val="auto"/>
          <w:sz w:val="24"/>
          <w:highlight w:val="none"/>
        </w:rPr>
      </w:pPr>
      <w:r>
        <w:rPr>
          <w:rFonts w:hint="eastAsia" w:hAnsi="宋体" w:cs="宋体"/>
          <w:color w:val="auto"/>
          <w:sz w:val="24"/>
          <w:highlight w:val="none"/>
        </w:rPr>
        <w:t>1.</w:t>
      </w:r>
      <w:r>
        <w:rPr>
          <w:rFonts w:hint="eastAsia" w:hAnsi="宋体" w:cs="宋体"/>
          <w:color w:val="auto"/>
          <w:highlight w:val="none"/>
        </w:rPr>
        <w:t xml:space="preserve"> </w:t>
      </w:r>
      <w:r>
        <w:rPr>
          <w:rFonts w:hint="eastAsia" w:hAnsi="宋体" w:cs="宋体"/>
          <w:color w:val="auto"/>
          <w:sz w:val="24"/>
          <w:highlight w:val="none"/>
        </w:rPr>
        <w:t>采购代理机构应当在评标结束后2个工作日内将评标报告送采购人。</w:t>
      </w:r>
    </w:p>
    <w:p>
      <w:pPr>
        <w:pStyle w:val="9"/>
        <w:ind w:firstLine="480" w:firstLineChars="200"/>
        <w:rPr>
          <w:rFonts w:hAnsi="宋体" w:cs="宋体"/>
          <w:color w:val="auto"/>
          <w:sz w:val="24"/>
          <w:highlight w:val="none"/>
        </w:rPr>
      </w:pPr>
      <w:r>
        <w:rPr>
          <w:rFonts w:hint="eastAsia" w:hAnsi="宋体" w:cs="宋体"/>
          <w:color w:val="auto"/>
          <w:sz w:val="24"/>
          <w:highlight w:val="none"/>
        </w:rPr>
        <w:t>2.采购人应当自收到评标报告之日起5个工作日内按评标报告推荐的中标候选人顺序确定中标人。</w:t>
      </w:r>
    </w:p>
    <w:p>
      <w:pPr>
        <w:pStyle w:val="9"/>
        <w:ind w:firstLine="480" w:firstLineChars="200"/>
        <w:rPr>
          <w:rFonts w:hAnsi="宋体" w:cs="宋体"/>
          <w:color w:val="auto"/>
          <w:sz w:val="24"/>
          <w:highlight w:val="none"/>
        </w:rPr>
      </w:pPr>
      <w:r>
        <w:rPr>
          <w:rFonts w:hint="eastAsia" w:hAnsi="宋体" w:cs="宋体"/>
          <w:color w:val="auto"/>
          <w:sz w:val="24"/>
          <w:highlight w:val="none"/>
        </w:rPr>
        <w:t>中标候选人并列的，由采购人或者采购人委托评标委员会按照</w:t>
      </w:r>
      <w:r>
        <w:rPr>
          <w:rFonts w:hint="eastAsia" w:hAnsi="宋体" w:cs="宋体"/>
          <w:color w:val="auto"/>
          <w:sz w:val="24"/>
          <w:szCs w:val="24"/>
          <w:highlight w:val="none"/>
        </w:rPr>
        <w:t>技术需求的优劣顺序排列；技术需求优劣顺序相同的，按商务条款的优劣顺序排列</w:t>
      </w:r>
      <w:r>
        <w:rPr>
          <w:rFonts w:hint="eastAsia" w:hAnsi="宋体" w:cs="宋体"/>
          <w:color w:val="auto"/>
          <w:sz w:val="24"/>
          <w:highlight w:val="none"/>
        </w:rPr>
        <w:t>确定中标人。</w:t>
      </w:r>
    </w:p>
    <w:p>
      <w:pPr>
        <w:pStyle w:val="9"/>
        <w:ind w:firstLine="480" w:firstLineChars="200"/>
        <w:rPr>
          <w:rFonts w:hAnsi="宋体" w:cs="宋体"/>
          <w:color w:val="auto"/>
          <w:sz w:val="24"/>
          <w:highlight w:val="none"/>
        </w:rPr>
      </w:pPr>
      <w:r>
        <w:rPr>
          <w:rFonts w:hint="eastAsia" w:hAnsi="宋体" w:cs="宋体"/>
          <w:color w:val="auto"/>
          <w:sz w:val="24"/>
          <w:highlight w:val="none"/>
        </w:rPr>
        <w:t>3.采购人应当自中标人确定之日起2个工作日内，在</w:t>
      </w:r>
      <w:r>
        <w:rPr>
          <w:rFonts w:hint="eastAsia" w:hAnsi="宋体" w:cs="宋体"/>
          <w:color w:val="auto"/>
          <w:sz w:val="24"/>
          <w:szCs w:val="24"/>
          <w:highlight w:val="none"/>
        </w:rPr>
        <w:t>行采家网或重庆工商大学招投标信息网</w:t>
      </w:r>
      <w:r>
        <w:rPr>
          <w:rFonts w:hint="eastAsia" w:hAnsi="宋体" w:cs="宋体"/>
          <w:color w:val="auto"/>
          <w:sz w:val="24"/>
          <w:highlight w:val="none"/>
        </w:rPr>
        <w:t>上公告中标结果。中标公告期限为1个工作日。</w:t>
      </w:r>
    </w:p>
    <w:p>
      <w:pPr>
        <w:pStyle w:val="9"/>
        <w:ind w:firstLine="480" w:firstLineChars="200"/>
        <w:rPr>
          <w:rFonts w:hAnsi="宋体" w:cs="宋体"/>
          <w:color w:val="auto"/>
          <w:sz w:val="24"/>
          <w:highlight w:val="none"/>
        </w:rPr>
      </w:pPr>
      <w:r>
        <w:rPr>
          <w:rFonts w:hint="eastAsia" w:hAnsi="宋体" w:cs="宋体"/>
          <w:color w:val="auto"/>
          <w:sz w:val="24"/>
          <w:highlight w:val="none"/>
        </w:rPr>
        <w:t>4.中标人变更</w:t>
      </w:r>
    </w:p>
    <w:p>
      <w:pPr>
        <w:pStyle w:val="9"/>
        <w:ind w:firstLine="480" w:firstLineChars="200"/>
        <w:rPr>
          <w:rFonts w:hAnsi="宋体" w:cs="宋体"/>
          <w:color w:val="auto"/>
          <w:sz w:val="24"/>
          <w:highlight w:val="none"/>
        </w:rPr>
      </w:pPr>
      <w:r>
        <w:rPr>
          <w:rFonts w:hint="eastAsia" w:hAnsi="宋体" w:cs="宋体"/>
          <w:color w:val="auto"/>
          <w:sz w:val="24"/>
          <w:highlight w:val="none"/>
        </w:rPr>
        <w:t>中标人拒绝与采购人签订合同的，采购人可以按照评标报告推荐的中标候选人顺序，确定排名下一位的候选人为中标人，也可以重新开展政府采购活动。</w:t>
      </w:r>
    </w:p>
    <w:p>
      <w:pPr>
        <w:pStyle w:val="4"/>
        <w:ind w:firstLine="482" w:firstLineChars="200"/>
        <w:rPr>
          <w:rFonts w:cs="宋体"/>
          <w:b/>
          <w:color w:val="auto"/>
          <w:sz w:val="24"/>
          <w:highlight w:val="none"/>
        </w:rPr>
      </w:pPr>
      <w:bookmarkStart w:id="112" w:name="_Toc10150"/>
      <w:bookmarkStart w:id="113" w:name="_Toc15712"/>
      <w:r>
        <w:rPr>
          <w:rFonts w:hint="eastAsia" w:cs="宋体"/>
          <w:b/>
          <w:color w:val="auto"/>
          <w:sz w:val="24"/>
          <w:highlight w:val="none"/>
        </w:rPr>
        <w:t>七、中标</w:t>
      </w:r>
      <w:bookmarkEnd w:id="112"/>
      <w:bookmarkEnd w:id="113"/>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（一）采购人依法确定中标人后，采购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以书面形式发出中标通知书。</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（二）中标通知书发出后，采购人改变中标结果，或者中标人放弃中标，应当承担相应的法律责任。</w:t>
      </w:r>
    </w:p>
    <w:p>
      <w:pPr>
        <w:pStyle w:val="4"/>
        <w:ind w:firstLine="482" w:firstLineChars="200"/>
        <w:rPr>
          <w:rFonts w:cs="宋体"/>
          <w:b/>
          <w:color w:val="auto"/>
          <w:sz w:val="24"/>
          <w:highlight w:val="none"/>
        </w:rPr>
      </w:pPr>
      <w:bookmarkStart w:id="114" w:name="_Toc19532"/>
      <w:bookmarkStart w:id="115" w:name="_Toc15192"/>
      <w:r>
        <w:rPr>
          <w:rFonts w:hint="eastAsia" w:cs="宋体"/>
          <w:b/>
          <w:color w:val="auto"/>
          <w:sz w:val="24"/>
          <w:highlight w:val="none"/>
        </w:rPr>
        <w:t>八、询问、质疑和投诉</w:t>
      </w:r>
      <w:bookmarkEnd w:id="114"/>
      <w:bookmarkEnd w:id="115"/>
    </w:p>
    <w:p>
      <w:pPr>
        <w:spacing w:line="360" w:lineRule="auto"/>
        <w:ind w:right="12" w:firstLine="480"/>
        <w:rPr>
          <w:rFonts w:ascii="宋体" w:hAnsi="宋体" w:cs="宋体"/>
          <w:color w:val="auto"/>
          <w:sz w:val="24"/>
          <w:highlight w:val="none"/>
        </w:rPr>
      </w:pPr>
      <w:r>
        <w:rPr>
          <w:rFonts w:hint="eastAsia" w:ascii="宋体" w:hAnsi="宋体" w:cs="宋体"/>
          <w:color w:val="auto"/>
          <w:sz w:val="24"/>
          <w:highlight w:val="none"/>
        </w:rPr>
        <w:t>（一）询问</w:t>
      </w:r>
    </w:p>
    <w:p>
      <w:pPr>
        <w:spacing w:line="360" w:lineRule="auto"/>
        <w:ind w:right="12" w:firstLine="480"/>
        <w:rPr>
          <w:rFonts w:ascii="宋体" w:hAnsi="宋体" w:cs="宋体"/>
          <w:color w:val="auto"/>
          <w:sz w:val="24"/>
          <w:highlight w:val="none"/>
        </w:rPr>
      </w:pPr>
      <w:r>
        <w:rPr>
          <w:rFonts w:hint="eastAsia" w:ascii="宋体" w:hAnsi="宋体" w:cs="宋体"/>
          <w:color w:val="auto"/>
          <w:sz w:val="24"/>
          <w:highlight w:val="none"/>
        </w:rPr>
        <w:t>采购人应当在3个工作日内对投标人依法提出的询问作出答复。投标人询问可以是口头或书面形式。</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（二）质疑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投标人认为采购文件、采购过程和中标结果使自己的权益受到伤害的，可向采购人以书面形式提出质疑。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提出质疑的应当是参与所质疑项目采购活动的投标人。 </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1.质疑时限、内容</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1.1投标人对招标文件提出质疑的，应在依法获取招标文件之日或者招标文件公告期限届满之日起七个工作日内提出。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 投标人对采购过程提出质疑的，应在各采购程序环节结束之日起七个工作日内提出。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1.3投标人对中标结果提出质疑的，应当在中标结果公告期限届满之日起七个工作日内提出。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1.4投标人提出质疑应当提交质疑函和必要的证明材料，质疑函应当包括下列内容：</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1.4.1供应商的姓名或者名称、地址、邮编、联系人及联系电话；</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1.4.2质疑项目的名称、项目编号以及采购执行编号；</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1.4.3具体、明确的质疑事项和与质疑事项相关的请求；</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1.4.4事实依据；</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1.4.5必要的法律依据；</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1.4.6提出质疑的日期；</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1.4.7营业执照（或事业单位法人证书，或个体工商户营业执照或有效的自然人身份证明）复印件；</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1.4.8法定代表人授权委托书原件、法定代表人身份证复印件和其授权代表的身份证复印件（供应商为自然人的提供自然人身份证复印件）；</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1.5供应商为自然人的，质疑函应当由本人签字；供应商为法人或者其他组织的，质疑函应当由法定代表人、主要负责人，或者其授权代表签字或者盖章，并加盖公章。</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2.质疑答复</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采购人应当在收到投标人的书面质疑后七个工作日内作出答复，并以书面形式通知质疑投标人和其他有关投标人。</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3.其他</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3.1投标人应按照《政府采购质疑和投诉办法》（财政部令第94号）及相关法律法规要求，在法定质疑期内一次性提出针对同一采购程序环节的质疑。</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3.2质疑函范本可在财政部门户网站和中国政府采购网下载。</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4.质疑联系方式详见第一篇“联系方式”。</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（三）投诉</w:t>
      </w:r>
    </w:p>
    <w:p>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1.投标人对采购人的答复不满意，或者采购人未在规定时间内作出答复的，可以在答复期满后15个工作日内按照采购人相关内控制度规定向采购人党政办公室提起投诉。</w:t>
      </w:r>
    </w:p>
    <w:p>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2.投标人应按照《政府采购质疑和投诉办法》（财政部令第94号）及相关法律法规要求递交投诉书和必要的证明材料。投诉书范本可在财政部门户网站和中国政府采购网下载。</w:t>
      </w:r>
    </w:p>
    <w:p>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3.投诉书应当使用中文，相关当事人提供外文书证或者外国语视听资料的，应当附有中文译本，由翻译机构盖章或者翻译人员签名；相关当事人向党政办公室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snapToGrid w:val="0"/>
        <w:spacing w:line="360" w:lineRule="auto"/>
        <w:ind w:firstLine="480" w:firstLineChars="200"/>
        <w:rPr>
          <w:rFonts w:ascii="宋体" w:hAnsi="宋体" w:cs="宋体"/>
          <w:color w:val="auto"/>
          <w:sz w:val="24"/>
          <w:highlight w:val="none"/>
        </w:rPr>
      </w:pPr>
      <w:r>
        <w:rPr>
          <w:rFonts w:hint="eastAsia" w:ascii="宋体" w:hAnsi="宋体" w:cs="仿宋"/>
          <w:color w:val="auto"/>
          <w:sz w:val="24"/>
          <w:highlight w:val="none"/>
        </w:rPr>
        <w:t>4.在确定受理投诉后，党政办公室自受理投诉之日起30个工作日内（需要检验、检测、鉴定、专家评审以及需要投诉人补正材料的，所需时间不计算在投诉处理期限内）对投诉事项做出处理决定</w:t>
      </w:r>
      <w:r>
        <w:rPr>
          <w:rFonts w:hint="eastAsia" w:ascii="宋体" w:hAnsi="宋体" w:cs="宋体"/>
          <w:color w:val="auto"/>
          <w:sz w:val="24"/>
          <w:highlight w:val="none"/>
        </w:rPr>
        <w:t>。</w:t>
      </w:r>
    </w:p>
    <w:p>
      <w:pPr>
        <w:pStyle w:val="4"/>
        <w:ind w:firstLine="482" w:firstLineChars="200"/>
        <w:rPr>
          <w:rFonts w:cs="宋体"/>
          <w:b/>
          <w:color w:val="auto"/>
          <w:sz w:val="24"/>
          <w:highlight w:val="none"/>
        </w:rPr>
      </w:pPr>
      <w:bookmarkStart w:id="116" w:name="_Toc343881212"/>
      <w:bookmarkStart w:id="117" w:name="_Toc345318310"/>
      <w:bookmarkStart w:id="118" w:name="_Toc429584878"/>
      <w:bookmarkStart w:id="119" w:name="_Toc63431480"/>
      <w:bookmarkStart w:id="120" w:name="_Toc342983494"/>
      <w:bookmarkStart w:id="121" w:name="_Toc3911"/>
      <w:bookmarkStart w:id="122" w:name="_Toc24553"/>
      <w:r>
        <w:rPr>
          <w:rFonts w:hint="eastAsia" w:cs="宋体"/>
          <w:b/>
          <w:color w:val="auto"/>
          <w:sz w:val="24"/>
          <w:highlight w:val="none"/>
        </w:rPr>
        <w:t>九、</w:t>
      </w:r>
      <w:bookmarkEnd w:id="116"/>
      <w:bookmarkEnd w:id="117"/>
      <w:bookmarkEnd w:id="118"/>
      <w:bookmarkEnd w:id="119"/>
      <w:bookmarkEnd w:id="120"/>
      <w:bookmarkEnd w:id="121"/>
      <w:bookmarkStart w:id="123" w:name="_Toc8770"/>
      <w:r>
        <w:rPr>
          <w:rFonts w:hint="eastAsia" w:cs="宋体"/>
          <w:b/>
          <w:color w:val="auto"/>
          <w:sz w:val="24"/>
          <w:highlight w:val="none"/>
        </w:rPr>
        <w:t>签订合同</w:t>
      </w:r>
      <w:bookmarkEnd w:id="122"/>
      <w:bookmarkEnd w:id="123"/>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（一）采购人应当自中标通知书发出之日起三十日内，按照招标文件和中标人投标文件的约定，与中标人签订书面合同。所签订的合同不得对招标文件和中标人投标文件作实质性修改。</w:t>
      </w:r>
      <w:r>
        <w:rPr>
          <w:rFonts w:hint="eastAsia" w:ascii="宋体" w:hAnsi="宋体" w:cs="宋体"/>
          <w:color w:val="auto"/>
          <w:kern w:val="0"/>
          <w:sz w:val="24"/>
          <w:szCs w:val="24"/>
          <w:highlight w:val="none"/>
        </w:rPr>
        <w:t>其他未尽事宜由采购人和中标人在采购合同中详细约定。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（二）招标文件、中标人的投标文件及澄清文件等，均为签订采购合同的依据。</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（四）合同生效条款由供需双方约定，法律、行政法规规定应当办理批准、登记等手续后生效的合同，依照其规定。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（五）要求适用合同通用格式版本的，应按其要求另行签订其他合同。</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（六）采购人要求中标人提供履约保证金的，应当在招标文件中予以约定。中标人履约完毕后，采购人应按招标文件及合同的约定无息退还其履约保证金。</w:t>
      </w:r>
    </w:p>
    <w:p>
      <w:pPr>
        <w:rPr>
          <w:rFonts w:ascii="宋体" w:hAnsi="宋体" w:cs="宋体"/>
          <w:b/>
          <w:color w:val="auto"/>
          <w:sz w:val="44"/>
          <w:highlight w:val="none"/>
        </w:rPr>
      </w:pPr>
      <w:bookmarkStart w:id="124" w:name="_Toc6009"/>
      <w:r>
        <w:rPr>
          <w:rFonts w:hint="eastAsia" w:ascii="宋体" w:hAnsi="宋体" w:cs="宋体"/>
          <w:b/>
          <w:color w:val="auto"/>
          <w:sz w:val="44"/>
          <w:highlight w:val="none"/>
        </w:rPr>
        <w:br w:type="page"/>
      </w:r>
    </w:p>
    <w:p>
      <w:pPr>
        <w:pStyle w:val="3"/>
        <w:spacing w:before="240" w:after="120"/>
        <w:ind w:firstLine="883" w:firstLineChars="200"/>
        <w:rPr>
          <w:rFonts w:ascii="宋体" w:hAnsi="宋体" w:eastAsia="宋体" w:cs="宋体"/>
          <w:b/>
          <w:color w:val="auto"/>
          <w:sz w:val="24"/>
          <w:highlight w:val="none"/>
        </w:rPr>
      </w:pPr>
      <w:bookmarkStart w:id="125" w:name="_Toc3005"/>
      <w:r>
        <w:rPr>
          <w:rFonts w:hint="eastAsia" w:ascii="宋体" w:hAnsi="宋体" w:eastAsia="宋体" w:cs="宋体"/>
          <w:b/>
          <w:color w:val="auto"/>
          <w:highlight w:val="none"/>
        </w:rPr>
        <w:t>第六篇  合同主要条款和格式合同（样本）</w:t>
      </w:r>
      <w:bookmarkEnd w:id="124"/>
      <w:bookmarkEnd w:id="125"/>
    </w:p>
    <w:p>
      <w:pPr>
        <w:pStyle w:val="4"/>
        <w:ind w:firstLine="482" w:firstLineChars="200"/>
        <w:rPr>
          <w:rFonts w:cs="宋体"/>
          <w:b/>
          <w:color w:val="auto"/>
          <w:sz w:val="24"/>
          <w:highlight w:val="none"/>
        </w:rPr>
      </w:pPr>
      <w:bookmarkStart w:id="126" w:name="_Toc1810"/>
      <w:bookmarkStart w:id="127" w:name="_Toc277084871"/>
      <w:bookmarkStart w:id="128" w:name="_Toc285722713"/>
      <w:bookmarkStart w:id="129" w:name="_Toc7388"/>
      <w:r>
        <w:rPr>
          <w:rFonts w:hint="eastAsia" w:cs="宋体"/>
          <w:b/>
          <w:color w:val="auto"/>
          <w:sz w:val="24"/>
          <w:highlight w:val="none"/>
        </w:rPr>
        <w:t>一、采购合同（格式）</w:t>
      </w:r>
      <w:bookmarkEnd w:id="126"/>
      <w:bookmarkEnd w:id="127"/>
      <w:bookmarkEnd w:id="128"/>
      <w:bookmarkEnd w:id="129"/>
    </w:p>
    <w:p>
      <w:pPr>
        <w:spacing w:line="360" w:lineRule="auto"/>
        <w:jc w:val="center"/>
        <w:rPr>
          <w:rFonts w:ascii="宋体" w:hAnsi="宋体" w:cs="宋体"/>
          <w:b/>
          <w:color w:val="auto"/>
          <w:sz w:val="44"/>
          <w:highlight w:val="none"/>
        </w:rPr>
      </w:pPr>
      <w:r>
        <w:rPr>
          <w:rFonts w:hint="eastAsia" w:ascii="宋体" w:hAnsi="宋体" w:cs="宋体"/>
          <w:b/>
          <w:color w:val="auto"/>
          <w:sz w:val="44"/>
          <w:highlight w:val="none"/>
        </w:rPr>
        <w:t>重庆工商大学采购合同</w:t>
      </w:r>
    </w:p>
    <w:p>
      <w:pPr>
        <w:spacing w:line="360" w:lineRule="auto"/>
        <w:jc w:val="center"/>
        <w:rPr>
          <w:rFonts w:ascii="宋体" w:hAnsi="宋体" w:cs="宋体"/>
          <w:color w:val="auto"/>
          <w:highlight w:val="none"/>
        </w:rPr>
      </w:pPr>
      <w:r>
        <w:rPr>
          <w:rFonts w:hint="eastAsia" w:ascii="宋体" w:hAnsi="宋体" w:cs="宋体"/>
          <w:color w:val="auto"/>
          <w:highlight w:val="none"/>
        </w:rPr>
        <w:t>（项目名称：    ）</w:t>
      </w:r>
    </w:p>
    <w:p>
      <w:pPr>
        <w:spacing w:line="360" w:lineRule="auto"/>
        <w:jc w:val="center"/>
        <w:rPr>
          <w:rFonts w:ascii="宋体" w:hAnsi="宋体" w:cs="宋体"/>
          <w:color w:val="auto"/>
          <w:highlight w:val="none"/>
        </w:rPr>
      </w:pPr>
      <w:r>
        <w:rPr>
          <w:rFonts w:hint="eastAsia" w:ascii="宋体" w:hAnsi="宋体" w:cs="宋体"/>
          <w:color w:val="auto"/>
          <w:highlight w:val="none"/>
        </w:rPr>
        <w:t>（项目编号：     ）</w:t>
      </w:r>
    </w:p>
    <w:p>
      <w:pPr>
        <w:spacing w:line="360" w:lineRule="auto"/>
        <w:rPr>
          <w:rFonts w:ascii="宋体" w:hAnsi="宋体" w:cs="宋体"/>
          <w:color w:val="auto"/>
          <w:sz w:val="24"/>
          <w:highlight w:val="none"/>
        </w:rPr>
      </w:pPr>
      <w:r>
        <w:rPr>
          <w:rFonts w:hint="eastAsia" w:ascii="宋体" w:hAnsi="宋体" w:cs="宋体"/>
          <w:color w:val="auto"/>
          <w:sz w:val="24"/>
          <w:highlight w:val="none"/>
        </w:rPr>
        <w:t>甲方（需方）：___________________________      计价单位：____________</w:t>
      </w:r>
    </w:p>
    <w:p>
      <w:pPr>
        <w:spacing w:line="360" w:lineRule="auto"/>
        <w:rPr>
          <w:rFonts w:ascii="宋体" w:hAnsi="宋体" w:cs="宋体"/>
          <w:color w:val="auto"/>
          <w:sz w:val="24"/>
          <w:highlight w:val="none"/>
        </w:rPr>
      </w:pPr>
      <w:r>
        <w:rPr>
          <w:rFonts w:hint="eastAsia" w:ascii="宋体" w:hAnsi="宋体" w:cs="宋体"/>
          <w:color w:val="auto"/>
          <w:sz w:val="24"/>
          <w:highlight w:val="none"/>
        </w:rPr>
        <w:t>乙方（供方）：___________________________      计量单位：_____________</w:t>
      </w:r>
    </w:p>
    <w:p>
      <w:pPr>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经双方协商一致，达成以下购销合同：</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229"/>
        <w:gridCol w:w="1069"/>
        <w:gridCol w:w="1134"/>
        <w:gridCol w:w="1559"/>
        <w:gridCol w:w="1567"/>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商品名称</w:t>
            </w:r>
          </w:p>
        </w:tc>
        <w:tc>
          <w:tcPr>
            <w:tcW w:w="1741"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规格型号</w:t>
            </w:r>
          </w:p>
        </w:tc>
        <w:tc>
          <w:tcPr>
            <w:tcW w:w="984"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数量</w:t>
            </w:r>
          </w:p>
        </w:tc>
        <w:tc>
          <w:tcPr>
            <w:tcW w:w="1298" w:type="dxa"/>
            <w:gridSpan w:val="2"/>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综合单价</w:t>
            </w:r>
          </w:p>
        </w:tc>
        <w:tc>
          <w:tcPr>
            <w:tcW w:w="1134"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总价</w:t>
            </w:r>
          </w:p>
        </w:tc>
        <w:tc>
          <w:tcPr>
            <w:tcW w:w="1559"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交货时间</w:t>
            </w:r>
          </w:p>
        </w:tc>
        <w:tc>
          <w:tcPr>
            <w:tcW w:w="1567"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pPr>
              <w:spacing w:line="360" w:lineRule="auto"/>
              <w:jc w:val="center"/>
              <w:rPr>
                <w:rFonts w:ascii="宋体" w:hAnsi="宋体" w:cs="宋体"/>
                <w:color w:val="auto"/>
                <w:sz w:val="21"/>
                <w:szCs w:val="21"/>
                <w:highlight w:val="none"/>
              </w:rPr>
            </w:pPr>
          </w:p>
        </w:tc>
        <w:tc>
          <w:tcPr>
            <w:tcW w:w="1741" w:type="dxa"/>
            <w:vAlign w:val="center"/>
          </w:tcPr>
          <w:p>
            <w:pPr>
              <w:spacing w:line="360" w:lineRule="auto"/>
              <w:jc w:val="center"/>
              <w:rPr>
                <w:rFonts w:ascii="宋体" w:hAnsi="宋体" w:cs="宋体"/>
                <w:color w:val="auto"/>
                <w:sz w:val="21"/>
                <w:szCs w:val="21"/>
                <w:highlight w:val="none"/>
              </w:rPr>
            </w:pPr>
          </w:p>
        </w:tc>
        <w:tc>
          <w:tcPr>
            <w:tcW w:w="984" w:type="dxa"/>
            <w:vAlign w:val="center"/>
          </w:tcPr>
          <w:p>
            <w:pPr>
              <w:spacing w:line="360" w:lineRule="auto"/>
              <w:jc w:val="center"/>
              <w:rPr>
                <w:rFonts w:ascii="宋体" w:hAnsi="宋体" w:cs="宋体"/>
                <w:color w:val="auto"/>
                <w:sz w:val="21"/>
                <w:szCs w:val="21"/>
                <w:highlight w:val="none"/>
              </w:rPr>
            </w:pPr>
          </w:p>
        </w:tc>
        <w:tc>
          <w:tcPr>
            <w:tcW w:w="1298" w:type="dxa"/>
            <w:gridSpan w:val="2"/>
            <w:vAlign w:val="center"/>
          </w:tcPr>
          <w:p>
            <w:pPr>
              <w:spacing w:line="360" w:lineRule="auto"/>
              <w:jc w:val="center"/>
              <w:rPr>
                <w:rFonts w:ascii="宋体" w:hAnsi="宋体" w:cs="宋体"/>
                <w:color w:val="auto"/>
                <w:sz w:val="21"/>
                <w:szCs w:val="21"/>
                <w:highlight w:val="none"/>
              </w:rPr>
            </w:pPr>
          </w:p>
        </w:tc>
        <w:tc>
          <w:tcPr>
            <w:tcW w:w="1134" w:type="dxa"/>
            <w:vAlign w:val="center"/>
          </w:tcPr>
          <w:p>
            <w:pPr>
              <w:spacing w:line="360" w:lineRule="auto"/>
              <w:jc w:val="center"/>
              <w:rPr>
                <w:rFonts w:ascii="宋体" w:hAnsi="宋体" w:cs="宋体"/>
                <w:color w:val="auto"/>
                <w:sz w:val="21"/>
                <w:szCs w:val="21"/>
                <w:highlight w:val="none"/>
              </w:rPr>
            </w:pPr>
          </w:p>
        </w:tc>
        <w:tc>
          <w:tcPr>
            <w:tcW w:w="1559" w:type="dxa"/>
            <w:vAlign w:val="center"/>
          </w:tcPr>
          <w:p>
            <w:pPr>
              <w:spacing w:line="360" w:lineRule="auto"/>
              <w:jc w:val="center"/>
              <w:rPr>
                <w:rFonts w:ascii="宋体" w:hAnsi="宋体" w:cs="宋体"/>
                <w:color w:val="auto"/>
                <w:sz w:val="21"/>
                <w:szCs w:val="21"/>
                <w:highlight w:val="none"/>
              </w:rPr>
            </w:pPr>
          </w:p>
        </w:tc>
        <w:tc>
          <w:tcPr>
            <w:tcW w:w="1567" w:type="dxa"/>
            <w:vAlign w:val="center"/>
          </w:tcPr>
          <w:p>
            <w:pPr>
              <w:spacing w:line="360" w:lineRule="auto"/>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一、质量要求和技术标准。供方提供的商品必须是全新的，完全符合国家有关技术标准，供方的质量保证及售后服务承诺如下：</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1、质保期限：</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2、保修范围：</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3、服务措施：</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4、质保期后服务：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二、随机备品、附件、工具数量及供应方法：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三、交提货方式：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四、验收标准、方法：</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如有异议，请于      日内提出。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五、付款方式：</w:t>
            </w:r>
          </w:p>
          <w:p>
            <w:pPr>
              <w:pStyle w:val="10"/>
              <w:spacing w:line="360" w:lineRule="auto"/>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六、违约责任：</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按《中华人民共和国民法典》、《中华人民共和国政府采购法》执行，或按双方约定。（采购人应按项目实际情况完整填写）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七、其他约定事项：</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1.招标文件及其澄清文件、投标文件和承诺是本合同不可分割的部分，共同构成合同文件。</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2.本合同如发生争议由双方协商解决，协商不成向需方所在地仲裁机构提请仲裁。</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3.本合同一式__份， 需方__份，供方__份，具备同等法律效力。</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4.其他：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284" w:type="dxa"/>
            <w:gridSpan w:val="4"/>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需方：重庆工商大学</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地址：重庆市南岸区学府大道19号</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联系电话：023-62769774</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传真：023-62769774</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开户行：工行重庆南岸学府支行</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账号：3100027609024907533</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统一社会信用代码:125000007428748822</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法定代表人：</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授权代表：</w:t>
            </w:r>
          </w:p>
        </w:tc>
        <w:tc>
          <w:tcPr>
            <w:tcW w:w="5344" w:type="dxa"/>
            <w:gridSpan w:val="5"/>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供方：</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地址：</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传真：</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开户银行：</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账号：</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法定代表人：</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授权代表：</w:t>
            </w:r>
          </w:p>
          <w:p>
            <w:pPr>
              <w:widowControl/>
              <w:spacing w:line="360"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（本栏请用计算机打印以便于准确付款）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备注：</w:t>
            </w:r>
          </w:p>
          <w:p>
            <w:pPr>
              <w:spacing w:line="360" w:lineRule="auto"/>
              <w:rPr>
                <w:rFonts w:ascii="宋体" w:hAnsi="宋体" w:cs="宋体"/>
                <w:color w:val="auto"/>
                <w:sz w:val="21"/>
                <w:szCs w:val="21"/>
                <w:highlight w:val="none"/>
              </w:rPr>
            </w:pPr>
          </w:p>
          <w:p>
            <w:pPr>
              <w:spacing w:line="360" w:lineRule="auto"/>
              <w:rPr>
                <w:rFonts w:ascii="宋体" w:hAnsi="宋体" w:cs="宋体"/>
                <w:color w:val="auto"/>
                <w:sz w:val="21"/>
                <w:szCs w:val="21"/>
                <w:highlight w:val="none"/>
              </w:rPr>
            </w:pP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签约时间：           年   月   日      签约地点：</w:t>
      </w:r>
    </w:p>
    <w:p>
      <w:pPr>
        <w:rPr>
          <w:color w:val="auto"/>
          <w:highlight w:val="none"/>
        </w:rPr>
      </w:pPr>
      <w:r>
        <w:rPr>
          <w:color w:val="auto"/>
          <w:highlight w:val="none"/>
        </w:rPr>
        <w:br w:type="page"/>
      </w:r>
    </w:p>
    <w:p>
      <w:pPr>
        <w:pStyle w:val="4"/>
        <w:ind w:firstLine="482" w:firstLineChars="200"/>
        <w:rPr>
          <w:rFonts w:cs="宋体"/>
          <w:b/>
          <w:color w:val="auto"/>
          <w:sz w:val="24"/>
          <w:highlight w:val="none"/>
        </w:rPr>
      </w:pPr>
      <w:bookmarkStart w:id="130" w:name="_Toc18458"/>
      <w:r>
        <w:rPr>
          <w:rFonts w:hint="eastAsia" w:cs="宋体"/>
          <w:b/>
          <w:color w:val="auto"/>
          <w:sz w:val="24"/>
          <w:highlight w:val="none"/>
        </w:rPr>
        <w:t>二、采购廉洁协议格式</w:t>
      </w:r>
      <w:bookmarkEnd w:id="130"/>
    </w:p>
    <w:p>
      <w:pPr>
        <w:snapToGrid w:val="0"/>
        <w:spacing w:line="360" w:lineRule="auto"/>
        <w:ind w:firstLine="643" w:firstLineChars="200"/>
        <w:jc w:val="center"/>
        <w:rPr>
          <w:rFonts w:cs="宋体" w:asciiTheme="minorEastAsia" w:hAnsiTheme="minorEastAsia" w:eastAsiaTheme="minorEastAsia"/>
          <w:b/>
          <w:bCs/>
          <w:color w:val="auto"/>
          <w:kern w:val="0"/>
          <w:sz w:val="32"/>
          <w:szCs w:val="32"/>
          <w:highlight w:val="none"/>
        </w:rPr>
      </w:pPr>
      <w:r>
        <w:rPr>
          <w:rFonts w:hint="eastAsia" w:cs="宋体" w:asciiTheme="minorEastAsia" w:hAnsiTheme="minorEastAsia" w:eastAsiaTheme="minorEastAsia"/>
          <w:b/>
          <w:bCs/>
          <w:color w:val="auto"/>
          <w:kern w:val="0"/>
          <w:sz w:val="32"/>
          <w:szCs w:val="32"/>
          <w:highlight w:val="none"/>
        </w:rPr>
        <w:t>重庆工商大学货物服务类采购廉洁协议</w:t>
      </w:r>
    </w:p>
    <w:p>
      <w:pPr>
        <w:snapToGrid w:val="0"/>
        <w:spacing w:line="360" w:lineRule="auto"/>
        <w:ind w:firstLine="482" w:firstLineChars="200"/>
        <w:jc w:val="left"/>
        <w:rPr>
          <w:rFonts w:cs="宋体" w:asciiTheme="minorEastAsia" w:hAnsiTheme="minorEastAsia" w:eastAsiaTheme="minorEastAsia"/>
          <w:b/>
          <w:bCs/>
          <w:color w:val="auto"/>
          <w:kern w:val="0"/>
          <w:sz w:val="24"/>
          <w:szCs w:val="24"/>
          <w:highlight w:val="none"/>
        </w:rPr>
      </w:pPr>
      <w:r>
        <w:rPr>
          <w:rFonts w:hint="eastAsia" w:cs="宋体" w:asciiTheme="minorEastAsia" w:hAnsiTheme="minorEastAsia" w:eastAsiaTheme="minorEastAsia"/>
          <w:b/>
          <w:bCs/>
          <w:color w:val="auto"/>
          <w:kern w:val="0"/>
          <w:sz w:val="24"/>
          <w:szCs w:val="24"/>
          <w:highlight w:val="none"/>
        </w:rPr>
        <w:t xml:space="preserve">甲方（需方）：重庆工商大学           </w:t>
      </w:r>
    </w:p>
    <w:p>
      <w:pPr>
        <w:snapToGrid w:val="0"/>
        <w:spacing w:line="360" w:lineRule="auto"/>
        <w:ind w:firstLine="482" w:firstLineChars="200"/>
        <w:jc w:val="left"/>
        <w:rPr>
          <w:rFonts w:cs="宋体" w:asciiTheme="minorEastAsia" w:hAnsiTheme="minorEastAsia" w:eastAsiaTheme="minorEastAsia"/>
          <w:b/>
          <w:bCs/>
          <w:color w:val="auto"/>
          <w:kern w:val="0"/>
          <w:sz w:val="24"/>
          <w:szCs w:val="24"/>
          <w:highlight w:val="none"/>
        </w:rPr>
      </w:pPr>
      <w:r>
        <w:rPr>
          <w:rFonts w:hint="eastAsia" w:cs="宋体" w:asciiTheme="minorEastAsia" w:hAnsiTheme="minorEastAsia" w:eastAsiaTheme="minorEastAsia"/>
          <w:b/>
          <w:bCs/>
          <w:color w:val="auto"/>
          <w:kern w:val="0"/>
          <w:sz w:val="24"/>
          <w:szCs w:val="24"/>
          <w:highlight w:val="none"/>
        </w:rPr>
        <w:t xml:space="preserve">乙方（供方）：                                     </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采购项目名称：                                项目，采购总金额：        元</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为了认真贯彻党中央、国务院关于从源头上预防和治理腐败的精神，规范采购活动与合同履行，维护采购人的合法利益和正常的市场经济秩序，甲、乙双方在签订采购合同的同时，自愿签订采购廉洁协议。</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一、采购及合同履行期间，甲方人员及其近亲属不得接受乙方各种名目的宴请和娱乐活动，不得以任何借口收受各种礼品、礼金等各种形式的贿赂。有上述行为的，依据其违纪违法行为，视其性质、情节，由纪检、监察部门或移送检察机关处理。</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二、甲方人员及其近亲属向乙方索贿或变相索贿的，经乙方检举，查处核实后，乙方有权从甲方获得被索贿金的1-3倍款额作为奖励（此款由索贿当事人承担），由此产生的办案费用由甲方承担。</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三、乙方不得向甲方人员及其近亲属赠送礼品、礼金及有价证券等物品，不准代为报销甲方人员各种开支。如乙方贿赂甲方人员及其近亲属经查处落实的，甲方有权终止该购销合同，由此给甲方造成的一切损失均由乙方承担。对于有贿赂甲方人员及其近亲属行为的单位不得再次参与甲方的招投标，并在一定范围内通报乙方的不正当竞争行为。</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对不主动报告情况者，一经查出，视情节轻重给予批评教育、党纪、政纪处分，直至移送检察机关追究法律责任。</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五、此协议一式贰份，甲乙双方各执壹份，具有同等法律效力。</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六、本协议自各方签字后生效。</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七、签约时间：    年    月    日</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甲方（需方）：重庆工商大学                乙方（供方）：</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（合同专用章）                           （合同专用章）</w:t>
      </w:r>
    </w:p>
    <w:p>
      <w:pPr>
        <w:snapToGrid w:val="0"/>
        <w:spacing w:line="360" w:lineRule="auto"/>
        <w:ind w:firstLine="480" w:firstLineChars="200"/>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甲方代表：                               乙方代表：</w:t>
      </w:r>
    </w:p>
    <w:p>
      <w:pPr>
        <w:pStyle w:val="18"/>
        <w:ind w:firstLine="240"/>
        <w:rPr>
          <w:color w:val="auto"/>
          <w:highlight w:val="none"/>
        </w:rPr>
      </w:pPr>
      <w:r>
        <w:rPr>
          <w:rFonts w:hint="eastAsia" w:cs="宋体" w:asciiTheme="minorEastAsia" w:hAnsiTheme="minorEastAsia" w:eastAsiaTheme="minorEastAsia"/>
          <w:color w:val="auto"/>
          <w:kern w:val="0"/>
          <w:sz w:val="24"/>
          <w:szCs w:val="24"/>
          <w:highlight w:val="none"/>
        </w:rPr>
        <w:t>（签字）                                 （签字）</w:t>
      </w:r>
    </w:p>
    <w:p>
      <w:pPr>
        <w:spacing w:line="360" w:lineRule="auto"/>
        <w:ind w:firstLine="560" w:firstLineChars="200"/>
        <w:rPr>
          <w:rFonts w:ascii="宋体" w:hAnsi="宋体" w:cs="宋体"/>
          <w:color w:val="auto"/>
          <w:highlight w:val="none"/>
        </w:rPr>
        <w:sectPr>
          <w:headerReference r:id="rId9" w:type="default"/>
          <w:footerReference r:id="rId10" w:type="default"/>
          <w:pgSz w:w="11907" w:h="16840"/>
          <w:pgMar w:top="1134" w:right="1191" w:bottom="1134" w:left="1304" w:header="964" w:footer="992" w:gutter="0"/>
          <w:pgNumType w:fmt="numberInDash"/>
          <w:cols w:space="720" w:num="1"/>
          <w:docGrid w:linePitch="312" w:charSpace="0"/>
        </w:sectPr>
      </w:pPr>
    </w:p>
    <w:p>
      <w:pPr>
        <w:pStyle w:val="3"/>
        <w:spacing w:before="0" w:beforeLines="0" w:after="0" w:afterLines="0" w:line="360" w:lineRule="auto"/>
        <w:rPr>
          <w:rFonts w:ascii="宋体" w:hAnsi="宋体" w:eastAsia="宋体" w:cs="宋体"/>
          <w:bCs/>
          <w:color w:val="auto"/>
          <w:highlight w:val="none"/>
        </w:rPr>
      </w:pPr>
      <w:bookmarkStart w:id="131" w:name="_Toc5441"/>
      <w:bookmarkStart w:id="132" w:name="_Toc32017"/>
      <w:r>
        <w:rPr>
          <w:rFonts w:hint="eastAsia" w:ascii="宋体" w:hAnsi="宋体" w:eastAsia="宋体" w:cs="宋体"/>
          <w:bCs/>
          <w:color w:val="auto"/>
          <w:highlight w:val="none"/>
        </w:rPr>
        <w:t>第七篇  投标文件格式</w:t>
      </w:r>
      <w:bookmarkEnd w:id="131"/>
      <w:bookmarkEnd w:id="132"/>
    </w:p>
    <w:p>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一、经济文件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（一）开标一览表</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（二）分项报价明细表</w:t>
      </w:r>
    </w:p>
    <w:p>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二、技术文件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（一）所投各产品的技术参数（或技术指标）</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（三）技术条款差异表</w:t>
      </w:r>
    </w:p>
    <w:p>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三、商务文件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（一）投标函（格式）</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（二）商务条款差异表</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（三）商务及售后服务承诺</w:t>
      </w:r>
    </w:p>
    <w:p>
      <w:pPr>
        <w:tabs>
          <w:tab w:val="left" w:pos="1764"/>
        </w:tabs>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四、其他</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其他与项目有关的资料（自附）</w:t>
      </w:r>
    </w:p>
    <w:p>
      <w:pPr>
        <w:snapToGrid w:val="0"/>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五、资格文件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（一）法人营业执照（副本）或事业单位法人证书（副本）或个体工商户营业执照或有效的自然人身份证明或社会团体法人登记证书复印件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（二）法定代表人身份证明书（格式）</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（三）法定代表人授权委托书（格式）</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（四）基本资格条件承诺函（格式）</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（五）特定资格条件证书或证明文件</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说明：投标人按“多证合一”登记制度办理营业执照的，税务登记证（副本）和社会保险登记证以投标人所提供的法人营业执照（副本）复印件为准。</w:t>
      </w:r>
    </w:p>
    <w:p>
      <w:pPr>
        <w:pStyle w:val="4"/>
        <w:pageBreakBefore/>
        <w:ind w:firstLine="562" w:firstLineChars="200"/>
        <w:rPr>
          <w:rFonts w:cs="宋体"/>
          <w:b/>
          <w:color w:val="auto"/>
          <w:szCs w:val="28"/>
          <w:highlight w:val="none"/>
        </w:rPr>
      </w:pPr>
      <w:bookmarkStart w:id="133" w:name="_Toc20972"/>
      <w:bookmarkStart w:id="134" w:name="_Toc429584884"/>
      <w:bookmarkStart w:id="135" w:name="_Toc16669"/>
      <w:r>
        <w:rPr>
          <w:rFonts w:hint="eastAsia" w:cs="宋体"/>
          <w:b/>
          <w:color w:val="auto"/>
          <w:szCs w:val="28"/>
          <w:highlight w:val="none"/>
        </w:rPr>
        <w:t>一、经济文件</w:t>
      </w:r>
      <w:bookmarkEnd w:id="133"/>
      <w:bookmarkEnd w:id="134"/>
      <w:bookmarkEnd w:id="135"/>
    </w:p>
    <w:p>
      <w:pPr>
        <w:snapToGrid w:val="0"/>
        <w:spacing w:line="360" w:lineRule="auto"/>
        <w:jc w:val="center"/>
        <w:rPr>
          <w:rFonts w:ascii="宋体" w:hAnsi="宋体" w:cs="宋体"/>
          <w:color w:val="auto"/>
          <w:szCs w:val="36"/>
          <w:highlight w:val="none"/>
        </w:rPr>
      </w:pPr>
      <w:r>
        <w:rPr>
          <w:rFonts w:hint="eastAsia" w:ascii="宋体" w:hAnsi="宋体" w:cs="宋体"/>
          <w:color w:val="auto"/>
          <w:szCs w:val="36"/>
          <w:highlight w:val="none"/>
        </w:rPr>
        <w:t>（一）开标一览表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投标人名称</w:t>
            </w:r>
          </w:p>
        </w:tc>
        <w:tc>
          <w:tcPr>
            <w:tcW w:w="7840" w:type="dxa"/>
            <w:gridSpan w:val="3"/>
            <w:vAlign w:val="center"/>
          </w:tcPr>
          <w:p>
            <w:pPr>
              <w:spacing w:line="360" w:lineRule="auto"/>
              <w:jc w:val="center"/>
              <w:rPr>
                <w:rFonts w:ascii="宋体" w:hAnsi="宋体" w:cs="宋体"/>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包号及名称</w:t>
            </w:r>
          </w:p>
        </w:tc>
        <w:tc>
          <w:tcPr>
            <w:tcW w:w="932" w:type="dxa"/>
            <w:vAlign w:val="center"/>
          </w:tcPr>
          <w:p>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数量</w:t>
            </w:r>
          </w:p>
        </w:tc>
        <w:tc>
          <w:tcPr>
            <w:tcW w:w="4760" w:type="dxa"/>
            <w:vAlign w:val="center"/>
          </w:tcPr>
          <w:p>
            <w:pPr>
              <w:spacing w:line="360" w:lineRule="auto"/>
              <w:jc w:val="center"/>
              <w:rPr>
                <w:rFonts w:ascii="宋体" w:hAnsi="宋体" w:cs="宋体"/>
                <w:color w:val="auto"/>
                <w:sz w:val="21"/>
                <w:szCs w:val="28"/>
                <w:highlight w:val="none"/>
              </w:rPr>
            </w:pPr>
            <w:r>
              <w:rPr>
                <w:rFonts w:hint="eastAsia" w:ascii="宋体" w:hAnsi="宋体" w:cs="宋体"/>
                <w:color w:val="auto"/>
                <w:sz w:val="21"/>
                <w:szCs w:val="28"/>
                <w:highlight w:val="none"/>
              </w:rPr>
              <w:t>投标报价（小写）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pPr>
              <w:spacing w:line="360" w:lineRule="auto"/>
              <w:rPr>
                <w:rFonts w:ascii="宋体" w:hAnsi="宋体" w:cs="宋体"/>
                <w:color w:val="auto"/>
                <w:sz w:val="21"/>
                <w:szCs w:val="28"/>
                <w:highlight w:val="none"/>
              </w:rPr>
            </w:pPr>
          </w:p>
        </w:tc>
        <w:tc>
          <w:tcPr>
            <w:tcW w:w="932" w:type="dxa"/>
            <w:tcBorders>
              <w:bottom w:val="single" w:color="auto" w:sz="4" w:space="0"/>
            </w:tcBorders>
          </w:tcPr>
          <w:p>
            <w:pPr>
              <w:spacing w:line="360" w:lineRule="auto"/>
              <w:rPr>
                <w:rFonts w:ascii="宋体" w:hAnsi="宋体" w:cs="宋体"/>
                <w:color w:val="auto"/>
                <w:sz w:val="21"/>
                <w:szCs w:val="28"/>
                <w:highlight w:val="none"/>
              </w:rPr>
            </w:pPr>
          </w:p>
        </w:tc>
        <w:tc>
          <w:tcPr>
            <w:tcW w:w="4760" w:type="dxa"/>
            <w:tcBorders>
              <w:bottom w:val="single" w:color="auto" w:sz="4" w:space="0"/>
            </w:tcBorders>
          </w:tcPr>
          <w:p>
            <w:pPr>
              <w:spacing w:line="360" w:lineRule="auto"/>
              <w:rPr>
                <w:rFonts w:ascii="宋体" w:hAnsi="宋体" w:cs="宋体"/>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pPr>
              <w:spacing w:line="360" w:lineRule="auto"/>
              <w:rPr>
                <w:rFonts w:ascii="宋体" w:hAnsi="宋体" w:cs="宋体"/>
                <w:color w:val="auto"/>
                <w:sz w:val="21"/>
                <w:szCs w:val="28"/>
                <w:highlight w:val="none"/>
              </w:rPr>
            </w:pPr>
            <w:r>
              <w:rPr>
                <w:rFonts w:hint="eastAsia" w:ascii="宋体" w:hAnsi="宋体" w:cs="宋体"/>
                <w:color w:val="auto"/>
                <w:sz w:val="21"/>
                <w:szCs w:val="28"/>
                <w:highlight w:val="none"/>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pPr>
              <w:pStyle w:val="10"/>
              <w:spacing w:line="360" w:lineRule="auto"/>
              <w:rPr>
                <w:rFonts w:ascii="宋体" w:hAnsi="宋体" w:cs="宋体"/>
                <w:color w:val="auto"/>
                <w:sz w:val="21"/>
                <w:szCs w:val="28"/>
                <w:highlight w:val="none"/>
              </w:rPr>
            </w:pPr>
            <w:r>
              <w:rPr>
                <w:rFonts w:hint="eastAsia" w:ascii="宋体" w:hAnsi="宋体" w:cs="宋体"/>
                <w:color w:val="auto"/>
                <w:sz w:val="21"/>
                <w:szCs w:val="28"/>
                <w:highlight w:val="none"/>
              </w:rPr>
              <w:t>备注：</w:t>
            </w:r>
          </w:p>
        </w:tc>
      </w:tr>
    </w:tbl>
    <w:p>
      <w:pPr>
        <w:spacing w:line="360" w:lineRule="auto"/>
        <w:rPr>
          <w:rFonts w:ascii="宋体" w:hAnsi="宋体" w:cs="宋体"/>
          <w:color w:val="auto"/>
          <w:sz w:val="24"/>
          <w:szCs w:val="28"/>
          <w:highlight w:val="none"/>
        </w:rPr>
      </w:pPr>
    </w:p>
    <w:p>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pPr>
        <w:spacing w:line="360" w:lineRule="auto"/>
        <w:rPr>
          <w:rFonts w:ascii="宋体" w:hAnsi="宋体" w:cs="宋体"/>
          <w:color w:val="auto"/>
          <w:sz w:val="24"/>
          <w:szCs w:val="28"/>
          <w:highlight w:val="none"/>
        </w:rPr>
      </w:pPr>
    </w:p>
    <w:p>
      <w:pPr>
        <w:spacing w:line="360" w:lineRule="auto"/>
        <w:rPr>
          <w:rFonts w:ascii="宋体" w:hAnsi="宋体" w:cs="宋体"/>
          <w:color w:val="auto"/>
          <w:sz w:val="24"/>
          <w:szCs w:val="28"/>
          <w:highlight w:val="none"/>
        </w:rPr>
      </w:pP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snapToGrid w:val="0"/>
        <w:spacing w:line="360" w:lineRule="auto"/>
        <w:ind w:firstLine="480" w:firstLineChars="200"/>
        <w:rPr>
          <w:rFonts w:ascii="宋体" w:hAnsi="宋体" w:cs="宋体"/>
          <w:color w:val="auto"/>
          <w:sz w:val="24"/>
          <w:szCs w:val="28"/>
          <w:highlight w:val="none"/>
        </w:rPr>
      </w:pPr>
    </w:p>
    <w:p>
      <w:pPr>
        <w:snapToGrid w:val="0"/>
        <w:spacing w:line="360" w:lineRule="auto"/>
        <w:ind w:firstLine="480" w:firstLineChars="200"/>
        <w:rPr>
          <w:rFonts w:ascii="宋体" w:hAnsi="宋体" w:cs="宋体"/>
          <w:color w:val="auto"/>
          <w:sz w:val="24"/>
          <w:szCs w:val="28"/>
          <w:highlight w:val="none"/>
        </w:rPr>
      </w:pPr>
    </w:p>
    <w:p>
      <w:pPr>
        <w:snapToGrid w:val="0"/>
        <w:spacing w:line="360" w:lineRule="auto"/>
        <w:ind w:firstLine="480" w:firstLineChars="200"/>
        <w:rPr>
          <w:rFonts w:ascii="宋体" w:hAnsi="宋体" w:cs="宋体"/>
          <w:color w:val="auto"/>
          <w:sz w:val="24"/>
          <w:szCs w:val="28"/>
          <w:highlight w:val="none"/>
        </w:rPr>
      </w:pP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说明：</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1.开标一览表按格式填列；</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2.开标一览表在开标大会上当众宣读，务必填写清楚，准确无误；</w:t>
      </w:r>
    </w:p>
    <w:p>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28"/>
          <w:highlight w:val="none"/>
        </w:rPr>
        <w:br w:type="page"/>
      </w:r>
      <w:r>
        <w:rPr>
          <w:rFonts w:hint="eastAsia" w:ascii="宋体" w:hAnsi="宋体" w:cs="宋体"/>
          <w:color w:val="auto"/>
          <w:sz w:val="24"/>
          <w:szCs w:val="28"/>
          <w:highlight w:val="none"/>
        </w:rPr>
        <w:t>（二）分项报价明细表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                                           单位：元</w:t>
      </w:r>
    </w:p>
    <w:tbl>
      <w:tblPr>
        <w:tblStyle w:val="19"/>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70"/>
        <w:gridCol w:w="2314"/>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1085"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2370"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系统模块</w:t>
            </w:r>
          </w:p>
        </w:tc>
        <w:tc>
          <w:tcPr>
            <w:tcW w:w="2314"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模块功能</w:t>
            </w:r>
          </w:p>
        </w:tc>
        <w:tc>
          <w:tcPr>
            <w:tcW w:w="1235"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数量</w:t>
            </w:r>
          </w:p>
        </w:tc>
        <w:tc>
          <w:tcPr>
            <w:tcW w:w="1235"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单价</w:t>
            </w:r>
          </w:p>
        </w:tc>
        <w:tc>
          <w:tcPr>
            <w:tcW w:w="1235" w:type="dxa"/>
            <w:vAlign w:val="center"/>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2370" w:type="dxa"/>
            <w:vMerge w:val="restart"/>
            <w:vAlign w:val="center"/>
          </w:tcPr>
          <w:p>
            <w:pPr>
              <w:jc w:val="center"/>
              <w:rPr>
                <w:rFonts w:ascii="宋体" w:hAnsi="宋体" w:cs="宋体"/>
                <w:color w:val="auto"/>
                <w:sz w:val="21"/>
                <w:szCs w:val="21"/>
                <w:highlight w:val="none"/>
              </w:rPr>
            </w:pPr>
            <w:r>
              <w:rPr>
                <w:rFonts w:hint="eastAsia" w:ascii="宋体" w:hAnsi="宋体" w:cs="宋体"/>
                <w:color w:val="auto"/>
                <w:sz w:val="24"/>
                <w:szCs w:val="24"/>
                <w:highlight w:val="none"/>
              </w:rPr>
              <w:t>评价业务模块</w:t>
            </w: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olor w:val="auto"/>
                <w:sz w:val="24"/>
                <w:szCs w:val="24"/>
                <w:highlight w:val="none"/>
              </w:rPr>
              <w:t>课堂</w:t>
            </w:r>
            <w:r>
              <w:rPr>
                <w:rFonts w:hint="eastAsia" w:ascii="宋体" w:hAnsi="宋体"/>
                <w:color w:val="auto"/>
                <w:sz w:val="24"/>
                <w:szCs w:val="24"/>
                <w:highlight w:val="none"/>
                <w:lang w:eastAsia="zh-Hans"/>
              </w:rPr>
              <w:t>评教</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教师评学</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教师自评</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学生信息员管理</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课程评价</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专业评价</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专项评价</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8</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教学巡察</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9</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ascii="宋体" w:hAnsi="宋体" w:cs="宋体"/>
                <w:color w:val="auto"/>
                <w:sz w:val="24"/>
                <w:szCs w:val="24"/>
                <w:highlight w:val="none"/>
              </w:rPr>
              <w:t>各类问卷调查</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2370" w:type="dxa"/>
            <w:vMerge w:val="restart"/>
            <w:vAlign w:val="center"/>
          </w:tcPr>
          <w:p>
            <w:pPr>
              <w:jc w:val="center"/>
              <w:rPr>
                <w:rFonts w:ascii="宋体" w:hAnsi="宋体" w:cs="宋体"/>
                <w:color w:val="auto"/>
                <w:sz w:val="21"/>
                <w:szCs w:val="21"/>
                <w:highlight w:val="none"/>
              </w:rPr>
            </w:pPr>
            <w:r>
              <w:rPr>
                <w:rFonts w:hint="eastAsia" w:ascii="宋体" w:hAnsi="宋体" w:cs="宋体"/>
                <w:color w:val="auto"/>
                <w:sz w:val="24"/>
                <w:szCs w:val="24"/>
                <w:highlight w:val="none"/>
                <w:lang w:eastAsia="zh-Hans"/>
              </w:rPr>
              <w:t>教学质量统计分析</w:t>
            </w:r>
            <w:r>
              <w:rPr>
                <w:rFonts w:hint="eastAsia" w:ascii="宋体" w:hAnsi="宋体" w:cs="宋体"/>
                <w:color w:val="auto"/>
                <w:sz w:val="24"/>
                <w:szCs w:val="24"/>
                <w:highlight w:val="none"/>
              </w:rPr>
              <w:t>模块</w:t>
            </w: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cs="仿宋" w:asciiTheme="minorEastAsia" w:hAnsiTheme="minorEastAsia" w:eastAsiaTheme="minorEastAsia"/>
                <w:color w:val="auto"/>
                <w:sz w:val="24"/>
                <w:highlight w:val="none"/>
              </w:rPr>
              <w:t>评教分析</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cs="仿宋" w:asciiTheme="minorEastAsia" w:hAnsiTheme="minorEastAsia" w:eastAsiaTheme="minorEastAsia"/>
                <w:color w:val="auto"/>
                <w:sz w:val="24"/>
                <w:highlight w:val="none"/>
              </w:rPr>
              <w:t>综合分析</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4"/>
                <w:highlight w:val="none"/>
              </w:rPr>
            </w:pPr>
            <w:r>
              <w:rPr>
                <w:rFonts w:hint="eastAsia" w:cs="仿宋" w:asciiTheme="minorEastAsia" w:hAnsiTheme="minorEastAsia" w:eastAsiaTheme="minorEastAsia"/>
                <w:color w:val="auto"/>
                <w:sz w:val="24"/>
                <w:szCs w:val="24"/>
                <w:highlight w:val="none"/>
              </w:rPr>
              <w:t>可视化</w:t>
            </w:r>
            <w:r>
              <w:rPr>
                <w:rFonts w:cs="仿宋" w:asciiTheme="minorEastAsia" w:hAnsiTheme="minorEastAsia" w:eastAsiaTheme="minorEastAsia"/>
                <w:color w:val="auto"/>
                <w:sz w:val="24"/>
                <w:szCs w:val="24"/>
                <w:highlight w:val="none"/>
              </w:rPr>
              <w:t>展示</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13</w:t>
            </w:r>
          </w:p>
        </w:tc>
        <w:tc>
          <w:tcPr>
            <w:tcW w:w="2370" w:type="dxa"/>
            <w:vMerge w:val="continue"/>
            <w:vAlign w:val="center"/>
          </w:tcPr>
          <w:p>
            <w:pPr>
              <w:jc w:val="center"/>
              <w:rPr>
                <w:rFonts w:ascii="宋体" w:hAnsi="宋体" w:cs="宋体"/>
                <w:color w:val="auto"/>
                <w:sz w:val="21"/>
                <w:szCs w:val="21"/>
                <w:highlight w:val="none"/>
              </w:rPr>
            </w:pPr>
          </w:p>
        </w:tc>
        <w:tc>
          <w:tcPr>
            <w:tcW w:w="2314" w:type="dxa"/>
            <w:vAlign w:val="center"/>
          </w:tcPr>
          <w:p>
            <w:pPr>
              <w:pStyle w:val="8"/>
              <w:spacing w:line="240" w:lineRule="auto"/>
              <w:ind w:left="0"/>
              <w:jc w:val="center"/>
              <w:outlineLvl w:val="0"/>
              <w:rPr>
                <w:rFonts w:ascii="宋体" w:hAnsi="宋体" w:cs="宋体"/>
                <w:color w:val="auto"/>
                <w:sz w:val="21"/>
                <w:szCs w:val="21"/>
                <w:highlight w:val="none"/>
              </w:rPr>
            </w:pPr>
            <w:r>
              <w:rPr>
                <w:rFonts w:hint="eastAsia" w:cs="仿宋" w:asciiTheme="minorEastAsia" w:hAnsiTheme="minorEastAsia" w:eastAsiaTheme="minorEastAsia"/>
                <w:color w:val="auto"/>
                <w:sz w:val="24"/>
                <w:highlight w:val="none"/>
              </w:rPr>
              <w:t>分析报告</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14</w:t>
            </w:r>
          </w:p>
        </w:tc>
        <w:tc>
          <w:tcPr>
            <w:tcW w:w="2370" w:type="dxa"/>
            <w:vAlign w:val="center"/>
          </w:tcPr>
          <w:p>
            <w:pPr>
              <w:jc w:val="center"/>
              <w:rPr>
                <w:rFonts w:ascii="宋体" w:hAnsi="宋体" w:cs="宋体"/>
                <w:color w:val="auto"/>
                <w:sz w:val="21"/>
                <w:szCs w:val="21"/>
                <w:highlight w:val="none"/>
              </w:rPr>
            </w:pPr>
            <w:r>
              <w:rPr>
                <w:rFonts w:hint="eastAsia" w:ascii="宋体" w:hAnsi="宋体" w:cs="宋体"/>
                <w:color w:val="auto"/>
                <w:sz w:val="24"/>
                <w:highlight w:val="none"/>
              </w:rPr>
              <w:t>移动终端模块</w:t>
            </w:r>
          </w:p>
        </w:tc>
        <w:tc>
          <w:tcPr>
            <w:tcW w:w="2314" w:type="dxa"/>
            <w:vAlign w:val="center"/>
          </w:tcPr>
          <w:p>
            <w:pPr>
              <w:pStyle w:val="8"/>
              <w:spacing w:line="240" w:lineRule="auto"/>
              <w:ind w:left="0"/>
              <w:jc w:val="center"/>
              <w:outlineLvl w:val="0"/>
              <w:rPr>
                <w:rFonts w:ascii="宋体" w:hAnsi="宋体" w:cs="宋体"/>
                <w:color w:val="auto"/>
                <w:sz w:val="24"/>
                <w:highlight w:val="none"/>
              </w:rPr>
            </w:pPr>
            <w:r>
              <w:rPr>
                <w:rFonts w:hint="eastAsia" w:ascii="宋体" w:hAnsi="宋体" w:cs="宋体"/>
                <w:color w:val="auto"/>
                <w:sz w:val="24"/>
                <w:highlight w:val="none"/>
              </w:rPr>
              <w:t>移动终端</w:t>
            </w:r>
          </w:p>
        </w:tc>
        <w:tc>
          <w:tcPr>
            <w:tcW w:w="123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235" w:type="dxa"/>
            <w:vAlign w:val="center"/>
          </w:tcPr>
          <w:p>
            <w:pPr>
              <w:jc w:val="center"/>
              <w:rPr>
                <w:rFonts w:ascii="宋体" w:hAnsi="宋体" w:cs="宋体"/>
                <w:color w:val="auto"/>
                <w:sz w:val="21"/>
                <w:szCs w:val="21"/>
                <w:highlight w:val="none"/>
              </w:rPr>
            </w:pPr>
          </w:p>
        </w:tc>
        <w:tc>
          <w:tcPr>
            <w:tcW w:w="1235" w:type="dxa"/>
            <w:vAlign w:val="center"/>
          </w:tcPr>
          <w:p>
            <w:pPr>
              <w:jc w:val="center"/>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085" w:type="dxa"/>
            <w:vAlign w:val="center"/>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合计</w:t>
            </w:r>
          </w:p>
        </w:tc>
        <w:tc>
          <w:tcPr>
            <w:tcW w:w="8389" w:type="dxa"/>
            <w:gridSpan w:val="5"/>
            <w:vAlign w:val="center"/>
          </w:tcPr>
          <w:p>
            <w:pPr>
              <w:jc w:val="center"/>
              <w:rPr>
                <w:rFonts w:ascii="宋体" w:hAnsi="宋体" w:cs="宋体"/>
                <w:color w:val="auto"/>
                <w:sz w:val="21"/>
                <w:szCs w:val="21"/>
                <w:highlight w:val="none"/>
              </w:rPr>
            </w:pPr>
          </w:p>
        </w:tc>
      </w:tr>
    </w:tbl>
    <w:p>
      <w:pPr>
        <w:spacing w:line="360" w:lineRule="auto"/>
        <w:ind w:firstLine="480" w:firstLineChars="200"/>
        <w:rPr>
          <w:rFonts w:ascii="宋体" w:hAnsi="宋体" w:cs="宋体"/>
          <w:color w:val="auto"/>
          <w:sz w:val="24"/>
          <w:szCs w:val="28"/>
          <w:highlight w:val="none"/>
        </w:rPr>
      </w:pPr>
    </w:p>
    <w:p>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pPr>
        <w:spacing w:line="360" w:lineRule="auto"/>
        <w:rPr>
          <w:rFonts w:ascii="宋体" w:hAnsi="宋体" w:cs="宋体"/>
          <w:color w:val="auto"/>
          <w:sz w:val="24"/>
          <w:szCs w:val="28"/>
          <w:highlight w:val="none"/>
        </w:rPr>
      </w:pP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1.请投标人完整填写本表；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2.该表可扩展，并逐页签字或盖章。</w:t>
      </w:r>
    </w:p>
    <w:p>
      <w:pPr>
        <w:pStyle w:val="4"/>
        <w:pageBreakBefore/>
        <w:ind w:firstLine="562" w:firstLineChars="200"/>
        <w:rPr>
          <w:rFonts w:cs="宋体"/>
          <w:b/>
          <w:color w:val="auto"/>
          <w:szCs w:val="28"/>
          <w:highlight w:val="none"/>
        </w:rPr>
      </w:pPr>
      <w:bookmarkStart w:id="136" w:name="_Toc493178790"/>
      <w:bookmarkStart w:id="137" w:name="_Toc17345"/>
      <w:bookmarkStart w:id="138" w:name="_Toc21831"/>
      <w:r>
        <w:rPr>
          <w:rFonts w:hint="eastAsia" w:cs="宋体"/>
          <w:b/>
          <w:color w:val="auto"/>
          <w:szCs w:val="28"/>
          <w:highlight w:val="none"/>
        </w:rPr>
        <w:t>二、</w:t>
      </w:r>
      <w:bookmarkEnd w:id="136"/>
      <w:r>
        <w:rPr>
          <w:rFonts w:hint="eastAsia" w:cs="宋体"/>
          <w:b/>
          <w:color w:val="auto"/>
          <w:szCs w:val="28"/>
          <w:highlight w:val="none"/>
        </w:rPr>
        <w:t>服务部分</w:t>
      </w:r>
      <w:bookmarkEnd w:id="137"/>
      <w:bookmarkEnd w:id="138"/>
    </w:p>
    <w:p>
      <w:pPr>
        <w:tabs>
          <w:tab w:val="left" w:pos="6300"/>
        </w:tabs>
        <w:snapToGrid w:val="0"/>
        <w:spacing w:line="360" w:lineRule="auto"/>
        <w:ind w:firstLine="570"/>
        <w:rPr>
          <w:rFonts w:ascii="宋体" w:hAnsi="宋体" w:cs="宋体"/>
          <w:color w:val="auto"/>
          <w:szCs w:val="24"/>
          <w:highlight w:val="none"/>
        </w:rPr>
      </w:pPr>
      <w:r>
        <w:rPr>
          <w:rFonts w:hint="eastAsia" w:ascii="宋体" w:hAnsi="宋体" w:cs="宋体"/>
          <w:color w:val="auto"/>
          <w:szCs w:val="24"/>
          <w:highlight w:val="none"/>
        </w:rPr>
        <w:t>（一）服务方案（格式自定）</w:t>
      </w:r>
    </w:p>
    <w:p>
      <w:pPr>
        <w:tabs>
          <w:tab w:val="left" w:pos="6300"/>
        </w:tabs>
        <w:snapToGrid w:val="0"/>
        <w:spacing w:line="360" w:lineRule="auto"/>
        <w:ind w:firstLine="570"/>
        <w:rPr>
          <w:rFonts w:ascii="宋体" w:hAnsi="宋体" w:cs="宋体"/>
          <w:color w:val="auto"/>
          <w:szCs w:val="24"/>
          <w:highlight w:val="none"/>
        </w:rPr>
      </w:pPr>
    </w:p>
    <w:p>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24"/>
          <w:highlight w:val="none"/>
        </w:rPr>
        <w:br w:type="page"/>
      </w:r>
      <w:r>
        <w:rPr>
          <w:rFonts w:hint="eastAsia" w:ascii="宋体" w:hAnsi="宋体" w:cs="宋体"/>
          <w:color w:val="auto"/>
          <w:sz w:val="24"/>
          <w:szCs w:val="28"/>
          <w:highlight w:val="none"/>
        </w:rPr>
        <w:t>（二）服务响应偏离表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招标要求</w:t>
            </w: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投标应答</w:t>
            </w: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bl>
    <w:p>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w:t>
      </w:r>
    </w:p>
    <w:p>
      <w:pPr>
        <w:spacing w:line="360" w:lineRule="auto"/>
        <w:ind w:firstLine="720" w:firstLineChars="300"/>
        <w:rPr>
          <w:rFonts w:ascii="宋体" w:hAnsi="宋体" w:cs="宋体"/>
          <w:color w:val="auto"/>
          <w:sz w:val="24"/>
          <w:szCs w:val="28"/>
          <w:highlight w:val="none"/>
        </w:rPr>
      </w:pPr>
      <w:r>
        <w:rPr>
          <w:rFonts w:hint="eastAsia" w:ascii="宋体" w:hAnsi="宋体" w:cs="宋体"/>
          <w:color w:val="auto"/>
          <w:sz w:val="24"/>
          <w:szCs w:val="28"/>
          <w:highlight w:val="none"/>
        </w:rPr>
        <w:t>（投标人公章）                               （签字或盖章）</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szCs w:val="28"/>
          <w:highlight w:val="none"/>
        </w:rPr>
        <w:t xml:space="preserve">                                            年     月     日</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注：</w:t>
      </w:r>
    </w:p>
    <w:p>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1.本表即为对本项目“第二篇  项目服务需求”中所列条款进行比较和响应，应逐条如实填写，“投标应答”中必须列出具体数值或内容。如投标人未应答或只注明“符合”、“满足”等类似无具体内容的表述，将视为不满足招标文件要求；</w:t>
      </w:r>
    </w:p>
    <w:p>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2.本表可扩展</w:t>
      </w:r>
      <w:r>
        <w:rPr>
          <w:rFonts w:hint="eastAsia" w:ascii="宋体" w:hAnsi="宋体" w:cs="宋体"/>
          <w:color w:val="auto"/>
          <w:sz w:val="24"/>
          <w:szCs w:val="28"/>
          <w:highlight w:val="none"/>
        </w:rPr>
        <w:t>，并逐页签字或盖章</w:t>
      </w:r>
      <w:r>
        <w:rPr>
          <w:rFonts w:hint="eastAsia" w:ascii="宋体" w:hAnsi="宋体" w:cs="宋体"/>
          <w:color w:val="auto"/>
          <w:sz w:val="24"/>
          <w:szCs w:val="24"/>
          <w:highlight w:val="none"/>
        </w:rPr>
        <w:t>；</w:t>
      </w:r>
    </w:p>
    <w:p>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3.可附相关技术支撑材料。（格式自定）</w:t>
      </w:r>
    </w:p>
    <w:p>
      <w:pPr>
        <w:snapToGrid w:val="0"/>
        <w:spacing w:line="360" w:lineRule="auto"/>
        <w:ind w:firstLine="480" w:firstLineChars="200"/>
        <w:rPr>
          <w:rFonts w:ascii="宋体" w:hAnsi="宋体" w:cs="宋体"/>
          <w:color w:val="auto"/>
          <w:sz w:val="24"/>
          <w:szCs w:val="28"/>
          <w:highlight w:val="none"/>
        </w:rPr>
      </w:pPr>
    </w:p>
    <w:p>
      <w:pPr>
        <w:pStyle w:val="4"/>
        <w:pageBreakBefore/>
        <w:ind w:firstLine="562" w:firstLineChars="200"/>
        <w:rPr>
          <w:rFonts w:cs="宋体"/>
          <w:b/>
          <w:color w:val="auto"/>
          <w:szCs w:val="28"/>
          <w:highlight w:val="none"/>
        </w:rPr>
      </w:pPr>
      <w:bookmarkStart w:id="139" w:name="_Toc10396"/>
      <w:bookmarkStart w:id="140" w:name="_Toc492721039"/>
      <w:bookmarkStart w:id="141" w:name="_Toc4644"/>
      <w:bookmarkStart w:id="142" w:name="_Toc493178791"/>
      <w:r>
        <w:rPr>
          <w:rFonts w:hint="eastAsia" w:cs="宋体"/>
          <w:b/>
          <w:color w:val="auto"/>
          <w:szCs w:val="28"/>
          <w:highlight w:val="none"/>
        </w:rPr>
        <w:t>三、商务文件</w:t>
      </w:r>
      <w:bookmarkEnd w:id="139"/>
      <w:bookmarkEnd w:id="140"/>
      <w:bookmarkEnd w:id="141"/>
      <w:bookmarkEnd w:id="142"/>
    </w:p>
    <w:p>
      <w:pPr>
        <w:snapToGrid w:val="0"/>
        <w:spacing w:before="120" w:beforeLines="50" w:line="360" w:lineRule="auto"/>
        <w:jc w:val="center"/>
        <w:rPr>
          <w:rFonts w:ascii="宋体" w:hAnsi="宋体" w:cs="宋体"/>
          <w:color w:val="auto"/>
          <w:szCs w:val="28"/>
          <w:highlight w:val="none"/>
        </w:rPr>
      </w:pPr>
      <w:r>
        <w:rPr>
          <w:rFonts w:hint="eastAsia" w:ascii="宋体" w:hAnsi="宋体" w:cs="宋体"/>
          <w:color w:val="auto"/>
          <w:szCs w:val="28"/>
          <w:highlight w:val="none"/>
        </w:rPr>
        <w:t>（一）投标函（格式）</w:t>
      </w:r>
    </w:p>
    <w:p>
      <w:pPr>
        <w:spacing w:line="360" w:lineRule="auto"/>
        <w:rPr>
          <w:rFonts w:ascii="宋体" w:hAnsi="宋体" w:cs="宋体"/>
          <w:color w:val="auto"/>
          <w:sz w:val="24"/>
          <w:szCs w:val="28"/>
          <w:highlight w:val="none"/>
        </w:rPr>
      </w:pPr>
    </w:p>
    <w:p>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招标项目名称：                                             </w:t>
      </w:r>
    </w:p>
    <w:p>
      <w:pPr>
        <w:spacing w:line="360" w:lineRule="auto"/>
        <w:rPr>
          <w:rFonts w:ascii="宋体" w:hAnsi="宋体" w:cs="宋体"/>
          <w:color w:val="auto"/>
          <w:sz w:val="24"/>
          <w:szCs w:val="28"/>
          <w:highlight w:val="none"/>
        </w:rPr>
      </w:pPr>
    </w:p>
    <w:p>
      <w:p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致：                    （采购</w:t>
      </w:r>
      <w:r>
        <w:rPr>
          <w:rFonts w:hint="eastAsia" w:ascii="宋体" w:hAnsi="宋体" w:cs="宋体"/>
          <w:color w:val="auto"/>
          <w:sz w:val="24"/>
          <w:szCs w:val="28"/>
          <w:highlight w:val="none"/>
          <w:lang w:eastAsia="zh-CN"/>
        </w:rPr>
        <w:t>人</w:t>
      </w:r>
      <w:r>
        <w:rPr>
          <w:rFonts w:hint="eastAsia" w:ascii="宋体" w:hAnsi="宋体" w:cs="宋体"/>
          <w:color w:val="auto"/>
          <w:sz w:val="24"/>
          <w:szCs w:val="28"/>
          <w:highlight w:val="none"/>
        </w:rPr>
        <w:t>名称）：</w:t>
      </w:r>
    </w:p>
    <w:p>
      <w:pPr>
        <w:snapToGrid w:val="0"/>
        <w:spacing w:before="120" w:beforeLines="50"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（投标人名称）系中华人民共和国合法企业，注册地址：                               。我方就参加本次投标有关事项郑重声明如下：</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一、我方完全理解并接受该项目招标文件所有要求。</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二、我方提交的所有投标文件、资料都是准确和真实的，如有虚假或隐瞒，我方愿意承担一切法律责任。</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三、我方承诺按照招标文件要求，提供招标项目的技术服务。</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四、我方按招标文件要求提交的投标文件为：投标文件正本1份，副本  份，电子文档  份。</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五、我方承诺：本次投标的投标有效期为</w:t>
      </w:r>
      <w:r>
        <w:rPr>
          <w:rFonts w:hint="eastAsia" w:ascii="宋体" w:hAnsi="宋体" w:cs="宋体"/>
          <w:color w:val="auto"/>
          <w:sz w:val="24"/>
          <w:highlight w:val="none"/>
        </w:rPr>
        <w:t>投标截止时间</w:t>
      </w:r>
      <w:r>
        <w:rPr>
          <w:rFonts w:hint="eastAsia" w:ascii="宋体" w:hAnsi="宋体" w:cs="宋体"/>
          <w:color w:val="auto"/>
          <w:sz w:val="24"/>
          <w:szCs w:val="28"/>
          <w:highlight w:val="none"/>
        </w:rPr>
        <w:t>起90天。</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六、我方投标报价为闭口价。即在投标有效期和合同有效期内，该报价固定不变。</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七、如果我方中标，我方将履行招标文件中规定的各项要求以及我方投标文件的各项承诺，按《中华人民共和国政府采购法》、《中华人民共和国民法典》及合同约定条款承担我方责任。</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八、我方未</w:t>
      </w:r>
      <w:r>
        <w:rPr>
          <w:rFonts w:hint="eastAsia" w:ascii="宋体" w:hAnsi="宋体" w:cs="宋体"/>
          <w:color w:val="auto"/>
          <w:sz w:val="24"/>
          <w:szCs w:val="24"/>
          <w:highlight w:val="none"/>
        </w:rPr>
        <w:t>为采购项目提供整体设计、规范编制或者项目管理、监理、检测等服务。</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九、我方理解，最低报价不是中标的唯一条件。</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十、我方同意按有关规定及招标文件要求，交纳足额投标保证金。</w:t>
      </w:r>
    </w:p>
    <w:p>
      <w:pPr>
        <w:tabs>
          <w:tab w:val="left" w:pos="6300"/>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十一、若我方中标，愿意按有关规定及招标文件要求缴纳招标代理服务费和交易服务费。</w:t>
      </w:r>
    </w:p>
    <w:p>
      <w:pPr>
        <w:tabs>
          <w:tab w:val="left" w:pos="6300"/>
        </w:tabs>
        <w:snapToGrid w:val="0"/>
        <w:spacing w:line="360" w:lineRule="auto"/>
        <w:ind w:firstLine="5460" w:firstLineChars="2275"/>
        <w:rPr>
          <w:rFonts w:ascii="宋体" w:hAnsi="宋体" w:cs="宋体"/>
          <w:color w:val="auto"/>
          <w:sz w:val="24"/>
          <w:szCs w:val="28"/>
          <w:highlight w:val="none"/>
        </w:rPr>
      </w:pPr>
      <w:r>
        <w:rPr>
          <w:rFonts w:hint="eastAsia" w:ascii="宋体" w:hAnsi="宋体" w:cs="宋体"/>
          <w:color w:val="auto"/>
          <w:sz w:val="24"/>
          <w:szCs w:val="28"/>
          <w:highlight w:val="none"/>
        </w:rPr>
        <w:t>（投标人公章签字）</w:t>
      </w:r>
    </w:p>
    <w:p>
      <w:pPr>
        <w:tabs>
          <w:tab w:val="left" w:pos="6300"/>
        </w:tabs>
        <w:snapToGrid w:val="0"/>
        <w:spacing w:line="360" w:lineRule="auto"/>
        <w:ind w:firstLine="570"/>
        <w:rPr>
          <w:rFonts w:ascii="宋体" w:hAnsi="宋体" w:cs="宋体"/>
          <w:color w:val="auto"/>
          <w:sz w:val="24"/>
          <w:szCs w:val="28"/>
          <w:highlight w:val="none"/>
        </w:rPr>
      </w:pPr>
    </w:p>
    <w:p>
      <w:pPr>
        <w:tabs>
          <w:tab w:val="left" w:pos="6300"/>
        </w:tabs>
        <w:snapToGrid w:val="0"/>
        <w:spacing w:line="360" w:lineRule="auto"/>
        <w:ind w:firstLine="5760" w:firstLineChars="2400"/>
        <w:rPr>
          <w:rFonts w:ascii="宋体" w:hAnsi="宋体" w:cs="宋体"/>
          <w:color w:val="auto"/>
          <w:szCs w:val="28"/>
          <w:highlight w:val="none"/>
        </w:rPr>
      </w:pPr>
      <w:r>
        <w:rPr>
          <w:rFonts w:hint="eastAsia" w:ascii="宋体" w:hAnsi="宋体" w:cs="宋体"/>
          <w:color w:val="auto"/>
          <w:sz w:val="24"/>
          <w:szCs w:val="28"/>
          <w:highlight w:val="none"/>
        </w:rPr>
        <w:t>年    月   日</w:t>
      </w:r>
    </w:p>
    <w:p>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44"/>
          <w:highlight w:val="none"/>
        </w:rPr>
        <w:br w:type="page"/>
      </w:r>
      <w:r>
        <w:rPr>
          <w:rFonts w:hint="eastAsia" w:ascii="宋体" w:hAnsi="宋体" w:cs="宋体"/>
          <w:color w:val="auto"/>
          <w:sz w:val="24"/>
          <w:szCs w:val="28"/>
          <w:highlight w:val="none"/>
        </w:rPr>
        <w:t>（二）商务响应偏离表</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项目编号：</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招标商务要求</w:t>
            </w: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投标商务应答</w:t>
            </w: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r>
              <w:rPr>
                <w:rFonts w:hint="eastAsia" w:ascii="宋体" w:hAnsi="宋体" w:cs="宋体"/>
                <w:color w:val="auto"/>
                <w:sz w:val="21"/>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969"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3081"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c>
          <w:tcPr>
            <w:tcW w:w="2307" w:type="dxa"/>
            <w:vAlign w:val="center"/>
          </w:tcPr>
          <w:p>
            <w:pPr>
              <w:tabs>
                <w:tab w:val="left" w:pos="6300"/>
              </w:tabs>
              <w:snapToGrid w:val="0"/>
              <w:spacing w:line="360" w:lineRule="auto"/>
              <w:jc w:val="center"/>
              <w:outlineLvl w:val="0"/>
              <w:rPr>
                <w:rFonts w:ascii="宋体" w:hAnsi="宋体" w:cs="宋体"/>
                <w:color w:val="auto"/>
                <w:sz w:val="21"/>
                <w:szCs w:val="21"/>
                <w:highlight w:val="none"/>
              </w:rPr>
            </w:pPr>
          </w:p>
        </w:tc>
      </w:tr>
    </w:tbl>
    <w:p>
      <w:pPr>
        <w:spacing w:line="360" w:lineRule="auto"/>
        <w:ind w:firstLine="600" w:firstLineChars="250"/>
        <w:rPr>
          <w:rFonts w:ascii="宋体" w:hAnsi="宋体" w:cs="宋体"/>
          <w:color w:val="auto"/>
          <w:sz w:val="24"/>
          <w:szCs w:val="28"/>
          <w:highlight w:val="none"/>
        </w:rPr>
      </w:pPr>
    </w:p>
    <w:p>
      <w:pPr>
        <w:spacing w:line="360" w:lineRule="auto"/>
        <w:ind w:firstLine="600" w:firstLineChars="250"/>
        <w:rPr>
          <w:rFonts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w:t>
      </w:r>
    </w:p>
    <w:p>
      <w:pPr>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（投标人公章）                               （签字或盖章）</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szCs w:val="28"/>
          <w:highlight w:val="none"/>
        </w:rPr>
        <w:t xml:space="preserve">                                            年     月     日</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注：</w:t>
      </w:r>
    </w:p>
    <w:p>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1.本表即为对本项目“第三篇 项目商务要求”中所列条款进行比较和响应，应逐条如实填写，“投标商务应答”中必须列出具体数值或内容。如投标人未应答或只注明“符合”、“满足”等类似无具体内容的表述，将视为不满足招标文件要求；</w:t>
      </w:r>
    </w:p>
    <w:p>
      <w:pPr>
        <w:tabs>
          <w:tab w:val="left" w:pos="6300"/>
        </w:tabs>
        <w:snapToGrid w:val="0"/>
        <w:spacing w:line="360" w:lineRule="auto"/>
        <w:ind w:firstLine="570"/>
        <w:rPr>
          <w:rFonts w:ascii="宋体" w:hAnsi="宋体" w:cs="宋体"/>
          <w:color w:val="auto"/>
          <w:sz w:val="24"/>
          <w:szCs w:val="24"/>
          <w:highlight w:val="none"/>
        </w:rPr>
      </w:pPr>
      <w:r>
        <w:rPr>
          <w:rFonts w:hint="eastAsia" w:ascii="宋体" w:hAnsi="宋体" w:cs="宋体"/>
          <w:color w:val="auto"/>
          <w:sz w:val="24"/>
          <w:szCs w:val="24"/>
          <w:highlight w:val="none"/>
        </w:rPr>
        <w:t>2.本表可扩展</w:t>
      </w:r>
      <w:r>
        <w:rPr>
          <w:rFonts w:hint="eastAsia" w:ascii="宋体" w:hAnsi="宋体" w:cs="宋体"/>
          <w:color w:val="auto"/>
          <w:sz w:val="24"/>
          <w:szCs w:val="28"/>
          <w:highlight w:val="none"/>
        </w:rPr>
        <w:t>，并逐页签字或盖章</w:t>
      </w:r>
      <w:r>
        <w:rPr>
          <w:rFonts w:hint="eastAsia" w:ascii="宋体" w:hAnsi="宋体" w:cs="宋体"/>
          <w:color w:val="auto"/>
          <w:sz w:val="24"/>
          <w:szCs w:val="24"/>
          <w:highlight w:val="none"/>
        </w:rPr>
        <w:t>。</w:t>
      </w:r>
    </w:p>
    <w:p>
      <w:pPr>
        <w:snapToGrid w:val="0"/>
        <w:spacing w:line="360" w:lineRule="auto"/>
        <w:ind w:firstLine="560" w:firstLineChars="200"/>
        <w:rPr>
          <w:rFonts w:ascii="宋体" w:hAnsi="宋体" w:cs="宋体"/>
          <w:color w:val="auto"/>
          <w:sz w:val="24"/>
          <w:szCs w:val="28"/>
          <w:highlight w:val="none"/>
        </w:rPr>
      </w:pPr>
      <w:r>
        <w:rPr>
          <w:rFonts w:hint="eastAsia" w:ascii="宋体" w:hAnsi="宋体" w:cs="宋体"/>
          <w:color w:val="auto"/>
          <w:szCs w:val="28"/>
          <w:highlight w:val="none"/>
        </w:rPr>
        <w:br w:type="page"/>
      </w:r>
      <w:r>
        <w:rPr>
          <w:rFonts w:hint="eastAsia" w:ascii="宋体" w:hAnsi="宋体" w:cs="宋体"/>
          <w:color w:val="auto"/>
          <w:sz w:val="24"/>
          <w:szCs w:val="28"/>
          <w:highlight w:val="none"/>
        </w:rPr>
        <w:t>（三）商务承诺（包括但不限于）：</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1.质保期；</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2.售后服务能力情况；</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3.履约能力证明文件。</w:t>
      </w:r>
    </w:p>
    <w:p>
      <w:pPr>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4.售后服务承诺（格式自定）</w:t>
      </w:r>
    </w:p>
    <w:p>
      <w:pPr>
        <w:tabs>
          <w:tab w:val="left" w:pos="6300"/>
        </w:tabs>
        <w:snapToGrid w:val="0"/>
        <w:spacing w:line="360" w:lineRule="auto"/>
        <w:ind w:firstLine="560"/>
        <w:rPr>
          <w:rFonts w:ascii="宋体" w:hAnsi="宋体" w:cs="宋体"/>
          <w:color w:val="auto"/>
          <w:szCs w:val="28"/>
          <w:highlight w:val="none"/>
        </w:rPr>
      </w:pPr>
      <w:r>
        <w:rPr>
          <w:rFonts w:hint="eastAsia" w:ascii="宋体" w:hAnsi="宋体" w:cs="宋体"/>
          <w:color w:val="auto"/>
          <w:szCs w:val="28"/>
          <w:highlight w:val="none"/>
        </w:rPr>
        <w:t xml:space="preserve"> </w:t>
      </w:r>
    </w:p>
    <w:p>
      <w:pPr>
        <w:pStyle w:val="4"/>
        <w:pageBreakBefore/>
        <w:ind w:firstLine="562" w:firstLineChars="200"/>
        <w:rPr>
          <w:rFonts w:cs="宋体"/>
          <w:b/>
          <w:color w:val="auto"/>
          <w:szCs w:val="28"/>
          <w:highlight w:val="none"/>
        </w:rPr>
      </w:pPr>
      <w:bookmarkStart w:id="143" w:name="_Toc492721041"/>
      <w:bookmarkStart w:id="144" w:name="_Toc493178792"/>
      <w:bookmarkStart w:id="145" w:name="_Toc24756"/>
      <w:bookmarkStart w:id="146" w:name="_Toc30060"/>
      <w:r>
        <w:rPr>
          <w:rFonts w:hint="eastAsia" w:cs="宋体"/>
          <w:b/>
          <w:color w:val="auto"/>
          <w:szCs w:val="28"/>
          <w:highlight w:val="none"/>
        </w:rPr>
        <w:t>四、其他</w:t>
      </w:r>
      <w:bookmarkEnd w:id="143"/>
      <w:bookmarkEnd w:id="144"/>
      <w:bookmarkEnd w:id="145"/>
      <w:bookmarkEnd w:id="146"/>
    </w:p>
    <w:p>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（一）其他与项目有关的资料（自附）</w:t>
      </w:r>
    </w:p>
    <w:p>
      <w:pPr>
        <w:pStyle w:val="4"/>
        <w:pageBreakBefore/>
        <w:ind w:firstLine="562" w:firstLineChars="200"/>
        <w:rPr>
          <w:rFonts w:cs="宋体"/>
          <w:b/>
          <w:color w:val="auto"/>
          <w:szCs w:val="28"/>
          <w:highlight w:val="none"/>
        </w:rPr>
      </w:pPr>
      <w:bookmarkStart w:id="147" w:name="_Toc6084"/>
      <w:bookmarkStart w:id="148" w:name="_Toc493178793"/>
      <w:bookmarkStart w:id="149" w:name="_Toc492721038"/>
      <w:bookmarkStart w:id="150" w:name="_Toc6077"/>
      <w:r>
        <w:rPr>
          <w:rFonts w:hint="eastAsia" w:cs="宋体"/>
          <w:b/>
          <w:color w:val="auto"/>
          <w:szCs w:val="28"/>
          <w:highlight w:val="none"/>
        </w:rPr>
        <w:t>五、资格文件</w:t>
      </w:r>
      <w:bookmarkEnd w:id="147"/>
      <w:bookmarkEnd w:id="148"/>
      <w:bookmarkEnd w:id="149"/>
      <w:bookmarkEnd w:id="150"/>
    </w:p>
    <w:p>
      <w:pPr>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（一）企业法人营业执照（副本）</w:t>
      </w:r>
    </w:p>
    <w:p>
      <w:pPr>
        <w:tabs>
          <w:tab w:val="left" w:pos="6300"/>
        </w:tabs>
        <w:snapToGrid w:val="0"/>
        <w:spacing w:line="360" w:lineRule="auto"/>
        <w:ind w:firstLine="570"/>
        <w:rPr>
          <w:rFonts w:ascii="宋体" w:hAnsi="宋体" w:cs="宋体"/>
          <w:color w:val="auto"/>
          <w:highlight w:val="none"/>
        </w:rPr>
      </w:pPr>
    </w:p>
    <w:p>
      <w:pPr>
        <w:tabs>
          <w:tab w:val="left" w:pos="6300"/>
        </w:tabs>
        <w:snapToGrid w:val="0"/>
        <w:spacing w:line="360" w:lineRule="auto"/>
        <w:ind w:firstLine="570"/>
        <w:rPr>
          <w:rFonts w:ascii="宋体" w:hAnsi="宋体" w:cs="宋体"/>
          <w:color w:val="auto"/>
          <w:highlight w:val="none"/>
        </w:rPr>
      </w:pPr>
    </w:p>
    <w:p>
      <w:pPr>
        <w:tabs>
          <w:tab w:val="left" w:pos="6300"/>
        </w:tabs>
        <w:snapToGrid w:val="0"/>
        <w:spacing w:line="360" w:lineRule="auto"/>
        <w:ind w:firstLine="570"/>
        <w:rPr>
          <w:rFonts w:ascii="宋体" w:hAnsi="宋体" w:cs="宋体"/>
          <w:color w:val="auto"/>
          <w:highlight w:val="none"/>
        </w:rPr>
      </w:pPr>
    </w:p>
    <w:p>
      <w:pPr>
        <w:tabs>
          <w:tab w:val="left" w:pos="6300"/>
        </w:tabs>
        <w:snapToGrid w:val="0"/>
        <w:spacing w:line="360" w:lineRule="auto"/>
        <w:ind w:firstLine="570"/>
        <w:rPr>
          <w:rFonts w:ascii="宋体" w:hAnsi="宋体" w:cs="宋体"/>
          <w:color w:val="auto"/>
          <w:highlight w:val="none"/>
        </w:rPr>
      </w:pPr>
    </w:p>
    <w:p>
      <w:pPr>
        <w:tabs>
          <w:tab w:val="left" w:pos="6300"/>
        </w:tabs>
        <w:snapToGrid w:val="0"/>
        <w:spacing w:line="360" w:lineRule="auto"/>
        <w:ind w:firstLine="570"/>
        <w:rPr>
          <w:rFonts w:ascii="宋体" w:hAnsi="宋体" w:cs="宋体"/>
          <w:color w:val="auto"/>
          <w:highlight w:val="none"/>
        </w:rPr>
      </w:pPr>
    </w:p>
    <w:p>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page"/>
      </w:r>
      <w:r>
        <w:rPr>
          <w:rFonts w:hint="eastAsia" w:ascii="宋体" w:hAnsi="宋体" w:cs="宋体"/>
          <w:color w:val="auto"/>
          <w:sz w:val="24"/>
          <w:szCs w:val="28"/>
          <w:highlight w:val="none"/>
        </w:rPr>
        <w:t>（二）法定代表人身份证明书（格式）</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招标项目名称：                                                </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致：                     （采购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名称）：</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（法定代表人姓名）在                       （投标人名称）任    （职务名称）职务，是（投标人名称）              的法定代表人。</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特此证明。</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投标人：</w:t>
      </w:r>
    </w:p>
    <w:p>
      <w:pPr>
        <w:tabs>
          <w:tab w:val="left" w:pos="6300"/>
        </w:tabs>
        <w:snapToGrid w:val="0"/>
        <w:spacing w:line="360" w:lineRule="auto"/>
        <w:ind w:firstLine="5848" w:firstLineChars="2437"/>
        <w:rPr>
          <w:rFonts w:ascii="宋体" w:hAnsi="宋体" w:cs="宋体"/>
          <w:color w:val="auto"/>
          <w:sz w:val="24"/>
          <w:highlight w:val="none"/>
        </w:rPr>
      </w:pPr>
      <w:r>
        <w:rPr>
          <w:rFonts w:hint="eastAsia" w:ascii="宋体" w:hAnsi="宋体" w:cs="宋体"/>
          <w:color w:val="auto"/>
          <w:sz w:val="24"/>
          <w:highlight w:val="none"/>
        </w:rPr>
        <w:t>（投标人公章）</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年   月   日</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法定代表人电话：              电子邮箱：    （若授权他人办理并签署投标文件的可不填写）</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（附：法定代表人身份证正反面复印件）</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（三）法定代表人授权委托书（格式）</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w:t>
      </w:r>
    </w:p>
    <w:p>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8"/>
          <w:highlight w:val="none"/>
        </w:rPr>
        <w:t>招标项目名称</w:t>
      </w:r>
      <w:r>
        <w:rPr>
          <w:rFonts w:hint="eastAsia" w:ascii="宋体" w:hAnsi="宋体" w:cs="宋体"/>
          <w:color w:val="auto"/>
          <w:sz w:val="24"/>
          <w:highlight w:val="none"/>
        </w:rPr>
        <w:t xml:space="preserve">：                                                </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致：                     （采购</w:t>
      </w:r>
      <w:r>
        <w:rPr>
          <w:rFonts w:hint="eastAsia" w:ascii="宋体" w:hAnsi="宋体" w:cs="宋体"/>
          <w:color w:val="auto"/>
          <w:sz w:val="24"/>
          <w:highlight w:val="none"/>
          <w:lang w:eastAsia="zh-CN"/>
        </w:rPr>
        <w:t>人</w:t>
      </w:r>
      <w:r>
        <w:rPr>
          <w:rFonts w:hint="eastAsia" w:ascii="宋体" w:hAnsi="宋体" w:cs="宋体"/>
          <w:color w:val="auto"/>
          <w:sz w:val="24"/>
          <w:highlight w:val="none"/>
        </w:rPr>
        <w:t>名称）：</w:t>
      </w:r>
    </w:p>
    <w:p>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（投标人法定代表人名称）是                    （投标人名称）的法定代表人，特授权          （被授权人姓名及身份证代码）代表我单位全权办理上述项目的投标、谈判、签约等具体工作，并签署全部有关文件、协议及合同。</w:t>
      </w:r>
    </w:p>
    <w:p>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我单位对被授权人的签字负全部责任。</w:t>
      </w:r>
    </w:p>
    <w:p>
      <w:pPr>
        <w:tabs>
          <w:tab w:val="left" w:pos="630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被授权人：                                 投标人法定代表人：</w:t>
      </w:r>
    </w:p>
    <w:p>
      <w:pPr>
        <w:tabs>
          <w:tab w:val="left" w:pos="6300"/>
        </w:tabs>
        <w:snapToGrid w:val="0"/>
        <w:spacing w:line="360" w:lineRule="auto"/>
        <w:ind w:firstLine="570"/>
        <w:rPr>
          <w:rFonts w:ascii="宋体" w:hAnsi="宋体" w:cs="宋体"/>
          <w:color w:val="auto"/>
          <w:sz w:val="24"/>
          <w:szCs w:val="28"/>
          <w:highlight w:val="none"/>
        </w:rPr>
      </w:pPr>
      <w:r>
        <w:rPr>
          <w:rFonts w:hint="eastAsia" w:ascii="宋体" w:hAnsi="宋体" w:cs="宋体"/>
          <w:color w:val="auto"/>
          <w:sz w:val="24"/>
          <w:szCs w:val="28"/>
          <w:highlight w:val="none"/>
        </w:rPr>
        <w:t>（签字或盖章）                                （签字或盖章）</w:t>
      </w:r>
    </w:p>
    <w:p>
      <w:pPr>
        <w:tabs>
          <w:tab w:val="left" w:pos="6300"/>
        </w:tabs>
        <w:snapToGrid w:val="0"/>
        <w:spacing w:line="360" w:lineRule="auto"/>
        <w:ind w:firstLine="570"/>
        <w:rPr>
          <w:rFonts w:ascii="宋体" w:hAnsi="宋体" w:cs="宋体"/>
          <w:color w:val="auto"/>
          <w:sz w:val="24"/>
          <w:szCs w:val="28"/>
          <w:highlight w:val="none"/>
        </w:rPr>
      </w:pP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（附：被授权人身份证正反面复印件）</w:t>
      </w:r>
    </w:p>
    <w:p>
      <w:pPr>
        <w:tabs>
          <w:tab w:val="left" w:pos="6300"/>
        </w:tabs>
        <w:snapToGrid w:val="0"/>
        <w:spacing w:line="360" w:lineRule="auto"/>
        <w:ind w:firstLine="570"/>
        <w:rPr>
          <w:rFonts w:ascii="宋体" w:hAnsi="宋体" w:cs="宋体"/>
          <w:color w:val="auto"/>
          <w:sz w:val="24"/>
          <w:highlight w:val="none"/>
        </w:rPr>
      </w:pPr>
      <w:r>
        <w:rPr>
          <w:rFonts w:hint="eastAsia" w:ascii="宋体" w:hAnsi="宋体" w:cs="宋体"/>
          <w:color w:val="auto"/>
          <w:sz w:val="24"/>
          <w:highlight w:val="none"/>
        </w:rPr>
        <w:t xml:space="preserve">                                          </w:t>
      </w:r>
    </w:p>
    <w:p>
      <w:pPr>
        <w:tabs>
          <w:tab w:val="left" w:pos="6300"/>
        </w:tabs>
        <w:snapToGrid w:val="0"/>
        <w:spacing w:line="360" w:lineRule="auto"/>
        <w:ind w:firstLine="570"/>
        <w:rPr>
          <w:rFonts w:ascii="宋体" w:hAnsi="宋体" w:cs="宋体"/>
          <w:color w:val="auto"/>
          <w:sz w:val="24"/>
          <w:highlight w:val="none"/>
        </w:rPr>
      </w:pPr>
    </w:p>
    <w:p>
      <w:pPr>
        <w:tabs>
          <w:tab w:val="left" w:pos="6300"/>
        </w:tabs>
        <w:snapToGrid w:val="0"/>
        <w:spacing w:line="360" w:lineRule="auto"/>
        <w:ind w:right="480" w:firstLine="570"/>
        <w:jc w:val="right"/>
        <w:rPr>
          <w:rFonts w:ascii="宋体" w:hAnsi="宋体" w:cs="宋体"/>
          <w:color w:val="auto"/>
          <w:sz w:val="24"/>
          <w:highlight w:val="none"/>
        </w:rPr>
      </w:pPr>
      <w:r>
        <w:rPr>
          <w:rFonts w:hint="eastAsia" w:ascii="宋体" w:hAnsi="宋体" w:cs="宋体"/>
          <w:color w:val="auto"/>
          <w:sz w:val="24"/>
          <w:highlight w:val="none"/>
        </w:rPr>
        <w:t>（投标人公章）</w:t>
      </w:r>
    </w:p>
    <w:p>
      <w:pPr>
        <w:tabs>
          <w:tab w:val="left" w:pos="6300"/>
        </w:tabs>
        <w:snapToGrid w:val="0"/>
        <w:spacing w:line="360" w:lineRule="auto"/>
        <w:ind w:right="480" w:firstLine="570"/>
        <w:jc w:val="right"/>
        <w:rPr>
          <w:rFonts w:ascii="宋体" w:hAnsi="宋体" w:cs="宋体"/>
          <w:color w:val="auto"/>
          <w:sz w:val="24"/>
          <w:highlight w:val="none"/>
        </w:rPr>
      </w:pPr>
      <w:r>
        <w:rPr>
          <w:rFonts w:hint="eastAsia" w:ascii="宋体" w:hAnsi="宋体" w:cs="宋体"/>
          <w:color w:val="auto"/>
          <w:sz w:val="24"/>
          <w:highlight w:val="none"/>
        </w:rPr>
        <w:t>年   月   日</w:t>
      </w:r>
    </w:p>
    <w:p>
      <w:pPr>
        <w:tabs>
          <w:tab w:val="left" w:pos="6300"/>
        </w:tabs>
        <w:snapToGrid w:val="0"/>
        <w:spacing w:line="360" w:lineRule="auto"/>
        <w:ind w:right="720" w:firstLine="570"/>
        <w:jc w:val="right"/>
        <w:rPr>
          <w:rFonts w:ascii="宋体" w:hAnsi="宋体" w:cs="宋体"/>
          <w:color w:val="auto"/>
          <w:sz w:val="24"/>
          <w:highlight w:val="none"/>
        </w:rPr>
      </w:pPr>
    </w:p>
    <w:p>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被授权人电话：XXXXXXX     电子邮箱：XXXXXX@XXXXX（若法定代表人办理并签署投标文件的可不填写）</w:t>
      </w:r>
    </w:p>
    <w:p>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注：</w:t>
      </w:r>
    </w:p>
    <w:p>
      <w:pPr>
        <w:tabs>
          <w:tab w:val="left" w:pos="6300"/>
        </w:tabs>
        <w:snapToGrid w:val="0"/>
        <w:spacing w:line="360" w:lineRule="auto"/>
        <w:ind w:right="480" w:firstLine="570"/>
        <w:jc w:val="left"/>
        <w:rPr>
          <w:rFonts w:ascii="宋体" w:hAnsi="宋体" w:cs="宋体"/>
          <w:color w:val="auto"/>
          <w:sz w:val="24"/>
          <w:highlight w:val="none"/>
        </w:rPr>
      </w:pPr>
      <w:r>
        <w:rPr>
          <w:rFonts w:hint="eastAsia" w:ascii="宋体" w:hAnsi="宋体" w:cs="宋体"/>
          <w:color w:val="auto"/>
          <w:sz w:val="24"/>
          <w:highlight w:val="none"/>
        </w:rPr>
        <w:t>若为法定代表人办理并签署投标文件的，不提供此文件。</w:t>
      </w:r>
    </w:p>
    <w:p>
      <w:pPr>
        <w:spacing w:line="360" w:lineRule="auto"/>
        <w:ind w:firstLine="560" w:firstLineChars="200"/>
        <w:rPr>
          <w:rFonts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（四）基本资格条件承诺函（格式）</w:t>
      </w:r>
    </w:p>
    <w:p>
      <w:pPr>
        <w:ind w:firstLine="643"/>
        <w:jc w:val="center"/>
        <w:rPr>
          <w:b/>
          <w:color w:val="auto"/>
          <w:sz w:val="32"/>
          <w:szCs w:val="32"/>
          <w:highlight w:val="none"/>
        </w:rPr>
      </w:pPr>
      <w:r>
        <w:rPr>
          <w:rFonts w:hint="eastAsia"/>
          <w:b/>
          <w:color w:val="auto"/>
          <w:sz w:val="32"/>
          <w:szCs w:val="32"/>
          <w:highlight w:val="none"/>
        </w:rPr>
        <w:t>基本资格条件承诺函</w:t>
      </w:r>
    </w:p>
    <w:p>
      <w:pPr>
        <w:tabs>
          <w:tab w:val="left" w:pos="6300"/>
        </w:tabs>
        <w:spacing w:line="360" w:lineRule="auto"/>
        <w:ind w:firstLine="480"/>
        <w:rPr>
          <w:color w:val="auto"/>
          <w:highlight w:val="none"/>
        </w:rPr>
      </w:pPr>
    </w:p>
    <w:p>
      <w:pPr>
        <w:tabs>
          <w:tab w:val="left" w:pos="6300"/>
        </w:tabs>
        <w:spacing w:line="360" w:lineRule="auto"/>
        <w:ind w:firstLine="480"/>
        <w:rPr>
          <w:color w:val="auto"/>
          <w:sz w:val="24"/>
          <w:szCs w:val="24"/>
          <w:highlight w:val="none"/>
        </w:rPr>
      </w:pPr>
      <w:r>
        <w:rPr>
          <w:rFonts w:hint="eastAsia"/>
          <w:color w:val="auto"/>
          <w:sz w:val="24"/>
          <w:szCs w:val="24"/>
          <w:highlight w:val="none"/>
        </w:rPr>
        <w:t>致 重庆工商大学（采购人名称）：</w:t>
      </w:r>
    </w:p>
    <w:p>
      <w:pPr>
        <w:tabs>
          <w:tab w:val="left" w:pos="6300"/>
        </w:tabs>
        <w:spacing w:line="360" w:lineRule="auto"/>
        <w:ind w:firstLine="480"/>
        <w:rPr>
          <w:color w:val="auto"/>
          <w:sz w:val="24"/>
          <w:szCs w:val="24"/>
          <w:highlight w:val="none"/>
        </w:rPr>
      </w:pPr>
      <w:r>
        <w:rPr>
          <w:rFonts w:hint="eastAsia"/>
          <w:color w:val="auto"/>
          <w:sz w:val="24"/>
          <w:szCs w:val="24"/>
          <w:highlight w:val="none"/>
        </w:rPr>
        <w:t xml:space="preserve">                      （投标人名称）郑重承诺：</w:t>
      </w:r>
    </w:p>
    <w:p>
      <w:pPr>
        <w:tabs>
          <w:tab w:val="left" w:pos="6300"/>
        </w:tabs>
        <w:spacing w:line="360" w:lineRule="auto"/>
        <w:ind w:firstLine="480"/>
        <w:rPr>
          <w:color w:val="auto"/>
          <w:sz w:val="24"/>
          <w:szCs w:val="24"/>
          <w:highlight w:val="none"/>
        </w:rPr>
      </w:pPr>
      <w:r>
        <w:rPr>
          <w:rFonts w:hint="eastAsia"/>
          <w:color w:val="auto"/>
          <w:sz w:val="24"/>
          <w:szCs w:val="24"/>
          <w:highlight w:val="none"/>
        </w:rPr>
        <w:t>1.我方具有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pPr>
        <w:tabs>
          <w:tab w:val="left" w:pos="6300"/>
        </w:tabs>
        <w:spacing w:line="360" w:lineRule="auto"/>
        <w:ind w:firstLine="480"/>
        <w:rPr>
          <w:color w:val="auto"/>
          <w:sz w:val="24"/>
          <w:szCs w:val="24"/>
          <w:highlight w:val="none"/>
        </w:rPr>
      </w:pPr>
      <w:r>
        <w:rPr>
          <w:rFonts w:hint="eastAsia"/>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pPr>
        <w:tabs>
          <w:tab w:val="left" w:pos="6300"/>
        </w:tabs>
        <w:spacing w:line="360" w:lineRule="auto"/>
        <w:ind w:firstLine="480"/>
        <w:rPr>
          <w:color w:val="auto"/>
          <w:sz w:val="24"/>
          <w:szCs w:val="24"/>
          <w:highlight w:val="none"/>
        </w:rPr>
      </w:pPr>
      <w:r>
        <w:rPr>
          <w:rFonts w:hint="eastAsia"/>
          <w:color w:val="auto"/>
          <w:sz w:val="24"/>
          <w:szCs w:val="24"/>
          <w:highlight w:val="none"/>
        </w:rPr>
        <w:t>3.我方在采购项目评审（评标）环节结束后，随时接受采购人、采购代理机构的检查验证，配合提供相关证明材料，证明符合《中华人民共和国政府采购法》规定的投标人基本资格条件。</w:t>
      </w:r>
    </w:p>
    <w:p>
      <w:pPr>
        <w:tabs>
          <w:tab w:val="left" w:pos="6300"/>
        </w:tabs>
        <w:spacing w:line="360" w:lineRule="auto"/>
        <w:ind w:firstLine="480"/>
        <w:rPr>
          <w:color w:val="auto"/>
          <w:sz w:val="24"/>
          <w:szCs w:val="24"/>
          <w:highlight w:val="none"/>
        </w:rPr>
      </w:pPr>
      <w:r>
        <w:rPr>
          <w:rFonts w:hint="eastAsia"/>
          <w:color w:val="auto"/>
          <w:sz w:val="24"/>
          <w:szCs w:val="24"/>
          <w:highlight w:val="none"/>
        </w:rPr>
        <w:t>我方对以上承诺负全部法律责任。</w:t>
      </w:r>
    </w:p>
    <w:p>
      <w:pPr>
        <w:tabs>
          <w:tab w:val="left" w:pos="6300"/>
        </w:tabs>
        <w:spacing w:line="360" w:lineRule="auto"/>
        <w:ind w:firstLine="480"/>
        <w:rPr>
          <w:color w:val="auto"/>
          <w:sz w:val="24"/>
          <w:szCs w:val="24"/>
          <w:highlight w:val="none"/>
        </w:rPr>
      </w:pPr>
      <w:r>
        <w:rPr>
          <w:rFonts w:hint="eastAsia"/>
          <w:color w:val="auto"/>
          <w:sz w:val="24"/>
          <w:szCs w:val="24"/>
          <w:highlight w:val="none"/>
        </w:rPr>
        <w:t>特此承诺。</w:t>
      </w:r>
    </w:p>
    <w:p>
      <w:pPr>
        <w:tabs>
          <w:tab w:val="left" w:pos="6300"/>
        </w:tabs>
        <w:spacing w:line="360" w:lineRule="auto"/>
        <w:ind w:firstLine="480"/>
        <w:rPr>
          <w:color w:val="auto"/>
          <w:sz w:val="24"/>
          <w:szCs w:val="24"/>
          <w:highlight w:val="none"/>
        </w:rPr>
      </w:pPr>
    </w:p>
    <w:p>
      <w:pPr>
        <w:tabs>
          <w:tab w:val="left" w:pos="6300"/>
        </w:tabs>
        <w:spacing w:line="360" w:lineRule="auto"/>
        <w:ind w:firstLine="482"/>
        <w:jc w:val="right"/>
        <w:rPr>
          <w:b/>
          <w:color w:val="auto"/>
          <w:sz w:val="24"/>
          <w:szCs w:val="24"/>
          <w:highlight w:val="none"/>
        </w:rPr>
      </w:pPr>
      <w:r>
        <w:rPr>
          <w:rFonts w:hint="eastAsia"/>
          <w:b/>
          <w:color w:val="auto"/>
          <w:sz w:val="24"/>
          <w:szCs w:val="24"/>
          <w:highlight w:val="none"/>
        </w:rPr>
        <w:t>（投标人公章）</w:t>
      </w:r>
    </w:p>
    <w:p>
      <w:pPr>
        <w:tabs>
          <w:tab w:val="left" w:pos="6300"/>
        </w:tabs>
        <w:spacing w:line="360" w:lineRule="auto"/>
        <w:ind w:firstLine="480"/>
        <w:jc w:val="right"/>
        <w:rPr>
          <w:color w:val="auto"/>
          <w:sz w:val="24"/>
          <w:szCs w:val="24"/>
          <w:highlight w:val="none"/>
        </w:rPr>
      </w:pPr>
      <w:r>
        <w:rPr>
          <w:rFonts w:hint="eastAsia"/>
          <w:color w:val="auto"/>
          <w:sz w:val="24"/>
          <w:szCs w:val="24"/>
          <w:highlight w:val="none"/>
        </w:rPr>
        <w:t>年   月   日</w:t>
      </w:r>
    </w:p>
    <w:p>
      <w:pPr>
        <w:tabs>
          <w:tab w:val="left" w:pos="6300"/>
        </w:tabs>
        <w:snapToGrid w:val="0"/>
        <w:spacing w:line="360" w:lineRule="auto"/>
        <w:rPr>
          <w:rFonts w:ascii="宋体" w:hAnsi="宋体" w:cs="宋体"/>
          <w:color w:val="auto"/>
          <w:sz w:val="24"/>
          <w:szCs w:val="28"/>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8"/>
          <w:highlight w:val="none"/>
        </w:rPr>
        <w:t>（五）特定资格条件证书或证明文件</w:t>
      </w:r>
    </w:p>
    <w:p>
      <w:pPr>
        <w:widowControl/>
        <w:spacing w:line="360" w:lineRule="auto"/>
        <w:ind w:firstLine="560" w:firstLineChars="200"/>
        <w:jc w:val="left"/>
        <w:rPr>
          <w:rFonts w:ascii="宋体" w:hAnsi="宋体" w:cs="宋体"/>
          <w:color w:val="auto"/>
          <w:szCs w:val="28"/>
          <w:highlight w:val="none"/>
        </w:rPr>
      </w:pPr>
      <w:r>
        <w:rPr>
          <w:rFonts w:hint="eastAsia" w:ascii="宋体" w:hAnsi="宋体" w:cs="宋体"/>
          <w:color w:val="auto"/>
          <w:highlight w:val="none"/>
        </w:rPr>
        <w:br w:type="page"/>
      </w:r>
      <w:r>
        <w:rPr>
          <w:rFonts w:hint="eastAsia" w:ascii="宋体" w:hAnsi="宋体" w:cs="宋体"/>
          <w:color w:val="auto"/>
          <w:highlight w:val="none"/>
        </w:rPr>
        <w:t>（六）</w:t>
      </w:r>
      <w:r>
        <w:rPr>
          <w:rFonts w:hint="eastAsia" w:ascii="宋体" w:hAnsi="宋体" w:cs="宋体"/>
          <w:color w:val="auto"/>
          <w:szCs w:val="28"/>
          <w:highlight w:val="none"/>
        </w:rPr>
        <w:t>其他与项目有关的资料（自附）</w:t>
      </w:r>
    </w:p>
    <w:p>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1.招标文件购买费、投标保证金缴纳凭据</w:t>
      </w:r>
    </w:p>
    <w:p>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2.其他与项目有关的资料（自附）</w:t>
      </w:r>
    </w:p>
    <w:p>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3.供应商提供供应商名称、供应商开户银行、开户行账号、统一社会信用代码、授权代表联系电话等信息，加盖供应商鲜章。</w:t>
      </w:r>
    </w:p>
    <w:p>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供应商信息表</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1、标书费发票开票信息入下</w:t>
      </w:r>
    </w:p>
    <w:tbl>
      <w:tblPr>
        <w:tblStyle w:val="19"/>
        <w:tblW w:w="10030" w:type="dxa"/>
        <w:jc w:val="center"/>
        <w:tblLayout w:type="autofit"/>
        <w:tblCellMar>
          <w:top w:w="0" w:type="dxa"/>
          <w:left w:w="108" w:type="dxa"/>
          <w:bottom w:w="0" w:type="dxa"/>
          <w:right w:w="108" w:type="dxa"/>
        </w:tblCellMar>
      </w:tblPr>
      <w:tblGrid>
        <w:gridCol w:w="780"/>
        <w:gridCol w:w="1415"/>
        <w:gridCol w:w="1741"/>
        <w:gridCol w:w="2178"/>
        <w:gridCol w:w="1969"/>
        <w:gridCol w:w="1947"/>
      </w:tblGrid>
      <w:tr>
        <w:tblPrEx>
          <w:tblCellMar>
            <w:top w:w="0" w:type="dxa"/>
            <w:left w:w="108" w:type="dxa"/>
            <w:bottom w:w="0" w:type="dxa"/>
            <w:right w:w="108" w:type="dxa"/>
          </w:tblCellMar>
        </w:tblPrEx>
        <w:trPr>
          <w:trHeight w:val="634"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41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供应商</w:t>
            </w:r>
          </w:p>
        </w:tc>
        <w:tc>
          <w:tcPr>
            <w:tcW w:w="174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投标单位</w:t>
            </w:r>
          </w:p>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基本账户开户行</w:t>
            </w:r>
          </w:p>
        </w:tc>
        <w:tc>
          <w:tcPr>
            <w:tcW w:w="217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投标单位基本账户</w:t>
            </w:r>
          </w:p>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账号（卡号）</w:t>
            </w:r>
          </w:p>
        </w:tc>
        <w:tc>
          <w:tcPr>
            <w:tcW w:w="196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统一社会信用代码</w:t>
            </w:r>
          </w:p>
        </w:tc>
        <w:tc>
          <w:tcPr>
            <w:tcW w:w="194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授权代表联系电话（须为手机号）</w:t>
            </w:r>
          </w:p>
        </w:tc>
      </w:tr>
      <w:tr>
        <w:tblPrEx>
          <w:tblCellMar>
            <w:top w:w="0" w:type="dxa"/>
            <w:left w:w="108" w:type="dxa"/>
            <w:bottom w:w="0" w:type="dxa"/>
            <w:right w:w="108" w:type="dxa"/>
          </w:tblCellMar>
        </w:tblPrEx>
        <w:trPr>
          <w:trHeight w:val="600" w:hRule="atLeast"/>
          <w:jc w:val="center"/>
        </w:trPr>
        <w:tc>
          <w:tcPr>
            <w:tcW w:w="780" w:type="dxa"/>
            <w:tcBorders>
              <w:top w:val="nil"/>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41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p>
        </w:tc>
        <w:tc>
          <w:tcPr>
            <w:tcW w:w="1741"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p>
        </w:tc>
        <w:tc>
          <w:tcPr>
            <w:tcW w:w="2178"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p>
        </w:tc>
        <w:tc>
          <w:tcPr>
            <w:tcW w:w="196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p>
        </w:tc>
        <w:tc>
          <w:tcPr>
            <w:tcW w:w="1947" w:type="dxa"/>
            <w:tcBorders>
              <w:top w:val="nil"/>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auto"/>
                <w:sz w:val="21"/>
                <w:szCs w:val="21"/>
                <w:highlight w:val="none"/>
              </w:rPr>
            </w:pPr>
          </w:p>
        </w:tc>
      </w:tr>
    </w:tbl>
    <w:p>
      <w:pPr>
        <w:spacing w:line="360" w:lineRule="auto"/>
        <w:rPr>
          <w:rFonts w:ascii="宋体" w:hAnsi="宋体" w:cs="宋体"/>
          <w:color w:val="auto"/>
          <w:szCs w:val="28"/>
          <w:highlight w:val="none"/>
        </w:rPr>
      </w:pPr>
    </w:p>
    <w:p>
      <w:pPr>
        <w:spacing w:line="360" w:lineRule="auto"/>
        <w:rPr>
          <w:rFonts w:ascii="宋体" w:hAnsi="宋体" w:cs="宋体"/>
          <w:color w:val="auto"/>
          <w:szCs w:val="28"/>
          <w:highlight w:val="none"/>
        </w:rPr>
      </w:pPr>
      <w:r>
        <w:rPr>
          <w:rFonts w:hint="eastAsia" w:ascii="宋体" w:hAnsi="宋体" w:cs="宋体"/>
          <w:color w:val="auto"/>
          <w:szCs w:val="28"/>
          <w:highlight w:val="none"/>
        </w:rPr>
        <w:t>注：</w:t>
      </w:r>
      <w:r>
        <w:rPr>
          <w:rFonts w:hint="eastAsia" w:ascii="宋体" w:hAnsi="宋体" w:cs="宋体"/>
          <w:color w:val="auto"/>
          <w:sz w:val="24"/>
          <w:szCs w:val="24"/>
          <w:highlight w:val="none"/>
        </w:rPr>
        <w:t>附上开户许可证</w:t>
      </w:r>
    </w:p>
    <w:p>
      <w:pPr>
        <w:widowControl/>
        <w:spacing w:line="360" w:lineRule="auto"/>
        <w:ind w:firstLine="480" w:firstLineChars="200"/>
        <w:jc w:val="left"/>
        <w:rPr>
          <w:rFonts w:ascii="宋体" w:hAnsi="宋体" w:cs="宋体"/>
          <w:color w:val="auto"/>
          <w:sz w:val="24"/>
          <w:szCs w:val="24"/>
          <w:highlight w:val="none"/>
        </w:rPr>
      </w:pPr>
    </w:p>
    <w:p>
      <w:pPr>
        <w:widowControl/>
        <w:spacing w:line="360" w:lineRule="auto"/>
        <w:ind w:firstLine="6559" w:firstLineChars="2733"/>
        <w:jc w:val="left"/>
        <w:rPr>
          <w:rFonts w:ascii="宋体" w:hAnsi="宋体" w:cs="宋体"/>
          <w:color w:val="auto"/>
          <w:sz w:val="24"/>
          <w:szCs w:val="24"/>
          <w:highlight w:val="none"/>
        </w:rPr>
      </w:pPr>
    </w:p>
    <w:p>
      <w:pPr>
        <w:widowControl/>
        <w:spacing w:line="360" w:lineRule="auto"/>
        <w:ind w:firstLine="6559" w:firstLineChars="2733"/>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供应商名称（盖章）：        </w:t>
      </w:r>
    </w:p>
    <w:p>
      <w:pPr>
        <w:pStyle w:val="2"/>
        <w:rPr>
          <w:rFonts w:ascii="宋体" w:hAnsi="宋体" w:cs="宋体"/>
          <w:color w:val="auto"/>
          <w:highlight w:val="none"/>
        </w:rPr>
      </w:pPr>
    </w:p>
    <w:p>
      <w:pPr>
        <w:pStyle w:val="2"/>
        <w:rPr>
          <w:rFonts w:ascii="宋体" w:hAnsi="宋体" w:cs="宋体"/>
          <w:color w:val="auto"/>
          <w:highlight w:val="none"/>
        </w:rPr>
      </w:pPr>
    </w:p>
    <w:p>
      <w:pPr>
        <w:pStyle w:val="2"/>
        <w:rPr>
          <w:rFonts w:ascii="宋体" w:hAnsi="宋体" w:cs="宋体"/>
          <w:color w:val="auto"/>
          <w:highlight w:val="none"/>
        </w:rPr>
      </w:pPr>
    </w:p>
    <w:p>
      <w:pPr>
        <w:pStyle w:val="2"/>
        <w:rPr>
          <w:rFonts w:ascii="宋体" w:hAnsi="宋体" w:cs="宋体"/>
          <w:color w:val="auto"/>
          <w:highlight w:val="none"/>
        </w:rPr>
      </w:pPr>
    </w:p>
    <w:p>
      <w:pPr>
        <w:spacing w:line="360" w:lineRule="auto"/>
        <w:ind w:firstLine="560" w:firstLineChars="200"/>
        <w:jc w:val="center"/>
        <w:rPr>
          <w:rFonts w:ascii="宋体" w:hAnsi="宋体" w:cs="宋体"/>
          <w:color w:val="auto"/>
          <w:sz w:val="24"/>
          <w:highlight w:val="none"/>
        </w:rPr>
      </w:pPr>
      <w:r>
        <w:rPr>
          <w:rFonts w:hint="eastAsia" w:ascii="宋体" w:hAnsi="宋体" w:cs="宋体"/>
          <w:color w:val="auto"/>
          <w:highlight w:val="none"/>
        </w:rPr>
        <w:t>（结束）</w:t>
      </w:r>
    </w:p>
    <w:p>
      <w:pPr>
        <w:rPr>
          <w:rFonts w:ascii="宋体" w:hAnsi="宋体" w:cs="宋体"/>
          <w:color w:val="auto"/>
          <w:highlight w:val="none"/>
        </w:rPr>
      </w:pPr>
    </w:p>
    <w:p>
      <w:pPr>
        <w:rPr>
          <w:color w:val="auto"/>
          <w:highlight w:val="none"/>
        </w:rPr>
      </w:pPr>
    </w:p>
    <w:p>
      <w:pPr>
        <w:rPr>
          <w:color w:val="auto"/>
          <w:highlight w:val="none"/>
        </w:rPr>
      </w:pPr>
    </w:p>
    <w:p>
      <w:pPr>
        <w:rPr>
          <w:color w:val="auto"/>
          <w:highlight w:val="none"/>
        </w:rPr>
      </w:pPr>
    </w:p>
    <w:sectPr>
      <w:headerReference r:id="rId11" w:type="default"/>
      <w:footerReference r:id="rId12" w:type="default"/>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sz w:val="24"/>
      </w:rPr>
    </w:pPr>
    <w:r>
      <w:rPr>
        <w:sz w:val="24"/>
      </w:rPr>
      <w:fldChar w:fldCharType="begin"/>
    </w:r>
    <w:r>
      <w:rPr>
        <w:rStyle w:val="21"/>
        <w:sz w:val="24"/>
      </w:rPr>
      <w:instrText xml:space="preserve"> PAGE </w:instrText>
    </w:r>
    <w:r>
      <w:rPr>
        <w:sz w:val="24"/>
      </w:rPr>
      <w:fldChar w:fldCharType="separate"/>
    </w:r>
    <w:r>
      <w:rPr>
        <w:rStyle w:val="21"/>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end"/>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ind w:right="360"/>
                            <w:jc w:val="center"/>
                          </w:pPr>
                          <w:r>
                            <w:fldChar w:fldCharType="begin"/>
                          </w:r>
                          <w:r>
                            <w:rPr>
                              <w:rStyle w:val="21"/>
                            </w:rPr>
                            <w:instrText xml:space="preserve"> PAGE </w:instrText>
                          </w:r>
                          <w:r>
                            <w:fldChar w:fldCharType="separate"/>
                          </w:r>
                          <w:r>
                            <w:rPr>
                              <w:rStyle w:val="21"/>
                            </w:rPr>
                            <w:t>- 17 -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12"/>
                      <w:ind w:right="360"/>
                      <w:jc w:val="center"/>
                    </w:pPr>
                    <w:r>
                      <w:fldChar w:fldCharType="begin"/>
                    </w:r>
                    <w:r>
                      <w:rPr>
                        <w:rStyle w:val="21"/>
                      </w:rPr>
                      <w:instrText xml:space="preserve"> PAGE </w:instrText>
                    </w:r>
                    <w:r>
                      <w:fldChar w:fldCharType="separate"/>
                    </w:r>
                    <w:r>
                      <w:rPr>
                        <w:rStyle w:val="21"/>
                      </w:rPr>
                      <w:t>- 17 -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1"/>
      </w:rPr>
    </w:pPr>
    <w:r>
      <w:fldChar w:fldCharType="begin"/>
    </w:r>
    <w:r>
      <w:rPr>
        <w:rStyle w:val="21"/>
      </w:rPr>
      <w:instrText xml:space="preserve">PAGE  </w:instrText>
    </w:r>
    <w:r>
      <w:fldChar w:fldCharType="end"/>
    </w:r>
  </w:p>
  <w:p>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jc w:val="center"/>
    </w:pPr>
    <w:r>
      <w:fldChar w:fldCharType="begin"/>
    </w:r>
    <w:r>
      <w:rPr>
        <w:rStyle w:val="21"/>
      </w:rPr>
      <w:instrText xml:space="preserve"> PAGE </w:instrText>
    </w:r>
    <w:r>
      <w:fldChar w:fldCharType="separate"/>
    </w:r>
    <w:r>
      <w:rPr>
        <w:rStyle w:val="21"/>
      </w:rPr>
      <w:t>- 30 -</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rPr>
                              <w:sz w:val="24"/>
                            </w:rPr>
                            <w:fldChar w:fldCharType="begin"/>
                          </w:r>
                          <w:r>
                            <w:rPr>
                              <w:rStyle w:val="21"/>
                              <w:sz w:val="24"/>
                            </w:rPr>
                            <w:instrText xml:space="preserve"> PAGE </w:instrText>
                          </w:r>
                          <w:r>
                            <w:rPr>
                              <w:sz w:val="24"/>
                            </w:rPr>
                            <w:fldChar w:fldCharType="separate"/>
                          </w:r>
                          <w:r>
                            <w:rPr>
                              <w:rStyle w:val="21"/>
                              <w:sz w:val="24"/>
                            </w:rPr>
                            <w:t>- 55 -</w:t>
                          </w:r>
                          <w:r>
                            <w:rPr>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12"/>
                      <w:jc w:val="center"/>
                    </w:pPr>
                    <w:r>
                      <w:rPr>
                        <w:sz w:val="24"/>
                      </w:rPr>
                      <w:fldChar w:fldCharType="begin"/>
                    </w:r>
                    <w:r>
                      <w:rPr>
                        <w:rStyle w:val="21"/>
                        <w:sz w:val="24"/>
                      </w:rPr>
                      <w:instrText xml:space="preserve"> PAGE </w:instrText>
                    </w:r>
                    <w:r>
                      <w:rPr>
                        <w:sz w:val="24"/>
                      </w:rPr>
                      <w:fldChar w:fldCharType="separate"/>
                    </w:r>
                    <w:r>
                      <w:rPr>
                        <w:rStyle w:val="21"/>
                        <w:sz w:val="24"/>
                      </w:rPr>
                      <w:t>- 55 -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jc w:val="both"/>
      <w:rPr>
        <w:rFonts w:ascii="方正仿宋_GBK" w:eastAsia="方正仿宋_GBK"/>
        <w:sz w:val="21"/>
        <w:szCs w:val="24"/>
      </w:rPr>
    </w:pPr>
    <w:r>
      <w:rPr>
        <w:rFonts w:hint="eastAsia" w:ascii="方正仿宋_GBK" w:eastAsia="方正仿宋_GBK"/>
        <w:sz w:val="21"/>
        <w:szCs w:val="24"/>
      </w:rPr>
      <w:t xml:space="preserve">重庆工商大学                            </w:t>
    </w:r>
    <w:r>
      <w:rPr>
        <w:rFonts w:hint="eastAsia" w:ascii="方正仿宋_GBK" w:eastAsia="方正仿宋_GBK"/>
        <w:sz w:val="21"/>
        <w:szCs w:val="24"/>
        <w:lang w:val="en-US" w:eastAsia="zh-CN"/>
      </w:rPr>
      <w:t xml:space="preserve">        </w:t>
    </w:r>
    <w:r>
      <w:rPr>
        <w:rFonts w:hint="eastAsia" w:ascii="方正仿宋_GBK" w:eastAsia="方正仿宋_GBK"/>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rFonts w:ascii="方正仿宋_GBK" w:eastAsia="方正仿宋_GBK"/>
        <w:sz w:val="21"/>
        <w:szCs w:val="21"/>
      </w:rPr>
    </w:pPr>
    <w:r>
      <w:rPr>
        <w:rFonts w:hint="eastAsia" w:ascii="方正仿宋_GBK" w:eastAsia="方正仿宋_GBK"/>
        <w:sz w:val="21"/>
        <w:szCs w:val="24"/>
      </w:rPr>
      <w:t>重庆</w:t>
    </w:r>
    <w:r>
      <w:rPr>
        <w:rFonts w:hint="eastAsia" w:ascii="方正仿宋_GBK" w:eastAsia="方正仿宋_GBK"/>
        <w:sz w:val="21"/>
        <w:szCs w:val="24"/>
        <w:lang w:eastAsia="zh-CN"/>
      </w:rPr>
      <w:t>工商大学</w:t>
    </w:r>
    <w:r>
      <w:rPr>
        <w:rFonts w:hint="eastAsia" w:ascii="方正仿宋_GBK" w:eastAsia="方正仿宋_GBK"/>
        <w:sz w:val="21"/>
        <w:szCs w:val="21"/>
      </w:rPr>
      <w:t xml:space="preserve">                    </w:t>
    </w:r>
    <w:r>
      <w:rPr>
        <w:rFonts w:hint="eastAsia" w:ascii="方正仿宋_GBK" w:eastAsia="方正仿宋_GBK"/>
        <w:sz w:val="21"/>
        <w:szCs w:val="21"/>
        <w:lang w:val="en-US" w:eastAsia="zh-CN"/>
      </w:rPr>
      <w:t xml:space="preserve">      </w:t>
    </w:r>
    <w:r>
      <w:rPr>
        <w:rFonts w:hint="eastAsia" w:ascii="方正仿宋_GBK" w:eastAsia="方正仿宋_GBK"/>
        <w:sz w:val="21"/>
        <w:szCs w:val="21"/>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ind w:firstLine="105" w:firstLineChars="50"/>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56393A0F"/>
    <w:rsid w:val="00010644"/>
    <w:rsid w:val="002123F6"/>
    <w:rsid w:val="00233E34"/>
    <w:rsid w:val="002340EC"/>
    <w:rsid w:val="00334BA5"/>
    <w:rsid w:val="00550F65"/>
    <w:rsid w:val="005F7273"/>
    <w:rsid w:val="006049C3"/>
    <w:rsid w:val="00685D5D"/>
    <w:rsid w:val="006A35DC"/>
    <w:rsid w:val="00722F0A"/>
    <w:rsid w:val="00733CEB"/>
    <w:rsid w:val="00755201"/>
    <w:rsid w:val="00801B4C"/>
    <w:rsid w:val="00805FDA"/>
    <w:rsid w:val="00845B4D"/>
    <w:rsid w:val="00872340"/>
    <w:rsid w:val="008C38C6"/>
    <w:rsid w:val="008C789C"/>
    <w:rsid w:val="0091205F"/>
    <w:rsid w:val="009A6DF4"/>
    <w:rsid w:val="00AD29C7"/>
    <w:rsid w:val="00B546EA"/>
    <w:rsid w:val="00B7202B"/>
    <w:rsid w:val="00B910E0"/>
    <w:rsid w:val="00C022EA"/>
    <w:rsid w:val="00CD72BA"/>
    <w:rsid w:val="00D1153A"/>
    <w:rsid w:val="00D86192"/>
    <w:rsid w:val="00DB73BB"/>
    <w:rsid w:val="00DC0F6B"/>
    <w:rsid w:val="00DE3635"/>
    <w:rsid w:val="00F777F7"/>
    <w:rsid w:val="00FC556F"/>
    <w:rsid w:val="01DD2C39"/>
    <w:rsid w:val="023B4FA2"/>
    <w:rsid w:val="05064806"/>
    <w:rsid w:val="0519242A"/>
    <w:rsid w:val="05290E6D"/>
    <w:rsid w:val="060D23DD"/>
    <w:rsid w:val="06D15581"/>
    <w:rsid w:val="074D7787"/>
    <w:rsid w:val="08913C35"/>
    <w:rsid w:val="08B526ED"/>
    <w:rsid w:val="0BA50616"/>
    <w:rsid w:val="0C925DA4"/>
    <w:rsid w:val="0D75742F"/>
    <w:rsid w:val="0E0E29F7"/>
    <w:rsid w:val="0E0F5091"/>
    <w:rsid w:val="0E604F3E"/>
    <w:rsid w:val="0F0A5318"/>
    <w:rsid w:val="10472B33"/>
    <w:rsid w:val="117613D0"/>
    <w:rsid w:val="135F561A"/>
    <w:rsid w:val="143E22D4"/>
    <w:rsid w:val="14777F31"/>
    <w:rsid w:val="147F5532"/>
    <w:rsid w:val="14987715"/>
    <w:rsid w:val="15866F2A"/>
    <w:rsid w:val="19B82437"/>
    <w:rsid w:val="1A8F6BCA"/>
    <w:rsid w:val="1DEB4697"/>
    <w:rsid w:val="20230011"/>
    <w:rsid w:val="22905161"/>
    <w:rsid w:val="233C28CB"/>
    <w:rsid w:val="23C00F69"/>
    <w:rsid w:val="26426B14"/>
    <w:rsid w:val="270C54E6"/>
    <w:rsid w:val="27630D3B"/>
    <w:rsid w:val="2B563FA5"/>
    <w:rsid w:val="2BA537E3"/>
    <w:rsid w:val="2BD90527"/>
    <w:rsid w:val="30B26121"/>
    <w:rsid w:val="30B37265"/>
    <w:rsid w:val="31972A7E"/>
    <w:rsid w:val="320F51AD"/>
    <w:rsid w:val="327A7633"/>
    <w:rsid w:val="33A930DF"/>
    <w:rsid w:val="33AB14AE"/>
    <w:rsid w:val="33B84B7B"/>
    <w:rsid w:val="33D96163"/>
    <w:rsid w:val="3647730B"/>
    <w:rsid w:val="36962041"/>
    <w:rsid w:val="370A08EE"/>
    <w:rsid w:val="37863E63"/>
    <w:rsid w:val="37B873B1"/>
    <w:rsid w:val="385E1859"/>
    <w:rsid w:val="38E44093"/>
    <w:rsid w:val="3A0006C5"/>
    <w:rsid w:val="3A8F302F"/>
    <w:rsid w:val="3BAC6EAE"/>
    <w:rsid w:val="3D0977BB"/>
    <w:rsid w:val="3D9F5338"/>
    <w:rsid w:val="3E88485A"/>
    <w:rsid w:val="3EB62F1F"/>
    <w:rsid w:val="407E0804"/>
    <w:rsid w:val="41A633EA"/>
    <w:rsid w:val="423B65D8"/>
    <w:rsid w:val="4374370A"/>
    <w:rsid w:val="44C63AF1"/>
    <w:rsid w:val="462F1B6A"/>
    <w:rsid w:val="475F60E1"/>
    <w:rsid w:val="4AE41175"/>
    <w:rsid w:val="4F2A1121"/>
    <w:rsid w:val="4F512925"/>
    <w:rsid w:val="4F5435BF"/>
    <w:rsid w:val="50A904D2"/>
    <w:rsid w:val="53AF26BC"/>
    <w:rsid w:val="56393A0F"/>
    <w:rsid w:val="56F34897"/>
    <w:rsid w:val="57160752"/>
    <w:rsid w:val="594F1EAF"/>
    <w:rsid w:val="5CAC586B"/>
    <w:rsid w:val="5D512238"/>
    <w:rsid w:val="5DBF0709"/>
    <w:rsid w:val="5E315AD7"/>
    <w:rsid w:val="5E512226"/>
    <w:rsid w:val="5EA82310"/>
    <w:rsid w:val="606B6E69"/>
    <w:rsid w:val="60A10FAE"/>
    <w:rsid w:val="61AD76B6"/>
    <w:rsid w:val="624F2F20"/>
    <w:rsid w:val="655B398A"/>
    <w:rsid w:val="656C2A6B"/>
    <w:rsid w:val="66C75A62"/>
    <w:rsid w:val="67432DCF"/>
    <w:rsid w:val="679C3E28"/>
    <w:rsid w:val="687F22E7"/>
    <w:rsid w:val="68925915"/>
    <w:rsid w:val="69A932FF"/>
    <w:rsid w:val="6A170ECD"/>
    <w:rsid w:val="6BD3032A"/>
    <w:rsid w:val="6BE24E05"/>
    <w:rsid w:val="6D834B4D"/>
    <w:rsid w:val="6DE70303"/>
    <w:rsid w:val="6ECA57CB"/>
    <w:rsid w:val="70F32198"/>
    <w:rsid w:val="71D13CB1"/>
    <w:rsid w:val="7239205B"/>
    <w:rsid w:val="728575A3"/>
    <w:rsid w:val="72E11758"/>
    <w:rsid w:val="75045DEC"/>
    <w:rsid w:val="760A7432"/>
    <w:rsid w:val="767E572A"/>
    <w:rsid w:val="786C7F30"/>
    <w:rsid w:val="788C35AD"/>
    <w:rsid w:val="78A47396"/>
    <w:rsid w:val="7A213ABB"/>
    <w:rsid w:val="7D2870DA"/>
    <w:rsid w:val="7E54225E"/>
    <w:rsid w:val="7E5E69DF"/>
    <w:rsid w:val="7F2D5F40"/>
    <w:rsid w:val="7FA73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paragraph" w:styleId="5">
    <w:name w:val="heading 3"/>
    <w:basedOn w:val="1"/>
    <w:next w:val="1"/>
    <w:qFormat/>
    <w:uiPriority w:val="9"/>
    <w:pPr>
      <w:keepNext/>
      <w:keepLines/>
      <w:spacing w:line="408" w:lineRule="auto"/>
      <w:outlineLvl w:val="2"/>
    </w:pPr>
    <w:rPr>
      <w:b/>
      <w:bCs/>
      <w:color w:val="1A1A1A"/>
      <w:szCs w:val="28"/>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adjustRightInd w:val="0"/>
      <w:snapToGrid w:val="0"/>
      <w:spacing w:line="360" w:lineRule="auto"/>
      <w:ind w:firstLine="420"/>
    </w:pPr>
    <w:rPr>
      <w:sz w:val="24"/>
    </w:rPr>
  </w:style>
  <w:style w:type="paragraph" w:styleId="6">
    <w:name w:val="annotation text"/>
    <w:basedOn w:val="1"/>
    <w:link w:val="27"/>
    <w:qFormat/>
    <w:uiPriority w:val="0"/>
    <w:pPr>
      <w:jc w:val="left"/>
    </w:pPr>
  </w:style>
  <w:style w:type="paragraph" w:styleId="7">
    <w:name w:val="Body Text"/>
    <w:basedOn w:val="1"/>
    <w:next w:val="1"/>
    <w:qFormat/>
    <w:uiPriority w:val="0"/>
    <w:pPr>
      <w:spacing w:after="120"/>
    </w:pPr>
  </w:style>
  <w:style w:type="paragraph" w:styleId="8">
    <w:name w:val="Body Text Indent"/>
    <w:basedOn w:val="1"/>
    <w:qFormat/>
    <w:uiPriority w:val="0"/>
    <w:pPr>
      <w:spacing w:line="700" w:lineRule="exact"/>
      <w:ind w:left="960"/>
    </w:pPr>
    <w:rPr>
      <w:sz w:val="44"/>
    </w:rPr>
  </w:style>
  <w:style w:type="paragraph" w:styleId="9">
    <w:name w:val="Plain Text"/>
    <w:basedOn w:val="1"/>
    <w:qFormat/>
    <w:uiPriority w:val="0"/>
    <w:pPr>
      <w:adjustRightInd w:val="0"/>
      <w:snapToGrid w:val="0"/>
      <w:spacing w:line="360" w:lineRule="auto"/>
    </w:pPr>
    <w:rPr>
      <w:rFonts w:ascii="宋体" w:hAnsi="Courier New"/>
      <w:sz w:val="21"/>
    </w:rPr>
  </w:style>
  <w:style w:type="paragraph" w:styleId="10">
    <w:name w:val="Date"/>
    <w:basedOn w:val="1"/>
    <w:next w:val="1"/>
    <w:qFormat/>
    <w:uiPriority w:val="0"/>
  </w:style>
  <w:style w:type="paragraph" w:styleId="11">
    <w:name w:val="Balloon Text"/>
    <w:basedOn w:val="1"/>
    <w:link w:val="30"/>
    <w:qFormat/>
    <w:uiPriority w:val="0"/>
    <w:rPr>
      <w:sz w:val="18"/>
      <w:szCs w:val="18"/>
    </w:rPr>
  </w:style>
  <w:style w:type="paragraph" w:styleId="12">
    <w:name w:val="footer"/>
    <w:basedOn w:val="1"/>
    <w:next w:val="13"/>
    <w:qFormat/>
    <w:uiPriority w:val="0"/>
    <w:pPr>
      <w:tabs>
        <w:tab w:val="center" w:pos="4153"/>
        <w:tab w:val="right" w:pos="8306"/>
      </w:tabs>
      <w:snapToGrid w:val="0"/>
      <w:jc w:val="left"/>
    </w:pPr>
    <w:rPr>
      <w:sz w:val="18"/>
    </w:rPr>
  </w:style>
  <w:style w:type="paragraph" w:customStyle="1" w:styleId="13">
    <w:name w:val="索引 51"/>
    <w:basedOn w:val="1"/>
    <w:next w:val="1"/>
    <w:qFormat/>
    <w:uiPriority w:val="0"/>
    <w:pPr>
      <w:ind w:left="1680"/>
    </w:pPr>
  </w:style>
  <w:style w:type="paragraph" w:styleId="14">
    <w:name w:val="header"/>
    <w:basedOn w:val="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16">
    <w:name w:val="toc 2"/>
    <w:basedOn w:val="1"/>
    <w:next w:val="1"/>
    <w:qFormat/>
    <w:uiPriority w:val="39"/>
    <w:pPr>
      <w:tabs>
        <w:tab w:val="right" w:leader="dot" w:pos="8400"/>
      </w:tabs>
      <w:spacing w:line="440" w:lineRule="exact"/>
      <w:ind w:left="280" w:leftChars="100" w:right="-91" w:rightChars="-91"/>
    </w:pPr>
  </w:style>
  <w:style w:type="paragraph" w:styleId="17">
    <w:name w:val="annotation subject"/>
    <w:basedOn w:val="6"/>
    <w:next w:val="6"/>
    <w:link w:val="28"/>
    <w:qFormat/>
    <w:uiPriority w:val="0"/>
    <w:rPr>
      <w:b/>
      <w:bCs/>
    </w:rPr>
  </w:style>
  <w:style w:type="paragraph" w:styleId="18">
    <w:name w:val="Body Text First Indent"/>
    <w:basedOn w:val="7"/>
    <w:next w:val="1"/>
    <w:qFormat/>
    <w:uiPriority w:val="0"/>
    <w:pPr>
      <w:spacing w:after="0" w:line="360" w:lineRule="auto"/>
      <w:ind w:firstLine="420" w:firstLineChars="100"/>
    </w:pPr>
    <w:rPr>
      <w:szCs w:val="21"/>
    </w:rPr>
  </w:style>
  <w:style w:type="character" w:styleId="21">
    <w:name w:val="page number"/>
    <w:qFormat/>
    <w:uiPriority w:val="0"/>
  </w:style>
  <w:style w:type="character" w:styleId="22">
    <w:name w:val="annotation reference"/>
    <w:basedOn w:val="20"/>
    <w:qFormat/>
    <w:uiPriority w:val="0"/>
    <w:rPr>
      <w:sz w:val="21"/>
      <w:szCs w:val="21"/>
    </w:rPr>
  </w:style>
  <w:style w:type="paragraph" w:customStyle="1" w:styleId="2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24">
    <w:name w:val="Quote"/>
    <w:basedOn w:val="1"/>
    <w:next w:val="1"/>
    <w:qFormat/>
    <w:uiPriority w:val="0"/>
    <w:pPr>
      <w:widowControl/>
      <w:jc w:val="left"/>
    </w:pPr>
    <w:rPr>
      <w:rFonts w:ascii="Calibri" w:hAnsi="Calibri"/>
      <w:i/>
      <w:kern w:val="0"/>
      <w:sz w:val="24"/>
      <w:szCs w:val="24"/>
    </w:rPr>
  </w:style>
  <w:style w:type="paragraph" w:customStyle="1" w:styleId="25">
    <w:name w:val="图例"/>
    <w:basedOn w:val="1"/>
    <w:qFormat/>
    <w:uiPriority w:val="0"/>
    <w:pPr>
      <w:spacing w:before="120" w:after="120" w:line="360" w:lineRule="auto"/>
      <w:jc w:val="center"/>
    </w:pPr>
    <w:rPr>
      <w:rFonts w:eastAsia="仿宋_GB2312"/>
      <w:b/>
      <w:sz w:val="24"/>
    </w:rPr>
  </w:style>
  <w:style w:type="paragraph" w:styleId="26">
    <w:name w:val="List Paragraph"/>
    <w:basedOn w:val="1"/>
    <w:unhideWhenUsed/>
    <w:qFormat/>
    <w:uiPriority w:val="99"/>
    <w:pPr>
      <w:ind w:firstLine="420" w:firstLineChars="200"/>
    </w:pPr>
  </w:style>
  <w:style w:type="character" w:customStyle="1" w:styleId="27">
    <w:name w:val="批注文字 Char"/>
    <w:basedOn w:val="20"/>
    <w:link w:val="6"/>
    <w:qFormat/>
    <w:uiPriority w:val="0"/>
    <w:rPr>
      <w:rFonts w:ascii="Times New Roman" w:hAnsi="Times New Roman" w:eastAsia="宋体" w:cs="Times New Roman"/>
      <w:kern w:val="2"/>
      <w:sz w:val="28"/>
    </w:rPr>
  </w:style>
  <w:style w:type="character" w:customStyle="1" w:styleId="28">
    <w:name w:val="批注主题 Char"/>
    <w:basedOn w:val="27"/>
    <w:link w:val="17"/>
    <w:qFormat/>
    <w:uiPriority w:val="0"/>
    <w:rPr>
      <w:rFonts w:ascii="Times New Roman" w:hAnsi="Times New Roman" w:eastAsia="宋体" w:cs="Times New Roman"/>
      <w:b/>
      <w:bCs/>
      <w:kern w:val="2"/>
      <w:sz w:val="28"/>
    </w:rPr>
  </w:style>
  <w:style w:type="paragraph" w:customStyle="1" w:styleId="29">
    <w:name w:val="修订1"/>
    <w:hidden/>
    <w:unhideWhenUsed/>
    <w:qFormat/>
    <w:uiPriority w:val="99"/>
    <w:rPr>
      <w:rFonts w:ascii="Times New Roman" w:hAnsi="Times New Roman" w:eastAsia="宋体" w:cs="Times New Roman"/>
      <w:kern w:val="2"/>
      <w:sz w:val="28"/>
      <w:lang w:val="en-US" w:eastAsia="zh-CN" w:bidi="ar-SA"/>
    </w:rPr>
  </w:style>
  <w:style w:type="character" w:customStyle="1" w:styleId="30">
    <w:name w:val="批注框文本 Char"/>
    <w:basedOn w:val="20"/>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27E0B0-36F3-4C7F-AF81-ACA23B2A046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31524</Words>
  <Characters>32450</Characters>
  <Lines>275</Lines>
  <Paragraphs>77</Paragraphs>
  <TotalTime>2</TotalTime>
  <ScaleCrop>false</ScaleCrop>
  <LinksUpToDate>false</LinksUpToDate>
  <CharactersWithSpaces>34069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2023-07-07T06:29:00Z</dcterms:created>
  <dc:creator>阎晗</dc:creator>
  <cp:lastModifiedBy>阎晗</cp:lastModifiedBy>
  <cp:lastPrinted>2023-07-13T09:01:00Z</cp:lastPrinted>
  <dcterms:modified xsi:type="dcterms:W3CDTF">2023-07-14T09:21:53Z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CED1B221C99440899AABAEF4CB8AFDD6_11</vt:lpwstr>
  </property>
</Properties>
</file>